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9"/>
        <w:jc w:val="center"/>
        <w:rPr>
          <w:sz w:val="56"/>
          <w:szCs w:val="56"/>
        </w:rPr>
      </w:pPr>
    </w:p>
    <w:p>
      <w:pPr>
        <w:pStyle w:val="style4099"/>
        <w:jc w:val="center"/>
        <w:rPr>
          <w:sz w:val="56"/>
          <w:szCs w:val="56"/>
        </w:rPr>
      </w:pPr>
    </w:p>
    <w:p>
      <w:pPr>
        <w:pStyle w:val="style4099"/>
        <w:jc w:val="center"/>
        <w:rPr>
          <w:sz w:val="84"/>
          <w:szCs w:val="84"/>
        </w:rPr>
      </w:pPr>
    </w:p>
    <w:p>
      <w:pPr>
        <w:pStyle w:val="style4099"/>
        <w:jc w:val="center"/>
        <w:rPr>
          <w:sz w:val="84"/>
          <w:szCs w:val="84"/>
        </w:rPr>
      </w:pPr>
    </w:p>
    <w:p>
      <w:pPr>
        <w:pStyle w:val="style4099"/>
        <w:jc w:val="center"/>
        <w:rPr>
          <w:sz w:val="84"/>
          <w:szCs w:val="84"/>
        </w:rPr>
      </w:pPr>
      <w:r>
        <w:rPr>
          <w:rFonts w:hint="eastAsia"/>
          <w:sz w:val="84"/>
          <w:szCs w:val="84"/>
        </w:rPr>
        <w:t>202</w:t>
      </w:r>
      <w:r>
        <w:rPr>
          <w:rFonts w:hint="eastAsia"/>
          <w:sz w:val="84"/>
          <w:szCs w:val="84"/>
          <w:lang w:val="en-US" w:eastAsia="zh-CN"/>
        </w:rPr>
        <w:t>1</w:t>
      </w:r>
      <w:r>
        <w:rPr>
          <w:rFonts w:hint="eastAsia"/>
          <w:sz w:val="84"/>
          <w:szCs w:val="84"/>
        </w:rPr>
        <w:t>年度</w:t>
      </w:r>
    </w:p>
    <w:p>
      <w:pPr>
        <w:pStyle w:val="style4099"/>
        <w:jc w:val="center"/>
        <w:rPr>
          <w:sz w:val="84"/>
          <w:szCs w:val="84"/>
        </w:rPr>
      </w:pPr>
      <w:r>
        <w:rPr>
          <w:rFonts w:hint="eastAsia"/>
          <w:sz w:val="84"/>
          <w:szCs w:val="84"/>
        </w:rPr>
        <w:t>怀化市铁路第一中学部门决算</w:t>
      </w:r>
    </w:p>
    <w:p>
      <w:pPr>
        <w:pStyle w:val="style4099"/>
        <w:jc w:val="center"/>
        <w:rPr>
          <w:sz w:val="56"/>
          <w:szCs w:val="56"/>
        </w:rPr>
      </w:pPr>
    </w:p>
    <w:p>
      <w:pPr>
        <w:pStyle w:val="style4099"/>
        <w:jc w:val="center"/>
        <w:rPr>
          <w:sz w:val="56"/>
          <w:szCs w:val="56"/>
        </w:rPr>
      </w:pPr>
    </w:p>
    <w:p>
      <w:pPr>
        <w:pStyle w:val="style4099"/>
        <w:jc w:val="center"/>
        <w:rPr>
          <w:sz w:val="56"/>
          <w:szCs w:val="56"/>
        </w:rPr>
      </w:pPr>
    </w:p>
    <w:p>
      <w:pPr>
        <w:pStyle w:val="style4099"/>
        <w:jc w:val="center"/>
        <w:rPr>
          <w:sz w:val="56"/>
          <w:szCs w:val="56"/>
        </w:rPr>
      </w:pPr>
    </w:p>
    <w:p>
      <w:pPr>
        <w:pStyle w:val="style4099"/>
        <w:jc w:val="center"/>
        <w:rPr>
          <w:sz w:val="32"/>
          <w:szCs w:val="32"/>
        </w:rPr>
      </w:pPr>
    </w:p>
    <w:p>
      <w:pPr>
        <w:pStyle w:val="style4099"/>
        <w:jc w:val="center"/>
        <w:rPr>
          <w:sz w:val="32"/>
          <w:szCs w:val="32"/>
        </w:rPr>
      </w:pPr>
    </w:p>
    <w:p>
      <w:pPr>
        <w:pStyle w:val="style4099"/>
        <w:jc w:val="center"/>
        <w:rPr>
          <w:sz w:val="32"/>
          <w:szCs w:val="32"/>
        </w:rPr>
      </w:pPr>
    </w:p>
    <w:p>
      <w:pPr>
        <w:pStyle w:val="style4099"/>
        <w:spacing w:lineRule="exact" w:line="540"/>
        <w:jc w:val="center"/>
        <w:rPr>
          <w:sz w:val="56"/>
          <w:szCs w:val="56"/>
        </w:rPr>
      </w:pPr>
    </w:p>
    <w:p>
      <w:pPr>
        <w:pStyle w:val="style4099"/>
        <w:spacing w:lineRule="exact" w:line="500"/>
        <w:jc w:val="center"/>
        <w:rPr>
          <w:b/>
          <w:sz w:val="36"/>
          <w:szCs w:val="28"/>
        </w:rPr>
      </w:pPr>
    </w:p>
    <w:p>
      <w:pPr>
        <w:pStyle w:val="style4099"/>
        <w:spacing w:lineRule="exact" w:line="500"/>
        <w:jc w:val="center"/>
        <w:rPr>
          <w:b/>
          <w:sz w:val="36"/>
          <w:szCs w:val="28"/>
        </w:rPr>
      </w:pPr>
    </w:p>
    <w:p>
      <w:pPr>
        <w:pStyle w:val="style4099"/>
        <w:spacing w:lineRule="exact" w:line="500"/>
        <w:jc w:val="center"/>
        <w:rPr>
          <w:b/>
          <w:sz w:val="36"/>
          <w:szCs w:val="28"/>
        </w:rPr>
      </w:pPr>
      <w:r>
        <w:rPr>
          <w:rFonts w:hint="eastAsia"/>
          <w:b/>
          <w:sz w:val="36"/>
          <w:szCs w:val="28"/>
        </w:rPr>
        <w:t>目录</w:t>
      </w:r>
    </w:p>
    <w:p>
      <w:pPr>
        <w:pStyle w:val="style4099"/>
        <w:spacing w:lineRule="exact" w:line="500"/>
        <w:rPr>
          <w:rFonts w:ascii="仿宋_GB2312" w:cs="仿宋_GB2312" w:hAnsi="仿宋_GB2312"/>
          <w:b/>
          <w:sz w:val="28"/>
          <w:szCs w:val="28"/>
        </w:rPr>
      </w:pPr>
      <w:r>
        <w:rPr>
          <w:rFonts w:hint="eastAsia"/>
          <w:b/>
          <w:sz w:val="28"/>
          <w:szCs w:val="28"/>
        </w:rPr>
        <w:t>第一部分单位概况</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一、部门职责</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二、机构设置</w:t>
      </w:r>
    </w:p>
    <w:p>
      <w:pPr>
        <w:pStyle w:val="style4099"/>
        <w:spacing w:lineRule="exact" w:line="500"/>
        <w:rPr>
          <w:rFonts w:ascii="仿宋_GB2312" w:cs="仿宋_GB2312" w:hAnsi="仿宋_GB2312"/>
          <w:b/>
          <w:sz w:val="28"/>
          <w:szCs w:val="28"/>
        </w:rPr>
      </w:pPr>
      <w:r>
        <w:rPr>
          <w:rFonts w:hAnsi="仿宋_GB2312" w:hint="eastAsia"/>
          <w:b/>
          <w:sz w:val="28"/>
          <w:szCs w:val="28"/>
        </w:rPr>
        <w:t>第二部分</w:t>
      </w:r>
      <w:r>
        <w:rPr>
          <w:rFonts w:hAnsi="仿宋_GB2312"/>
          <w:b/>
          <w:sz w:val="28"/>
          <w:szCs w:val="28"/>
        </w:rPr>
        <w:t>20</w:t>
      </w:r>
      <w:r>
        <w:rPr>
          <w:rFonts w:hAnsi="仿宋_GB2312" w:hint="eastAsia"/>
          <w:b/>
          <w:sz w:val="28"/>
          <w:szCs w:val="28"/>
        </w:rPr>
        <w:t>2</w:t>
      </w:r>
      <w:r>
        <w:rPr>
          <w:rFonts w:hAnsi="仿宋_GB2312" w:hint="eastAsia"/>
          <w:b/>
          <w:sz w:val="28"/>
          <w:szCs w:val="28"/>
          <w:lang w:val="en-US" w:eastAsia="zh-CN"/>
        </w:rPr>
        <w:t>1</w:t>
      </w:r>
      <w:r>
        <w:rPr>
          <w:rFonts w:hAnsi="仿宋_GB2312" w:hint="eastAsia"/>
          <w:b/>
          <w:sz w:val="28"/>
          <w:szCs w:val="28"/>
        </w:rPr>
        <w:t>年度部门决算表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一、收入支出决算总表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二、收入决算表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三、支出决算表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四、财政拨款收入支出决算总表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五、一般公共预算财政拨款支出决算表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六、一般公共预算财政拨款基本支出决算表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七、一般公共预算财政拨款“三公”经费支出决算表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八、政府性基金预算财政拨款收入支出决算表</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hint="eastAsia"/>
          <w:sz w:val="28"/>
          <w:szCs w:val="28"/>
        </w:rPr>
        <w:t>九、国有资本经营预算财政拨款支出决算表</w:t>
      </w:r>
    </w:p>
    <w:p>
      <w:pPr>
        <w:pStyle w:val="style4099"/>
        <w:spacing w:lineRule="exact" w:line="500"/>
        <w:rPr>
          <w:rFonts w:ascii="仿宋_GB2312" w:cs="仿宋_GB2312" w:hAnsi="仿宋_GB2312"/>
          <w:b/>
          <w:sz w:val="28"/>
          <w:szCs w:val="28"/>
        </w:rPr>
      </w:pPr>
      <w:r>
        <w:rPr>
          <w:rFonts w:hAnsi="仿宋_GB2312" w:hint="eastAsia"/>
          <w:b/>
          <w:sz w:val="28"/>
          <w:szCs w:val="28"/>
        </w:rPr>
        <w:t>第三部分</w:t>
      </w:r>
      <w:r>
        <w:rPr>
          <w:rFonts w:hAnsi="仿宋_GB2312"/>
          <w:b/>
          <w:sz w:val="28"/>
          <w:szCs w:val="28"/>
        </w:rPr>
        <w:t>20</w:t>
      </w:r>
      <w:r>
        <w:rPr>
          <w:rFonts w:hAnsi="仿宋_GB2312" w:hint="eastAsia"/>
          <w:b/>
          <w:sz w:val="28"/>
          <w:szCs w:val="28"/>
        </w:rPr>
        <w:t>2</w:t>
      </w:r>
      <w:r>
        <w:rPr>
          <w:rFonts w:hAnsi="仿宋_GB2312" w:hint="eastAsia"/>
          <w:b/>
          <w:sz w:val="28"/>
          <w:szCs w:val="28"/>
          <w:lang w:val="en-US" w:eastAsia="zh-CN"/>
        </w:rPr>
        <w:t>1</w:t>
      </w:r>
      <w:r>
        <w:rPr>
          <w:rFonts w:hAnsi="仿宋_GB2312" w:hint="eastAsia"/>
          <w:b/>
          <w:sz w:val="28"/>
          <w:szCs w:val="28"/>
        </w:rPr>
        <w:t>年度部门决算情况说明</w:t>
      </w:r>
    </w:p>
    <w:p>
      <w:pPr>
        <w:pStyle w:val="style4099"/>
        <w:spacing w:lineRule="exact" w:line="500"/>
        <w:ind w:firstLine="700" w:firstLineChars="250"/>
        <w:rPr>
          <w:rFonts w:ascii="宋体" w:cs="仿宋_GB2312" w:eastAsia="宋体" w:hAnsi="宋体"/>
          <w:sz w:val="28"/>
          <w:szCs w:val="28"/>
        </w:rPr>
      </w:pPr>
      <w:r>
        <w:rPr>
          <w:rFonts w:ascii="宋体" w:cs="仿宋_GB2312" w:eastAsia="宋体" w:hAnsi="宋体"/>
          <w:sz w:val="28"/>
          <w:szCs w:val="28"/>
        </w:rPr>
        <w:t>一、收入支出决算总体情况说明</w:t>
      </w:r>
    </w:p>
    <w:p>
      <w:pPr>
        <w:pStyle w:val="style0"/>
        <w:spacing w:lineRule="exact" w:line="500"/>
        <w:ind w:firstLine="700" w:firstLineChars="250"/>
        <w:jc w:val="left"/>
        <w:rPr>
          <w:rFonts w:ascii="仿宋_GB2312" w:cs="仿宋_GB2312" w:hAnsi="仿宋_GB2312"/>
          <w:sz w:val="28"/>
          <w:szCs w:val="28"/>
        </w:rPr>
      </w:pPr>
      <w:r>
        <w:rPr>
          <w:rFonts w:ascii="仿宋_GB2312" w:cs="仿宋_GB2312" w:hAnsi="仿宋_GB2312"/>
          <w:sz w:val="28"/>
          <w:szCs w:val="28"/>
        </w:rPr>
        <w:t>二、收入决算情况说明</w:t>
      </w:r>
    </w:p>
    <w:p>
      <w:pPr>
        <w:pStyle w:val="style0"/>
        <w:autoSpaceDE w:val="false"/>
        <w:autoSpaceDN w:val="false"/>
        <w:adjustRightInd w:val="false"/>
        <w:spacing w:lineRule="exact" w:line="500"/>
        <w:ind w:firstLine="700" w:firstLineChars="250"/>
        <w:jc w:val="left"/>
        <w:rPr>
          <w:rFonts w:ascii="仿宋_GB2312" w:cs="仿宋_GB2312" w:hAnsi="仿宋_GB2312"/>
          <w:color w:val="000000"/>
          <w:kern w:val="0"/>
          <w:sz w:val="28"/>
          <w:szCs w:val="28"/>
        </w:rPr>
      </w:pPr>
      <w:r>
        <w:rPr>
          <w:rFonts w:ascii="仿宋_GB2312" w:cs="仿宋_GB2312" w:hAnsi="仿宋_GB2312"/>
          <w:color w:val="000000"/>
          <w:kern w:val="0"/>
          <w:sz w:val="28"/>
          <w:szCs w:val="28"/>
        </w:rPr>
        <w:t>三、支出决算情况说明</w:t>
      </w:r>
    </w:p>
    <w:p>
      <w:pPr>
        <w:pStyle w:val="style0"/>
        <w:autoSpaceDE w:val="false"/>
        <w:autoSpaceDN w:val="false"/>
        <w:adjustRightInd w:val="false"/>
        <w:spacing w:lineRule="exact" w:line="500"/>
        <w:ind w:firstLine="700" w:firstLineChars="250"/>
        <w:jc w:val="left"/>
        <w:rPr>
          <w:rFonts w:ascii="仿宋_GB2312" w:cs="仿宋_GB2312" w:hAnsi="仿宋_GB2312"/>
          <w:color w:val="000000"/>
          <w:kern w:val="0"/>
          <w:sz w:val="28"/>
          <w:szCs w:val="28"/>
        </w:rPr>
      </w:pPr>
      <w:r>
        <w:rPr>
          <w:rFonts w:ascii="仿宋_GB2312" w:cs="仿宋_GB2312" w:hAnsi="仿宋_GB2312"/>
          <w:color w:val="000000"/>
          <w:kern w:val="0"/>
          <w:sz w:val="28"/>
          <w:szCs w:val="28"/>
        </w:rPr>
        <w:t>四、财政拨款收入支出决算总体情况说明</w:t>
      </w:r>
    </w:p>
    <w:p>
      <w:pPr>
        <w:pStyle w:val="style0"/>
        <w:autoSpaceDE w:val="false"/>
        <w:autoSpaceDN w:val="false"/>
        <w:adjustRightInd w:val="false"/>
        <w:spacing w:lineRule="exact" w:line="500"/>
        <w:ind w:firstLine="700" w:firstLineChars="250"/>
        <w:jc w:val="left"/>
        <w:rPr>
          <w:rFonts w:ascii="仿宋_GB2312" w:cs="仿宋_GB2312" w:hAnsi="仿宋_GB2312"/>
          <w:color w:val="000000"/>
          <w:kern w:val="0"/>
          <w:sz w:val="28"/>
          <w:szCs w:val="28"/>
        </w:rPr>
      </w:pPr>
      <w:r>
        <w:rPr>
          <w:rFonts w:ascii="仿宋_GB2312" w:cs="仿宋_GB2312" w:hAnsi="仿宋_GB2312"/>
          <w:color w:val="000000"/>
          <w:kern w:val="0"/>
          <w:sz w:val="28"/>
          <w:szCs w:val="28"/>
        </w:rPr>
        <w:t>五、一般公共预算财政拨款支出决算情况说明</w:t>
      </w:r>
    </w:p>
    <w:p>
      <w:pPr>
        <w:pStyle w:val="style0"/>
        <w:autoSpaceDE w:val="false"/>
        <w:autoSpaceDN w:val="false"/>
        <w:adjustRightInd w:val="false"/>
        <w:spacing w:lineRule="exact" w:line="500"/>
        <w:ind w:firstLine="700" w:firstLineChars="250"/>
        <w:jc w:val="left"/>
        <w:rPr>
          <w:rFonts w:ascii="仿宋_GB2312" w:cs="仿宋_GB2312" w:hAnsi="仿宋_GB2312"/>
          <w:color w:val="000000"/>
          <w:kern w:val="0"/>
          <w:sz w:val="28"/>
          <w:szCs w:val="28"/>
        </w:rPr>
      </w:pPr>
      <w:r>
        <w:rPr>
          <w:rFonts w:ascii="仿宋_GB2312" w:cs="仿宋_GB2312" w:hAnsi="仿宋_GB2312"/>
          <w:color w:val="000000"/>
          <w:kern w:val="0"/>
          <w:sz w:val="28"/>
          <w:szCs w:val="28"/>
        </w:rPr>
        <w:t>六、一般公共预算财政拨款基本支出决算情况说明</w:t>
      </w:r>
    </w:p>
    <w:p>
      <w:pPr>
        <w:pStyle w:val="style0"/>
        <w:autoSpaceDE w:val="false"/>
        <w:autoSpaceDN w:val="false"/>
        <w:adjustRightInd w:val="false"/>
        <w:spacing w:lineRule="exact" w:line="500"/>
        <w:ind w:firstLine="700" w:firstLineChars="250"/>
        <w:jc w:val="left"/>
        <w:rPr>
          <w:rFonts w:ascii="仿宋_GB2312" w:cs="仿宋_GB2312" w:hAnsi="仿宋_GB2312"/>
          <w:color w:val="000000"/>
          <w:kern w:val="0"/>
          <w:sz w:val="28"/>
          <w:szCs w:val="28"/>
        </w:rPr>
      </w:pPr>
      <w:r>
        <w:rPr>
          <w:rFonts w:ascii="仿宋_GB2312" w:cs="仿宋_GB2312" w:hAnsi="仿宋_GB2312"/>
          <w:color w:val="000000"/>
          <w:kern w:val="0"/>
          <w:sz w:val="28"/>
          <w:szCs w:val="28"/>
        </w:rPr>
        <w:t>七、一般公共预算财政拨款三公经费支出决算情况说明</w:t>
      </w:r>
    </w:p>
    <w:p>
      <w:pPr>
        <w:pStyle w:val="style4099"/>
        <w:keepNext w:val="false"/>
        <w:keepLines w:val="false"/>
        <w:pageBreakBefore w:val="false"/>
        <w:kinsoku/>
        <w:wordWrap/>
        <w:overflowPunct/>
        <w:topLinePunct w:val="false"/>
        <w:bidi w:val="false"/>
        <w:snapToGrid/>
        <w:spacing w:lineRule="exact" w:line="600"/>
        <w:ind w:firstLine="700" w:firstLineChars="250"/>
        <w:textAlignment w:val="auto"/>
        <w:rPr>
          <w:rFonts w:ascii="仿宋_GB2312" w:cs="仿宋_GB2312" w:eastAsia="宋体" w:hAnsi="仿宋_GB2312" w:hint="eastAsia"/>
          <w:color w:val="000000"/>
          <w:kern w:val="0"/>
          <w:sz w:val="28"/>
          <w:szCs w:val="28"/>
          <w:lang w:val="en-US" w:bidi="ar-SA" w:eastAsia="zh-CN"/>
        </w:rPr>
      </w:pPr>
      <w:r>
        <w:rPr>
          <w:rFonts w:ascii="仿宋_GB2312" w:cs="仿宋_GB2312" w:eastAsia="宋体" w:hAnsi="仿宋_GB2312" w:hint="eastAsia"/>
          <w:color w:val="000000"/>
          <w:kern w:val="0"/>
          <w:sz w:val="28"/>
          <w:szCs w:val="28"/>
          <w:lang w:val="en-US" w:bidi="ar-SA" w:eastAsia="zh-CN"/>
        </w:rPr>
        <w:t>八、政府性基金预算收入支出决算情况说明</w:t>
      </w:r>
    </w:p>
    <w:p>
      <w:pPr>
        <w:pStyle w:val="style0"/>
        <w:autoSpaceDE w:val="false"/>
        <w:autoSpaceDN w:val="false"/>
        <w:adjustRightInd w:val="false"/>
        <w:spacing w:lineRule="exact" w:line="500"/>
        <w:ind w:firstLine="700" w:firstLineChars="250"/>
        <w:jc w:val="left"/>
        <w:rPr>
          <w:rFonts w:ascii="仿宋_GB2312" w:cs="仿宋_GB2312" w:hAnsi="仿宋_GB2312" w:hint="eastAsia"/>
          <w:color w:val="000000"/>
          <w:kern w:val="0"/>
          <w:sz w:val="28"/>
          <w:szCs w:val="28"/>
          <w:lang w:val="en-US" w:eastAsia="zh-CN"/>
        </w:rPr>
      </w:pPr>
      <w:r>
        <w:rPr>
          <w:rFonts w:ascii="仿宋_GB2312" w:cs="仿宋_GB2312" w:hAnsi="仿宋_GB2312" w:hint="eastAsia"/>
          <w:color w:val="000000"/>
          <w:kern w:val="0"/>
          <w:sz w:val="28"/>
          <w:szCs w:val="28"/>
          <w:lang w:val="en-US" w:eastAsia="zh-CN"/>
        </w:rPr>
        <w:t>九、国有资本经营预算财政拨款支出</w:t>
      </w:r>
      <w:r>
        <w:rPr>
          <w:rFonts w:ascii="仿宋_GB2312" w:cs="仿宋_GB2312" w:hAnsi="仿宋_GB2312" w:hint="eastAsia"/>
          <w:color w:val="000000"/>
          <w:kern w:val="0"/>
          <w:sz w:val="28"/>
          <w:szCs w:val="28"/>
        </w:rPr>
        <w:t>决算情况</w:t>
      </w:r>
      <w:r>
        <w:rPr>
          <w:rFonts w:ascii="仿宋_GB2312" w:cs="仿宋_GB2312" w:hAnsi="仿宋_GB2312" w:hint="eastAsia"/>
          <w:color w:val="000000"/>
          <w:kern w:val="0"/>
          <w:sz w:val="28"/>
          <w:szCs w:val="28"/>
          <w:lang w:val="en-US" w:eastAsia="zh-CN"/>
        </w:rPr>
        <w:t>说明</w:t>
      </w:r>
    </w:p>
    <w:p>
      <w:pPr>
        <w:pStyle w:val="style0"/>
        <w:autoSpaceDE w:val="false"/>
        <w:autoSpaceDN w:val="false"/>
        <w:adjustRightInd w:val="false"/>
        <w:spacing w:lineRule="exact" w:line="500"/>
        <w:ind w:firstLine="700" w:firstLineChars="250"/>
        <w:jc w:val="left"/>
        <w:rPr>
          <w:rFonts w:ascii="仿宋_GB2312" w:cs="仿宋_GB2312" w:hAnsi="仿宋_GB2312" w:hint="eastAsia"/>
          <w:color w:val="000000"/>
          <w:kern w:val="0"/>
          <w:sz w:val="28"/>
          <w:szCs w:val="28"/>
        </w:rPr>
      </w:pPr>
      <w:r>
        <w:rPr>
          <w:rFonts w:ascii="仿宋_GB2312" w:cs="仿宋_GB2312" w:hAnsi="仿宋_GB2312" w:hint="eastAsia"/>
          <w:color w:val="000000"/>
          <w:kern w:val="0"/>
          <w:sz w:val="28"/>
          <w:szCs w:val="28"/>
          <w:lang w:val="en-US" w:eastAsia="zh-CN"/>
        </w:rPr>
        <w:t>十</w:t>
      </w:r>
      <w:r>
        <w:rPr>
          <w:rFonts w:ascii="仿宋_GB2312" w:cs="仿宋_GB2312" w:hAnsi="仿宋_GB2312" w:hint="eastAsia"/>
          <w:color w:val="000000"/>
          <w:kern w:val="0"/>
          <w:sz w:val="28"/>
          <w:szCs w:val="28"/>
        </w:rPr>
        <w:t>、关于机关运行经费支出说明</w:t>
      </w:r>
    </w:p>
    <w:p>
      <w:pPr>
        <w:pStyle w:val="style0"/>
        <w:autoSpaceDE w:val="false"/>
        <w:autoSpaceDN w:val="false"/>
        <w:adjustRightInd w:val="false"/>
        <w:spacing w:lineRule="exact" w:line="500"/>
        <w:ind w:firstLine="700" w:firstLineChars="250"/>
        <w:jc w:val="left"/>
        <w:rPr>
          <w:rFonts w:ascii="仿宋_GB2312" w:cs="仿宋_GB2312" w:hAnsi="仿宋_GB2312" w:hint="eastAsia"/>
          <w:color w:val="000000"/>
          <w:kern w:val="0"/>
          <w:sz w:val="28"/>
          <w:szCs w:val="28"/>
          <w:lang w:val="en-US" w:eastAsia="zh-CN"/>
        </w:rPr>
      </w:pPr>
      <w:r>
        <w:rPr>
          <w:rFonts w:ascii="仿宋_GB2312" w:cs="仿宋_GB2312" w:hAnsi="仿宋_GB2312" w:hint="eastAsia"/>
          <w:color w:val="000000"/>
          <w:kern w:val="0"/>
          <w:sz w:val="28"/>
          <w:szCs w:val="28"/>
        </w:rPr>
        <w:t>十</w:t>
      </w:r>
      <w:r>
        <w:rPr>
          <w:rFonts w:ascii="仿宋_GB2312" w:cs="仿宋_GB2312" w:hAnsi="仿宋_GB2312" w:hint="eastAsia"/>
          <w:color w:val="000000"/>
          <w:kern w:val="0"/>
          <w:sz w:val="28"/>
          <w:szCs w:val="28"/>
          <w:lang w:val="en-US" w:eastAsia="zh-CN"/>
        </w:rPr>
        <w:t>一</w:t>
      </w:r>
      <w:r>
        <w:rPr>
          <w:rFonts w:ascii="仿宋_GB2312" w:cs="仿宋_GB2312" w:hAnsi="仿宋_GB2312" w:hint="eastAsia"/>
          <w:color w:val="000000"/>
          <w:kern w:val="0"/>
          <w:sz w:val="28"/>
          <w:szCs w:val="28"/>
        </w:rPr>
        <w:t>、一般性支出情况</w:t>
      </w:r>
      <w:r>
        <w:rPr>
          <w:rFonts w:ascii="仿宋_GB2312" w:cs="仿宋_GB2312" w:hAnsi="仿宋_GB2312" w:hint="eastAsia"/>
          <w:color w:val="000000"/>
          <w:kern w:val="0"/>
          <w:sz w:val="28"/>
          <w:szCs w:val="28"/>
          <w:lang w:val="en-US" w:eastAsia="zh-CN"/>
        </w:rPr>
        <w:t>说明</w:t>
      </w:r>
    </w:p>
    <w:p>
      <w:pPr>
        <w:pStyle w:val="style0"/>
        <w:autoSpaceDE w:val="false"/>
        <w:autoSpaceDN w:val="false"/>
        <w:adjustRightInd w:val="false"/>
        <w:spacing w:lineRule="exact" w:line="500"/>
        <w:ind w:firstLine="700" w:firstLineChars="250"/>
        <w:jc w:val="left"/>
        <w:rPr>
          <w:rFonts w:ascii="仿宋_GB2312" w:cs="仿宋_GB2312" w:hAnsi="仿宋_GB2312" w:hint="eastAsia"/>
          <w:color w:val="000000"/>
          <w:kern w:val="0"/>
          <w:sz w:val="28"/>
          <w:szCs w:val="28"/>
        </w:rPr>
      </w:pPr>
      <w:r>
        <w:rPr>
          <w:rFonts w:ascii="仿宋_GB2312" w:cs="仿宋_GB2312" w:hAnsi="仿宋_GB2312" w:hint="eastAsia"/>
          <w:color w:val="000000"/>
          <w:kern w:val="0"/>
          <w:sz w:val="28"/>
          <w:szCs w:val="28"/>
        </w:rPr>
        <w:t>十</w:t>
      </w:r>
      <w:r>
        <w:rPr>
          <w:rFonts w:ascii="仿宋_GB2312" w:cs="仿宋_GB2312" w:hAnsi="仿宋_GB2312" w:hint="eastAsia"/>
          <w:color w:val="000000"/>
          <w:kern w:val="0"/>
          <w:sz w:val="28"/>
          <w:szCs w:val="28"/>
          <w:lang w:val="en-US" w:eastAsia="zh-CN"/>
        </w:rPr>
        <w:t>二</w:t>
      </w:r>
      <w:r>
        <w:rPr>
          <w:rFonts w:ascii="仿宋_GB2312" w:cs="仿宋_GB2312" w:hAnsi="仿宋_GB2312" w:hint="eastAsia"/>
          <w:color w:val="000000"/>
          <w:kern w:val="0"/>
          <w:sz w:val="28"/>
          <w:szCs w:val="28"/>
        </w:rPr>
        <w:t>、关于政府采购支出说明</w:t>
      </w:r>
    </w:p>
    <w:p>
      <w:pPr>
        <w:pStyle w:val="style0"/>
        <w:autoSpaceDE w:val="false"/>
        <w:autoSpaceDN w:val="false"/>
        <w:adjustRightInd w:val="false"/>
        <w:spacing w:lineRule="exact" w:line="500"/>
        <w:ind w:firstLine="700" w:firstLineChars="250"/>
        <w:jc w:val="left"/>
        <w:rPr>
          <w:rFonts w:ascii="仿宋_GB2312" w:cs="仿宋_GB2312" w:hAnsi="仿宋_GB2312" w:hint="eastAsia"/>
          <w:color w:val="000000"/>
          <w:kern w:val="0"/>
          <w:sz w:val="28"/>
          <w:szCs w:val="28"/>
        </w:rPr>
      </w:pPr>
      <w:r>
        <w:rPr>
          <w:rFonts w:ascii="仿宋_GB2312" w:cs="仿宋_GB2312" w:hAnsi="仿宋_GB2312" w:hint="eastAsia"/>
          <w:color w:val="000000"/>
          <w:kern w:val="0"/>
          <w:sz w:val="28"/>
          <w:szCs w:val="28"/>
        </w:rPr>
        <w:t>十</w:t>
      </w:r>
      <w:r>
        <w:rPr>
          <w:rFonts w:ascii="仿宋_GB2312" w:cs="仿宋_GB2312" w:hAnsi="仿宋_GB2312" w:hint="eastAsia"/>
          <w:color w:val="000000"/>
          <w:kern w:val="0"/>
          <w:sz w:val="28"/>
          <w:szCs w:val="28"/>
          <w:lang w:val="en-US" w:eastAsia="zh-CN"/>
        </w:rPr>
        <w:t>三</w:t>
      </w:r>
      <w:r>
        <w:rPr>
          <w:rFonts w:ascii="仿宋_GB2312" w:cs="仿宋_GB2312" w:hAnsi="仿宋_GB2312" w:hint="eastAsia"/>
          <w:color w:val="000000"/>
          <w:kern w:val="0"/>
          <w:sz w:val="28"/>
          <w:szCs w:val="28"/>
        </w:rPr>
        <w:t>、关于国有资产占用情况说明</w:t>
      </w:r>
    </w:p>
    <w:p>
      <w:pPr>
        <w:pStyle w:val="style0"/>
        <w:autoSpaceDE w:val="false"/>
        <w:autoSpaceDN w:val="false"/>
        <w:adjustRightInd w:val="false"/>
        <w:spacing w:lineRule="exact" w:line="500"/>
        <w:ind w:firstLine="700" w:firstLineChars="250"/>
        <w:jc w:val="left"/>
        <w:rPr>
          <w:rFonts w:ascii="仿宋_GB2312" w:cs="仿宋_GB2312" w:hAnsi="仿宋_GB2312" w:hint="eastAsia"/>
          <w:color w:val="000000"/>
          <w:kern w:val="0"/>
          <w:sz w:val="28"/>
          <w:szCs w:val="28"/>
        </w:rPr>
      </w:pPr>
      <w:r>
        <w:rPr>
          <w:rFonts w:ascii="仿宋_GB2312" w:cs="仿宋_GB2312" w:hAnsi="仿宋_GB2312" w:hint="eastAsia"/>
          <w:color w:val="000000"/>
          <w:kern w:val="0"/>
          <w:sz w:val="28"/>
          <w:szCs w:val="28"/>
        </w:rPr>
        <w:t>十</w:t>
      </w:r>
      <w:r>
        <w:rPr>
          <w:rFonts w:ascii="仿宋_GB2312" w:cs="仿宋_GB2312" w:hAnsi="仿宋_GB2312" w:hint="eastAsia"/>
          <w:color w:val="000000"/>
          <w:kern w:val="0"/>
          <w:sz w:val="28"/>
          <w:szCs w:val="28"/>
          <w:lang w:val="en-US" w:eastAsia="zh-CN"/>
        </w:rPr>
        <w:t>四</w:t>
      </w:r>
      <w:r>
        <w:rPr>
          <w:rFonts w:ascii="仿宋_GB2312" w:cs="仿宋_GB2312" w:hAnsi="仿宋_GB2312" w:hint="eastAsia"/>
          <w:color w:val="000000"/>
          <w:kern w:val="0"/>
          <w:sz w:val="28"/>
          <w:szCs w:val="28"/>
        </w:rPr>
        <w:t>、关于2021年度预算绩效情况的说明</w:t>
      </w:r>
    </w:p>
    <w:p>
      <w:pPr>
        <w:pStyle w:val="style0"/>
        <w:autoSpaceDE w:val="false"/>
        <w:autoSpaceDN w:val="false"/>
        <w:adjustRightInd w:val="false"/>
        <w:spacing w:lineRule="exact" w:line="500"/>
        <w:jc w:val="left"/>
        <w:rPr>
          <w:rFonts w:ascii="黑体" w:cs="黑体" w:eastAsia="黑体" w:hAnsi="黑体"/>
          <w:b/>
          <w:color w:val="000000"/>
          <w:kern w:val="0"/>
          <w:sz w:val="28"/>
          <w:szCs w:val="28"/>
        </w:rPr>
      </w:pPr>
      <w:r>
        <w:rPr>
          <w:rFonts w:ascii="黑体" w:cs="黑体" w:eastAsia="黑体" w:hAnsi="黑体"/>
          <w:b/>
          <w:color w:val="000000"/>
          <w:kern w:val="0"/>
          <w:sz w:val="28"/>
          <w:szCs w:val="28"/>
        </w:rPr>
        <w:t>第四部分名词解释</w:t>
      </w:r>
    </w:p>
    <w:p>
      <w:pPr>
        <w:pStyle w:val="style0"/>
        <w:autoSpaceDE w:val="false"/>
        <w:autoSpaceDN w:val="false"/>
        <w:adjustRightInd w:val="false"/>
        <w:spacing w:lineRule="exact" w:line="500"/>
        <w:jc w:val="left"/>
        <w:rPr>
          <w:rFonts w:ascii="黑体" w:cs="仿宋_GB2312" w:eastAsia="黑体" w:hAnsi="黑体"/>
          <w:b/>
          <w:color w:val="000000"/>
          <w:kern w:val="0"/>
          <w:sz w:val="28"/>
          <w:szCs w:val="28"/>
        </w:rPr>
      </w:pPr>
      <w:r>
        <w:rPr>
          <w:rFonts w:ascii="黑体" w:cs="黑体" w:eastAsia="黑体" w:hAnsi="黑体" w:hint="eastAsia"/>
          <w:b/>
          <w:color w:val="000000"/>
          <w:kern w:val="0"/>
          <w:sz w:val="28"/>
          <w:szCs w:val="28"/>
        </w:rPr>
        <w:t>第五部分附件</w:t>
      </w: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rPr>
          <w:sz w:val="72"/>
          <w:szCs w:val="72"/>
        </w:rPr>
      </w:pPr>
    </w:p>
    <w:p>
      <w:pPr>
        <w:pStyle w:val="style4099"/>
        <w:jc w:val="center"/>
        <w:rPr>
          <w:sz w:val="84"/>
          <w:szCs w:val="84"/>
        </w:rPr>
      </w:pPr>
      <w:r>
        <w:rPr>
          <w:rFonts w:hint="eastAsia"/>
          <w:sz w:val="84"/>
          <w:szCs w:val="84"/>
        </w:rPr>
        <w:t>第一部分</w:t>
      </w:r>
    </w:p>
    <w:p>
      <w:pPr>
        <w:pStyle w:val="style4099"/>
        <w:jc w:val="center"/>
        <w:rPr>
          <w:sz w:val="84"/>
          <w:szCs w:val="84"/>
        </w:rPr>
      </w:pPr>
    </w:p>
    <w:p>
      <w:pPr>
        <w:pStyle w:val="style4099"/>
        <w:jc w:val="center"/>
        <w:rPr>
          <w:sz w:val="84"/>
          <w:szCs w:val="84"/>
        </w:rPr>
      </w:pPr>
      <w:r>
        <w:rPr>
          <w:rFonts w:hint="eastAsia"/>
          <w:sz w:val="84"/>
          <w:szCs w:val="84"/>
        </w:rPr>
        <w:t>单位概况</w:t>
      </w: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179"/>
        <w:ind w:left="720" w:firstLine="0" w:firstLineChars="0"/>
        <w:jc w:val="left"/>
        <w:rPr>
          <w:rFonts w:ascii="黑体" w:eastAsia="黑体" w:hAnsi="黑体"/>
          <w:sz w:val="32"/>
          <w:szCs w:val="32"/>
        </w:rPr>
      </w:pPr>
    </w:p>
    <w:p>
      <w:pPr>
        <w:pStyle w:val="style179"/>
        <w:ind w:left="720" w:firstLine="0" w:firstLineChars="0"/>
        <w:jc w:val="left"/>
        <w:rPr>
          <w:rFonts w:ascii="黑体" w:eastAsia="黑体" w:hAnsi="黑体"/>
          <w:sz w:val="32"/>
          <w:szCs w:val="32"/>
        </w:rPr>
      </w:pPr>
    </w:p>
    <w:p>
      <w:pPr>
        <w:pStyle w:val="style179"/>
        <w:ind w:left="720" w:firstLine="0" w:firstLineChars="0"/>
        <w:jc w:val="left"/>
        <w:rPr>
          <w:rFonts w:ascii="黑体" w:eastAsia="黑体" w:hAnsi="黑体"/>
          <w:sz w:val="32"/>
          <w:szCs w:val="32"/>
        </w:rPr>
      </w:pPr>
    </w:p>
    <w:p>
      <w:pPr>
        <w:pStyle w:val="style179"/>
        <w:numPr>
          <w:ilvl w:val="0"/>
          <w:numId w:val="1"/>
        </w:numPr>
        <w:ind w:firstLineChars="0"/>
        <w:jc w:val="left"/>
        <w:rPr>
          <w:rFonts w:ascii="黑体" w:eastAsia="黑体" w:hAnsi="黑体"/>
          <w:sz w:val="32"/>
          <w:szCs w:val="32"/>
        </w:rPr>
      </w:pPr>
      <w:r>
        <w:rPr>
          <w:rFonts w:ascii="黑体" w:eastAsia="黑体" w:hAnsi="黑体"/>
          <w:sz w:val="32"/>
          <w:szCs w:val="32"/>
        </w:rPr>
        <w:t>部门职责</w:t>
      </w:r>
    </w:p>
    <w:p>
      <w:pPr>
        <w:pStyle w:val="style0"/>
        <w:ind w:firstLine="800" w:firstLineChars="250"/>
        <w:jc w:val="left"/>
        <w:rPr>
          <w:rFonts w:ascii="宋体" w:hAnsi="宋体"/>
          <w:bCs/>
          <w:kern w:val="0"/>
          <w:sz w:val="32"/>
          <w:szCs w:val="32"/>
        </w:rPr>
      </w:pPr>
      <w:r>
        <w:rPr>
          <w:rFonts w:ascii="宋体" w:hAnsi="宋体" w:hint="eastAsia"/>
          <w:bCs/>
          <w:kern w:val="0"/>
          <w:sz w:val="32"/>
          <w:szCs w:val="32"/>
        </w:rPr>
        <w:t>怀化市铁路第一中学主要职责是组织教育教学、科学研究活动，保证教育教学质量。维护教职工利益，保障教职工合法权益，以教职工和学生的人生幸福和生命质量作为重点。其任务是为学生的终身发展奠定基础。</w:t>
      </w:r>
    </w:p>
    <w:p>
      <w:pPr>
        <w:pStyle w:val="style0"/>
        <w:widowControl/>
        <w:spacing w:lineRule="exact" w:line="600"/>
        <w:rPr>
          <w:rFonts w:ascii="黑体" w:eastAsia="黑体" w:hAnsi="黑体"/>
          <w:bCs/>
          <w:kern w:val="0"/>
          <w:sz w:val="32"/>
          <w:szCs w:val="32"/>
        </w:rPr>
      </w:pPr>
      <w:r>
        <w:rPr>
          <w:rFonts w:ascii="黑体" w:eastAsia="黑体" w:hAnsi="黑体" w:hint="eastAsia"/>
          <w:bCs/>
          <w:kern w:val="0"/>
          <w:sz w:val="32"/>
          <w:szCs w:val="32"/>
        </w:rPr>
        <w:t>二、机构设置及决算单位构成</w:t>
      </w:r>
    </w:p>
    <w:p>
      <w:pPr>
        <w:pStyle w:val="style0"/>
        <w:widowControl/>
        <w:spacing w:lineRule="exact" w:line="600"/>
        <w:ind w:firstLine="640" w:firstLineChars="200"/>
        <w:rPr>
          <w:rFonts w:ascii="宋体" w:hAnsi="宋体"/>
          <w:bCs/>
          <w:kern w:val="0"/>
          <w:sz w:val="32"/>
          <w:szCs w:val="32"/>
        </w:rPr>
      </w:pPr>
      <w:r>
        <w:rPr>
          <w:rFonts w:ascii="宋体" w:hAnsi="宋体" w:hint="eastAsia"/>
          <w:bCs/>
          <w:kern w:val="0"/>
          <w:sz w:val="32"/>
          <w:szCs w:val="32"/>
        </w:rPr>
        <w:t>（一）内设机构设置。怀化市铁路第一中学是隶属怀化市教育局直属学校，作为一级预算单位全校共分三个年级组，43个教学班，内设行政办公室、教务室、政教室、财务室、总务室共5个科室。</w:t>
      </w:r>
    </w:p>
    <w:p>
      <w:pPr>
        <w:pStyle w:val="style0"/>
        <w:widowControl/>
        <w:spacing w:lineRule="exact" w:line="600"/>
        <w:ind w:firstLine="640" w:firstLineChars="200"/>
        <w:rPr>
          <w:rFonts w:ascii="宋体" w:hAnsi="宋体"/>
          <w:bCs/>
          <w:kern w:val="0"/>
          <w:sz w:val="32"/>
          <w:szCs w:val="32"/>
        </w:rPr>
      </w:pPr>
      <w:r>
        <w:rPr>
          <w:rFonts w:ascii="宋体" w:hAnsi="宋体" w:hint="eastAsia"/>
          <w:bCs/>
          <w:kern w:val="0"/>
          <w:sz w:val="32"/>
          <w:szCs w:val="32"/>
        </w:rPr>
        <w:t>（二）决算单位构成。怀化市铁路第一中学</w:t>
      </w:r>
      <w:r>
        <w:rPr>
          <w:rFonts w:ascii="宋体" w:hAnsi="宋体"/>
          <w:bCs/>
          <w:kern w:val="0"/>
          <w:sz w:val="32"/>
          <w:szCs w:val="32"/>
        </w:rPr>
        <w:t>20</w:t>
      </w:r>
      <w:r>
        <w:rPr>
          <w:rFonts w:ascii="宋体" w:hAnsi="宋体" w:hint="eastAsia"/>
          <w:bCs/>
          <w:kern w:val="0"/>
          <w:sz w:val="32"/>
          <w:szCs w:val="32"/>
        </w:rPr>
        <w:t>2</w:t>
      </w:r>
      <w:r>
        <w:rPr>
          <w:rFonts w:ascii="宋体" w:hAnsi="宋体" w:hint="eastAsia"/>
          <w:bCs/>
          <w:kern w:val="0"/>
          <w:sz w:val="32"/>
          <w:szCs w:val="32"/>
          <w:lang w:val="en-US" w:eastAsia="zh-CN"/>
        </w:rPr>
        <w:t>1</w:t>
      </w:r>
      <w:r>
        <w:rPr>
          <w:rFonts w:ascii="宋体" w:hAnsi="宋体" w:hint="eastAsia"/>
          <w:bCs/>
          <w:kern w:val="0"/>
          <w:sz w:val="32"/>
          <w:szCs w:val="32"/>
        </w:rPr>
        <w:t>年部门决算汇总公开单位构成包括：怀化市铁路第一中学单位本级。</w:t>
      </w:r>
    </w:p>
    <w:p>
      <w:pPr>
        <w:pStyle w:val="style0"/>
        <w:jc w:val="left"/>
        <w:rPr>
          <w:rFonts w:ascii="仿宋_GB2312" w:eastAsia="仿宋_GB2312" w:hAnsi="宋体"/>
          <w:sz w:val="28"/>
          <w:szCs w:val="32"/>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rFonts w:ascii="黑体" w:eastAsia="黑体" w:hAnsi="黑体"/>
          <w:sz w:val="28"/>
          <w:szCs w:val="28"/>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r>
        <w:rPr>
          <w:rFonts w:hint="eastAsia"/>
          <w:sz w:val="72"/>
          <w:szCs w:val="72"/>
        </w:rPr>
        <w:t>第二部分</w:t>
      </w:r>
    </w:p>
    <w:p>
      <w:pPr>
        <w:pStyle w:val="style0"/>
        <w:jc w:val="center"/>
        <w:rPr>
          <w:sz w:val="72"/>
          <w:szCs w:val="72"/>
        </w:rPr>
      </w:pPr>
    </w:p>
    <w:p>
      <w:pPr>
        <w:pStyle w:val="style0"/>
        <w:jc w:val="center"/>
        <w:rPr>
          <w:sz w:val="72"/>
          <w:szCs w:val="72"/>
        </w:rPr>
      </w:pPr>
      <w:r>
        <w:rPr>
          <w:rFonts w:hint="eastAsia"/>
          <w:sz w:val="72"/>
          <w:szCs w:val="72"/>
        </w:rPr>
        <w:t>部门决算表</w:t>
      </w:r>
      <w:r>
        <w:rPr>
          <w:sz w:val="72"/>
          <w:szCs w:val="72"/>
        </w:rPr>
        <w:br/>
      </w:r>
      <w:r>
        <w:rPr>
          <w:rFonts w:hint="eastAsia"/>
          <w:sz w:val="72"/>
          <w:szCs w:val="72"/>
        </w:rPr>
        <w:t>（表格见附件）</w:t>
      </w: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left"/>
        <w:rPr>
          <w:sz w:val="32"/>
          <w:szCs w:val="32"/>
        </w:rPr>
      </w:pPr>
    </w:p>
    <w:p>
      <w:pPr>
        <w:pStyle w:val="style0"/>
        <w:jc w:val="left"/>
        <w:rPr>
          <w:rFonts w:ascii="宋体" w:hAnsi="宋体"/>
          <w:sz w:val="32"/>
          <w:szCs w:val="32"/>
        </w:rPr>
        <w:sectPr>
          <w:pgSz w:w="11906" w:h="16838" w:orient="portrait"/>
          <w:pgMar w:top="720" w:right="720" w:bottom="720" w:left="720" w:header="851" w:footer="992" w:gutter="0"/>
          <w:cols w:space="425" w:num="1"/>
          <w:docGrid w:type="lines" w:linePitch="312" w:charSpace="0"/>
        </w:sectPr>
      </w:pPr>
    </w:p>
    <w:p>
      <w:pPr>
        <w:pStyle w:val="style4099"/>
        <w:rPr>
          <w:sz w:val="72"/>
          <w:szCs w:val="72"/>
        </w:rPr>
      </w:pPr>
    </w:p>
    <w:p>
      <w:pPr>
        <w:pStyle w:val="style4099"/>
        <w:rPr>
          <w:sz w:val="72"/>
          <w:szCs w:val="72"/>
        </w:rPr>
      </w:pPr>
    </w:p>
    <w:p>
      <w:pPr>
        <w:pStyle w:val="style4099"/>
        <w:rPr>
          <w:sz w:val="72"/>
          <w:szCs w:val="72"/>
        </w:rPr>
      </w:pPr>
    </w:p>
    <w:p>
      <w:pPr>
        <w:pStyle w:val="style4099"/>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r>
        <w:rPr>
          <w:rFonts w:hint="eastAsia"/>
          <w:sz w:val="72"/>
          <w:szCs w:val="72"/>
        </w:rPr>
        <w:t>第三部分</w:t>
      </w:r>
    </w:p>
    <w:p>
      <w:pPr>
        <w:pStyle w:val="style4099"/>
        <w:jc w:val="center"/>
        <w:rPr>
          <w:sz w:val="70"/>
          <w:szCs w:val="70"/>
        </w:rPr>
      </w:pPr>
    </w:p>
    <w:p>
      <w:pPr>
        <w:pStyle w:val="style4099"/>
        <w:jc w:val="center"/>
        <w:rPr>
          <w:sz w:val="70"/>
          <w:szCs w:val="70"/>
        </w:rPr>
      </w:pPr>
      <w:r>
        <w:rPr>
          <w:sz w:val="70"/>
          <w:szCs w:val="70"/>
        </w:rPr>
        <w:t>20</w:t>
      </w:r>
      <w:r>
        <w:rPr>
          <w:rFonts w:hint="eastAsia"/>
          <w:sz w:val="70"/>
          <w:szCs w:val="70"/>
        </w:rPr>
        <w:t>2</w:t>
      </w:r>
      <w:r>
        <w:rPr>
          <w:rFonts w:hint="eastAsia"/>
          <w:sz w:val="70"/>
          <w:szCs w:val="70"/>
          <w:lang w:val="en-US" w:eastAsia="zh-CN"/>
        </w:rPr>
        <w:t>1</w:t>
      </w:r>
      <w:r>
        <w:rPr>
          <w:rFonts w:hint="eastAsia"/>
          <w:sz w:val="70"/>
          <w:szCs w:val="70"/>
        </w:rPr>
        <w:t>年度部门决算情况说明</w:t>
      </w:r>
    </w:p>
    <w:p>
      <w:pPr>
        <w:pStyle w:val="style0"/>
        <w:widowControl/>
        <w:jc w:val="left"/>
        <w:rPr>
          <w:rFonts w:ascii="黑体" w:cs="黑体" w:eastAsia="黑体"/>
          <w:color w:val="000000"/>
          <w:kern w:val="0"/>
          <w:sz w:val="70"/>
          <w:szCs w:val="70"/>
        </w:rPr>
      </w:pPr>
      <w:r>
        <w:rPr>
          <w:sz w:val="70"/>
          <w:szCs w:val="70"/>
        </w:rPr>
        <w:br w:type="page"/>
      </w:r>
    </w:p>
    <w:p>
      <w:pPr>
        <w:pStyle w:val="style4099"/>
        <w:rPr>
          <w:rFonts w:ascii="宋体" w:eastAsia="宋体" w:hAnsi="宋体"/>
          <w:sz w:val="32"/>
          <w:szCs w:val="32"/>
        </w:rPr>
      </w:pPr>
    </w:p>
    <w:p>
      <w:pPr>
        <w:pStyle w:val="style4099"/>
        <w:rPr>
          <w:rFonts w:hAnsi="黑体"/>
          <w:b/>
          <w:sz w:val="32"/>
          <w:szCs w:val="32"/>
        </w:rPr>
      </w:pPr>
      <w:r>
        <w:rPr>
          <w:rFonts w:hAnsi="黑体" w:hint="eastAsia"/>
          <w:b/>
          <w:sz w:val="32"/>
          <w:szCs w:val="32"/>
        </w:rPr>
        <w:t>一、收入支出决算总体情况说明</w:t>
      </w:r>
    </w:p>
    <w:p>
      <w:pPr>
        <w:pStyle w:val="style4099"/>
        <w:ind w:firstLine="640" w:firstLineChars="200"/>
        <w:rPr>
          <w:rFonts w:ascii="宋体" w:eastAsia="宋体" w:hAnsi="宋体"/>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年度收入总计</w:t>
      </w:r>
      <w:r>
        <w:rPr>
          <w:rFonts w:ascii="宋体" w:eastAsia="宋体" w:hAnsi="宋体" w:hint="eastAsia"/>
          <w:sz w:val="32"/>
          <w:szCs w:val="32"/>
          <w:lang w:val="en-US" w:eastAsia="zh-CN"/>
        </w:rPr>
        <w:t>5184.48</w:t>
      </w:r>
      <w:r>
        <w:rPr>
          <w:rFonts w:ascii="宋体" w:eastAsia="宋体" w:hAnsi="宋体" w:hint="eastAsia"/>
          <w:sz w:val="32"/>
          <w:szCs w:val="32"/>
        </w:rPr>
        <w:t>万元。与上年相比，</w:t>
      </w:r>
      <w:r>
        <w:rPr>
          <w:rFonts w:ascii="宋体" w:eastAsia="宋体" w:hAnsi="宋体" w:hint="eastAsia"/>
          <w:sz w:val="32"/>
          <w:szCs w:val="32"/>
          <w:lang w:val="en-US" w:eastAsia="zh-CN"/>
        </w:rPr>
        <w:t>增加1020.03</w:t>
      </w:r>
      <w:r>
        <w:rPr>
          <w:rFonts w:ascii="宋体" w:eastAsia="宋体" w:hAnsi="宋体" w:hint="eastAsia"/>
          <w:sz w:val="32"/>
          <w:szCs w:val="32"/>
        </w:rPr>
        <w:t>万元，</w:t>
      </w:r>
      <w:r>
        <w:rPr>
          <w:rFonts w:ascii="宋体" w:eastAsia="宋体" w:hAnsi="宋体" w:hint="eastAsia"/>
          <w:sz w:val="32"/>
          <w:szCs w:val="32"/>
          <w:lang w:val="en-US" w:eastAsia="zh-CN"/>
        </w:rPr>
        <w:t>增长24.5</w:t>
      </w:r>
      <w:r>
        <w:rPr>
          <w:rFonts w:ascii="宋体" w:eastAsia="宋体" w:hAnsi="宋体" w:hint="eastAsia"/>
          <w:sz w:val="32"/>
          <w:szCs w:val="32"/>
        </w:rPr>
        <w:t>%，主要是因为</w:t>
      </w:r>
      <w:r>
        <w:rPr>
          <w:rFonts w:ascii="宋体" w:eastAsia="宋体" w:hAnsi="宋体" w:hint="eastAsia"/>
          <w:sz w:val="32"/>
          <w:szCs w:val="32"/>
          <w:lang w:val="en-US" w:eastAsia="zh-CN"/>
        </w:rPr>
        <w:t>课后服务费等收入增加</w:t>
      </w:r>
      <w:r>
        <w:rPr>
          <w:rFonts w:ascii="宋体" w:eastAsia="宋体" w:hAnsi="宋体" w:hint="eastAsia"/>
          <w:sz w:val="32"/>
          <w:szCs w:val="32"/>
        </w:rPr>
        <w:t>。</w:t>
      </w:r>
    </w:p>
    <w:p>
      <w:pPr>
        <w:pStyle w:val="style4099"/>
        <w:ind w:firstLine="640" w:firstLineChars="200"/>
        <w:rPr>
          <w:rFonts w:ascii="宋体" w:eastAsia="宋体" w:hAnsi="宋体"/>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年度支出总计</w:t>
      </w:r>
      <w:r>
        <w:rPr>
          <w:rFonts w:ascii="宋体" w:eastAsia="宋体" w:hAnsi="宋体" w:hint="eastAsia"/>
          <w:sz w:val="32"/>
          <w:szCs w:val="32"/>
          <w:lang w:val="en-US" w:eastAsia="zh-CN"/>
        </w:rPr>
        <w:t>4760.86</w:t>
      </w:r>
      <w:r>
        <w:rPr>
          <w:rFonts w:ascii="宋体" w:eastAsia="宋体" w:hAnsi="宋体" w:hint="eastAsia"/>
          <w:sz w:val="32"/>
          <w:szCs w:val="32"/>
        </w:rPr>
        <w:t>万元。与上年相比，增加</w:t>
      </w:r>
      <w:r>
        <w:rPr>
          <w:rFonts w:ascii="宋体" w:eastAsia="宋体" w:hAnsi="宋体" w:hint="eastAsia"/>
          <w:sz w:val="32"/>
          <w:szCs w:val="32"/>
          <w:lang w:val="en-US" w:eastAsia="zh-CN"/>
        </w:rPr>
        <w:t>120.89</w:t>
      </w:r>
      <w:r>
        <w:rPr>
          <w:rFonts w:ascii="宋体" w:eastAsia="宋体" w:hAnsi="宋体" w:hint="eastAsia"/>
          <w:sz w:val="32"/>
          <w:szCs w:val="32"/>
        </w:rPr>
        <w:t>万元，增长</w:t>
      </w:r>
      <w:r>
        <w:rPr>
          <w:rFonts w:ascii="宋体" w:eastAsia="宋体" w:hAnsi="宋体" w:hint="eastAsia"/>
          <w:sz w:val="32"/>
          <w:szCs w:val="32"/>
          <w:lang w:val="en-US" w:eastAsia="zh-CN"/>
        </w:rPr>
        <w:t>2.6</w:t>
      </w:r>
      <w:r>
        <w:rPr>
          <w:rFonts w:ascii="宋体" w:eastAsia="宋体" w:hAnsi="宋体" w:hint="eastAsia"/>
          <w:sz w:val="32"/>
          <w:szCs w:val="32"/>
        </w:rPr>
        <w:t>%，主要是因为</w:t>
      </w:r>
      <w:r>
        <w:rPr>
          <w:rFonts w:ascii="宋体" w:eastAsia="宋体" w:hAnsi="宋体" w:hint="eastAsia"/>
          <w:sz w:val="32"/>
          <w:szCs w:val="32"/>
          <w:lang w:val="en-US" w:eastAsia="zh-CN"/>
        </w:rPr>
        <w:t>课后服务费等支出增加</w:t>
      </w:r>
      <w:r>
        <w:rPr>
          <w:rFonts w:ascii="宋体" w:eastAsia="宋体" w:hAnsi="宋体" w:hint="eastAsia"/>
          <w:sz w:val="32"/>
          <w:szCs w:val="32"/>
        </w:rPr>
        <w:t>。</w:t>
      </w:r>
    </w:p>
    <w:p>
      <w:pPr>
        <w:pStyle w:val="style4099"/>
        <w:rPr>
          <w:rFonts w:hAnsi="黑体"/>
          <w:b/>
          <w:sz w:val="32"/>
          <w:szCs w:val="32"/>
        </w:rPr>
      </w:pPr>
      <w:r>
        <w:rPr>
          <w:rFonts w:hAnsi="黑体" w:hint="eastAsia"/>
          <w:b/>
          <w:sz w:val="32"/>
          <w:szCs w:val="32"/>
        </w:rPr>
        <w:t>二、收入决算情况说明</w:t>
      </w:r>
    </w:p>
    <w:p>
      <w:pPr>
        <w:pStyle w:val="style4099"/>
        <w:ind w:firstLine="640" w:firstLineChars="200"/>
        <w:rPr>
          <w:rFonts w:ascii="宋体" w:eastAsia="宋体" w:hAnsi="宋体"/>
          <w:sz w:val="32"/>
          <w:szCs w:val="32"/>
        </w:rPr>
      </w:pPr>
      <w:r>
        <w:rPr>
          <w:rFonts w:ascii="宋体" w:eastAsia="宋体" w:hAnsi="宋体" w:hint="eastAsia"/>
          <w:sz w:val="32"/>
          <w:szCs w:val="32"/>
        </w:rPr>
        <w:t>本年收入合计</w:t>
      </w:r>
      <w:r>
        <w:rPr>
          <w:rFonts w:ascii="宋体" w:eastAsia="宋体" w:hAnsi="宋体" w:hint="eastAsia"/>
          <w:sz w:val="32"/>
          <w:szCs w:val="32"/>
          <w:lang w:val="en-US" w:eastAsia="zh-CN"/>
        </w:rPr>
        <w:t>5184.48</w:t>
      </w:r>
      <w:r>
        <w:rPr>
          <w:rFonts w:ascii="宋体" w:eastAsia="宋体" w:hAnsi="宋体" w:hint="eastAsia"/>
          <w:sz w:val="32"/>
          <w:szCs w:val="32"/>
        </w:rPr>
        <w:t>万元，其中：财政拨款收入</w:t>
      </w:r>
      <w:r>
        <w:rPr>
          <w:rFonts w:ascii="宋体" w:eastAsia="宋体" w:hAnsi="宋体" w:hint="eastAsia"/>
          <w:sz w:val="32"/>
          <w:szCs w:val="32"/>
          <w:lang w:val="en-US" w:eastAsia="zh-CN"/>
        </w:rPr>
        <w:t>4167.45</w:t>
      </w:r>
      <w:r>
        <w:rPr>
          <w:rFonts w:ascii="宋体" w:eastAsia="宋体" w:hAnsi="宋体" w:hint="eastAsia"/>
          <w:sz w:val="32"/>
          <w:szCs w:val="32"/>
        </w:rPr>
        <w:t>万元，占</w:t>
      </w:r>
      <w:r>
        <w:rPr>
          <w:rFonts w:ascii="宋体" w:eastAsia="宋体" w:hAnsi="宋体" w:hint="eastAsia"/>
          <w:sz w:val="32"/>
          <w:szCs w:val="32"/>
          <w:lang w:val="en-US" w:eastAsia="zh-CN"/>
        </w:rPr>
        <w:t>80.4</w:t>
      </w:r>
      <w:r>
        <w:rPr>
          <w:rFonts w:ascii="宋体" w:eastAsia="宋体" w:hAnsi="宋体" w:hint="eastAsia"/>
          <w:sz w:val="32"/>
          <w:szCs w:val="32"/>
        </w:rPr>
        <w:t>%；上级补助收入0万元，占0%；事业收入</w:t>
      </w:r>
      <w:r>
        <w:rPr>
          <w:rFonts w:ascii="宋体" w:eastAsia="宋体" w:hAnsi="宋体" w:hint="eastAsia"/>
          <w:sz w:val="32"/>
          <w:szCs w:val="32"/>
          <w:lang w:val="en-US" w:eastAsia="zh-CN"/>
        </w:rPr>
        <w:t>1017.03</w:t>
      </w:r>
      <w:r>
        <w:rPr>
          <w:rFonts w:ascii="宋体" w:eastAsia="宋体" w:hAnsi="宋体" w:hint="eastAsia"/>
          <w:sz w:val="32"/>
          <w:szCs w:val="32"/>
        </w:rPr>
        <w:t>万元，占</w:t>
      </w:r>
      <w:r>
        <w:rPr>
          <w:rFonts w:ascii="宋体" w:eastAsia="宋体" w:hAnsi="宋体" w:hint="eastAsia"/>
          <w:sz w:val="32"/>
          <w:szCs w:val="32"/>
          <w:lang w:val="en-US" w:eastAsia="zh-CN"/>
        </w:rPr>
        <w:t>19.6</w:t>
      </w:r>
      <w:r>
        <w:rPr>
          <w:rFonts w:ascii="宋体" w:eastAsia="宋体" w:hAnsi="宋体" w:hint="eastAsia"/>
          <w:sz w:val="32"/>
          <w:szCs w:val="32"/>
        </w:rPr>
        <w:t>%；经营收入0万元，占0%；附属单位上缴收入0万元，占0%；其他收入0万元，占0%。</w:t>
      </w:r>
    </w:p>
    <w:p>
      <w:pPr>
        <w:pStyle w:val="style4099"/>
        <w:rPr>
          <w:rFonts w:hAnsi="黑体"/>
          <w:b/>
          <w:sz w:val="32"/>
          <w:szCs w:val="32"/>
        </w:rPr>
      </w:pPr>
      <w:r>
        <w:rPr>
          <w:rFonts w:hAnsi="黑体" w:hint="eastAsia"/>
          <w:b/>
          <w:sz w:val="32"/>
          <w:szCs w:val="32"/>
        </w:rPr>
        <w:t>三、支出决算情况说明</w:t>
      </w:r>
    </w:p>
    <w:p>
      <w:pPr>
        <w:pStyle w:val="style4099"/>
        <w:ind w:firstLine="640" w:firstLineChars="200"/>
        <w:rPr>
          <w:rFonts w:ascii="宋体" w:eastAsia="宋体" w:hAnsi="宋体"/>
          <w:sz w:val="32"/>
          <w:szCs w:val="32"/>
        </w:rPr>
      </w:pPr>
      <w:r>
        <w:rPr>
          <w:rFonts w:ascii="宋体" w:eastAsia="宋体" w:hAnsi="宋体" w:hint="eastAsia"/>
          <w:sz w:val="32"/>
          <w:szCs w:val="32"/>
        </w:rPr>
        <w:t>本年支出合计</w:t>
      </w:r>
      <w:r>
        <w:rPr>
          <w:rFonts w:ascii="宋体" w:eastAsia="宋体" w:hAnsi="宋体" w:hint="eastAsia"/>
          <w:sz w:val="32"/>
          <w:szCs w:val="32"/>
          <w:lang w:val="en-US" w:eastAsia="zh-CN"/>
        </w:rPr>
        <w:t>4760.86</w:t>
      </w:r>
      <w:r>
        <w:rPr>
          <w:rFonts w:ascii="宋体" w:eastAsia="宋体" w:hAnsi="宋体" w:hint="eastAsia"/>
          <w:sz w:val="32"/>
          <w:szCs w:val="32"/>
        </w:rPr>
        <w:t>万元，其中：基本支出</w:t>
      </w:r>
      <w:r>
        <w:rPr>
          <w:rFonts w:ascii="宋体" w:eastAsia="宋体" w:hAnsi="宋体" w:hint="eastAsia"/>
          <w:sz w:val="32"/>
          <w:szCs w:val="32"/>
          <w:lang w:val="en-US" w:eastAsia="zh-CN"/>
        </w:rPr>
        <w:t>4167.45</w:t>
      </w:r>
      <w:r>
        <w:rPr>
          <w:rFonts w:ascii="宋体" w:eastAsia="宋体" w:hAnsi="宋体" w:hint="eastAsia"/>
          <w:sz w:val="32"/>
          <w:szCs w:val="32"/>
        </w:rPr>
        <w:t>万元，占8</w:t>
      </w:r>
      <w:r>
        <w:rPr>
          <w:rFonts w:ascii="宋体" w:eastAsia="宋体" w:hAnsi="宋体" w:hint="eastAsia"/>
          <w:sz w:val="32"/>
          <w:szCs w:val="32"/>
          <w:lang w:val="en-US" w:eastAsia="zh-CN"/>
        </w:rPr>
        <w:t>7.5</w:t>
      </w:r>
      <w:r>
        <w:rPr>
          <w:rFonts w:ascii="宋体" w:eastAsia="宋体" w:hAnsi="宋体" w:hint="eastAsia"/>
          <w:sz w:val="32"/>
          <w:szCs w:val="32"/>
        </w:rPr>
        <w:t>%；项目支出</w:t>
      </w:r>
      <w:r>
        <w:rPr>
          <w:rFonts w:ascii="宋体" w:eastAsia="宋体" w:hAnsi="宋体" w:hint="eastAsia"/>
          <w:sz w:val="32"/>
          <w:szCs w:val="32"/>
          <w:lang w:val="en-US" w:eastAsia="zh-CN"/>
        </w:rPr>
        <w:t>593.41</w:t>
      </w:r>
      <w:r>
        <w:rPr>
          <w:rFonts w:ascii="宋体" w:eastAsia="宋体" w:hAnsi="宋体" w:hint="eastAsia"/>
          <w:sz w:val="32"/>
          <w:szCs w:val="32"/>
        </w:rPr>
        <w:t>万元，占</w:t>
      </w:r>
      <w:r>
        <w:rPr>
          <w:rFonts w:ascii="宋体" w:eastAsia="宋体" w:hAnsi="宋体" w:hint="eastAsia"/>
          <w:sz w:val="32"/>
          <w:szCs w:val="32"/>
          <w:lang w:val="en-US" w:eastAsia="zh-CN"/>
        </w:rPr>
        <w:t>12.5</w:t>
      </w:r>
      <w:r>
        <w:rPr>
          <w:rFonts w:ascii="宋体" w:eastAsia="宋体" w:hAnsi="宋体" w:hint="eastAsia"/>
          <w:sz w:val="32"/>
          <w:szCs w:val="32"/>
        </w:rPr>
        <w:t>%；上缴上级支出0万元，占0%；经营支出0万元，占0%；对附属单位补助支出0万元，占0%。</w:t>
      </w:r>
    </w:p>
    <w:p>
      <w:pPr>
        <w:pStyle w:val="style4099"/>
        <w:rPr>
          <w:rFonts w:hAnsi="黑体"/>
          <w:b/>
          <w:sz w:val="32"/>
          <w:szCs w:val="32"/>
        </w:rPr>
      </w:pPr>
      <w:r>
        <w:rPr>
          <w:rFonts w:hAnsi="黑体" w:hint="eastAsia"/>
          <w:b/>
          <w:sz w:val="32"/>
          <w:szCs w:val="32"/>
        </w:rPr>
        <w:t>四、财政拨款收入支出决算总体情况说明</w:t>
      </w:r>
    </w:p>
    <w:p>
      <w:pPr>
        <w:pStyle w:val="style4099"/>
        <w:ind w:firstLine="640" w:firstLineChars="200"/>
        <w:rPr>
          <w:rFonts w:ascii="宋体" w:eastAsia="宋体" w:hAnsi="宋体"/>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年度财政拨款收入总计</w:t>
      </w:r>
      <w:r>
        <w:rPr>
          <w:rFonts w:ascii="宋体" w:eastAsia="宋体" w:hAnsi="宋体" w:hint="eastAsia"/>
          <w:sz w:val="32"/>
          <w:szCs w:val="32"/>
          <w:lang w:val="en-US" w:eastAsia="zh-CN"/>
        </w:rPr>
        <w:t>4167.45</w:t>
      </w:r>
      <w:r>
        <w:rPr>
          <w:rFonts w:ascii="宋体" w:eastAsia="宋体" w:hAnsi="宋体" w:hint="eastAsia"/>
          <w:sz w:val="32"/>
          <w:szCs w:val="32"/>
        </w:rPr>
        <w:t>万元。与上年相比，增加</w:t>
      </w:r>
      <w:r>
        <w:rPr>
          <w:rFonts w:ascii="宋体" w:eastAsia="宋体" w:hAnsi="宋体" w:hint="eastAsia"/>
          <w:sz w:val="32"/>
          <w:szCs w:val="32"/>
          <w:lang w:val="en-US" w:eastAsia="zh-CN"/>
        </w:rPr>
        <w:t>205.78</w:t>
      </w:r>
      <w:r>
        <w:rPr>
          <w:rFonts w:ascii="宋体" w:eastAsia="宋体" w:hAnsi="宋体" w:hint="eastAsia"/>
          <w:sz w:val="32"/>
          <w:szCs w:val="32"/>
        </w:rPr>
        <w:t>万元，增长</w:t>
      </w:r>
      <w:r>
        <w:rPr>
          <w:rFonts w:ascii="宋体" w:eastAsia="宋体" w:hAnsi="宋体" w:hint="eastAsia"/>
          <w:sz w:val="32"/>
          <w:szCs w:val="32"/>
          <w:lang w:val="en-US" w:eastAsia="zh-CN"/>
        </w:rPr>
        <w:t>5.2</w:t>
      </w:r>
      <w:r>
        <w:rPr>
          <w:rFonts w:ascii="宋体" w:eastAsia="宋体" w:hAnsi="宋体" w:hint="eastAsia"/>
          <w:sz w:val="32"/>
          <w:szCs w:val="32"/>
        </w:rPr>
        <w:t>%，主要是因为</w:t>
      </w:r>
      <w:r>
        <w:rPr>
          <w:rFonts w:ascii="宋体" w:eastAsia="宋体" w:hAnsi="宋体" w:hint="eastAsia"/>
          <w:sz w:val="32"/>
          <w:szCs w:val="32"/>
          <w:lang w:val="en-US" w:eastAsia="zh-CN"/>
        </w:rPr>
        <w:t>学校基础设施建设收入增加</w:t>
      </w:r>
      <w:r>
        <w:rPr>
          <w:rFonts w:ascii="宋体" w:eastAsia="宋体" w:hAnsi="宋体" w:hint="eastAsia"/>
          <w:sz w:val="32"/>
          <w:szCs w:val="32"/>
        </w:rPr>
        <w:t>。</w:t>
      </w:r>
      <w:r>
        <w:rPr>
          <w:rFonts w:ascii="宋体" w:eastAsia="宋体" w:hAnsi="宋体"/>
          <w:sz w:val="32"/>
          <w:szCs w:val="32"/>
        </w:rPr>
        <w:br/>
      </w:r>
      <w:r>
        <w:rPr>
          <w:rFonts w:ascii="宋体" w:eastAsia="宋体" w:hAnsi="宋体" w:hint="eastAsia"/>
          <w:sz w:val="32"/>
          <w:szCs w:val="32"/>
        </w:rPr>
        <w:t xml:space="preserve">    202</w:t>
      </w:r>
      <w:r>
        <w:rPr>
          <w:rFonts w:ascii="宋体" w:eastAsia="宋体" w:hAnsi="宋体" w:hint="eastAsia"/>
          <w:sz w:val="32"/>
          <w:szCs w:val="32"/>
          <w:lang w:val="en-US" w:eastAsia="zh-CN"/>
        </w:rPr>
        <w:t>1</w:t>
      </w:r>
      <w:r>
        <w:rPr>
          <w:rFonts w:ascii="宋体" w:eastAsia="宋体" w:hAnsi="宋体" w:hint="eastAsia"/>
          <w:sz w:val="32"/>
          <w:szCs w:val="32"/>
        </w:rPr>
        <w:t>年度财政拨款支出总计4</w:t>
      </w:r>
      <w:r>
        <w:rPr>
          <w:rFonts w:ascii="宋体" w:eastAsia="宋体" w:hAnsi="宋体" w:hint="eastAsia"/>
          <w:sz w:val="32"/>
          <w:szCs w:val="32"/>
          <w:lang w:val="en-US" w:eastAsia="zh-CN"/>
        </w:rPr>
        <w:t>427.07</w:t>
      </w:r>
      <w:r>
        <w:rPr>
          <w:rFonts w:ascii="宋体" w:eastAsia="宋体" w:hAnsi="宋体" w:hint="eastAsia"/>
          <w:sz w:val="32"/>
          <w:szCs w:val="32"/>
        </w:rPr>
        <w:t>万元。与上年相比，</w:t>
      </w:r>
      <w:r>
        <w:rPr>
          <w:rFonts w:ascii="宋体" w:eastAsia="宋体" w:hAnsi="宋体" w:hint="eastAsia"/>
          <w:sz w:val="32"/>
          <w:szCs w:val="32"/>
          <w:lang w:val="en-US" w:eastAsia="zh-CN"/>
        </w:rPr>
        <w:t>减少10.12</w:t>
      </w:r>
      <w:r>
        <w:rPr>
          <w:rFonts w:ascii="宋体" w:eastAsia="宋体" w:hAnsi="宋体" w:hint="eastAsia"/>
          <w:sz w:val="32"/>
          <w:szCs w:val="32"/>
        </w:rPr>
        <w:t>万元，</w:t>
      </w:r>
      <w:r>
        <w:rPr>
          <w:rFonts w:ascii="宋体" w:eastAsia="宋体" w:hAnsi="宋体" w:hint="eastAsia"/>
          <w:sz w:val="32"/>
          <w:szCs w:val="32"/>
          <w:lang w:val="en-US" w:eastAsia="zh-CN"/>
        </w:rPr>
        <w:t>减少0.2</w:t>
      </w:r>
      <w:r>
        <w:rPr>
          <w:rFonts w:ascii="宋体" w:eastAsia="宋体" w:hAnsi="宋体" w:hint="eastAsia"/>
          <w:sz w:val="32"/>
          <w:szCs w:val="32"/>
        </w:rPr>
        <w:t>%，主要是因为</w:t>
      </w:r>
      <w:r>
        <w:rPr>
          <w:rFonts w:ascii="宋体" w:eastAsia="宋体" w:hAnsi="宋体" w:hint="eastAsia"/>
          <w:sz w:val="32"/>
          <w:szCs w:val="32"/>
          <w:lang w:val="en-US" w:eastAsia="zh-CN"/>
        </w:rPr>
        <w:t>项目支出按进度付款所致</w:t>
      </w:r>
      <w:r>
        <w:rPr>
          <w:rFonts w:ascii="宋体" w:eastAsia="宋体" w:hAnsi="宋体" w:hint="eastAsia"/>
          <w:sz w:val="32"/>
          <w:szCs w:val="32"/>
        </w:rPr>
        <w:t>。</w:t>
      </w:r>
    </w:p>
    <w:p>
      <w:pPr>
        <w:pStyle w:val="style4099"/>
        <w:rPr>
          <w:rFonts w:hAnsi="黑体"/>
          <w:b/>
          <w:sz w:val="32"/>
          <w:szCs w:val="32"/>
        </w:rPr>
      </w:pPr>
      <w:r>
        <w:rPr>
          <w:rFonts w:hAnsi="黑体" w:hint="eastAsia"/>
          <w:b/>
          <w:sz w:val="32"/>
          <w:szCs w:val="32"/>
        </w:rPr>
        <w:t>五、一般公共预算财政拨款支出决算情况说明</w:t>
      </w:r>
    </w:p>
    <w:p>
      <w:pPr>
        <w:pStyle w:val="style4099"/>
        <w:ind w:firstLine="640" w:firstLineChars="200"/>
        <w:rPr>
          <w:rFonts w:ascii="宋体" w:eastAsia="宋体" w:hAnsi="宋体"/>
          <w:b/>
          <w:sz w:val="32"/>
          <w:szCs w:val="32"/>
        </w:rPr>
      </w:pPr>
      <w:r>
        <w:rPr>
          <w:rFonts w:ascii="宋体" w:eastAsia="宋体" w:hAnsi="宋体" w:hint="eastAsia"/>
          <w:b/>
          <w:sz w:val="32"/>
          <w:szCs w:val="32"/>
        </w:rPr>
        <w:t>（一）财政拨款支出决算总体情况</w:t>
      </w:r>
    </w:p>
    <w:p>
      <w:pPr>
        <w:pStyle w:val="style4099"/>
        <w:ind w:firstLine="640" w:firstLineChars="200"/>
        <w:rPr>
          <w:rFonts w:ascii="宋体" w:eastAsia="宋体" w:hAnsi="宋体"/>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年度财政拨款支出</w:t>
      </w:r>
      <w:r>
        <w:rPr>
          <w:rFonts w:ascii="宋体" w:eastAsia="宋体" w:hAnsi="宋体" w:hint="eastAsia"/>
          <w:sz w:val="32"/>
          <w:szCs w:val="32"/>
          <w:lang w:val="en-US" w:eastAsia="zh-CN"/>
        </w:rPr>
        <w:t>4427.07</w:t>
      </w:r>
      <w:r>
        <w:rPr>
          <w:rFonts w:ascii="宋体" w:eastAsia="宋体" w:hAnsi="宋体" w:hint="eastAsia"/>
          <w:sz w:val="32"/>
          <w:szCs w:val="32"/>
        </w:rPr>
        <w:t>万元，占本年支出合计的9</w:t>
      </w:r>
      <w:r>
        <w:rPr>
          <w:rFonts w:ascii="宋体" w:eastAsia="宋体" w:hAnsi="宋体" w:hint="eastAsia"/>
          <w:sz w:val="32"/>
          <w:szCs w:val="32"/>
          <w:lang w:val="en-US" w:eastAsia="zh-CN"/>
        </w:rPr>
        <w:t>3.0</w:t>
      </w:r>
      <w:r>
        <w:rPr>
          <w:rFonts w:ascii="宋体" w:eastAsia="宋体" w:hAnsi="宋体" w:hint="eastAsia"/>
          <w:sz w:val="32"/>
          <w:szCs w:val="32"/>
        </w:rPr>
        <w:t>%，与上年相比，财政拨款支出</w:t>
      </w:r>
      <w:r>
        <w:rPr>
          <w:rFonts w:ascii="宋体" w:eastAsia="宋体" w:hAnsi="宋体" w:hint="eastAsia"/>
          <w:sz w:val="32"/>
          <w:szCs w:val="32"/>
          <w:lang w:val="en-US" w:eastAsia="zh-CN"/>
        </w:rPr>
        <w:t>减少10.12</w:t>
      </w:r>
      <w:r>
        <w:rPr>
          <w:rFonts w:ascii="宋体" w:eastAsia="宋体" w:hAnsi="宋体" w:hint="eastAsia"/>
          <w:sz w:val="32"/>
          <w:szCs w:val="32"/>
        </w:rPr>
        <w:t>万元，</w:t>
      </w:r>
      <w:r>
        <w:rPr>
          <w:rFonts w:ascii="宋体" w:eastAsia="宋体" w:hAnsi="宋体" w:hint="eastAsia"/>
          <w:sz w:val="32"/>
          <w:szCs w:val="32"/>
          <w:lang w:val="en-US" w:eastAsia="zh-CN"/>
        </w:rPr>
        <w:t>减少0.2</w:t>
      </w:r>
      <w:r>
        <w:rPr>
          <w:rFonts w:ascii="宋体" w:eastAsia="宋体" w:hAnsi="宋体" w:hint="eastAsia"/>
          <w:sz w:val="32"/>
          <w:szCs w:val="32"/>
        </w:rPr>
        <w:t>%，主要是因为</w:t>
      </w:r>
      <w:r>
        <w:rPr>
          <w:rFonts w:ascii="宋体" w:eastAsia="宋体" w:hAnsi="宋体" w:hint="eastAsia"/>
          <w:sz w:val="32"/>
          <w:szCs w:val="32"/>
          <w:lang w:val="en-US" w:eastAsia="zh-CN"/>
        </w:rPr>
        <w:t>项目支出按进度付款所致</w:t>
      </w:r>
      <w:r>
        <w:rPr>
          <w:rFonts w:ascii="宋体" w:eastAsia="宋体" w:hAnsi="宋体" w:hint="eastAsia"/>
          <w:sz w:val="32"/>
          <w:szCs w:val="32"/>
        </w:rPr>
        <w:t>。</w:t>
      </w:r>
    </w:p>
    <w:p>
      <w:pPr>
        <w:pStyle w:val="style4099"/>
        <w:ind w:firstLine="800" w:firstLineChars="250"/>
        <w:rPr>
          <w:rFonts w:ascii="宋体" w:eastAsia="宋体" w:hAnsi="宋体"/>
          <w:sz w:val="32"/>
          <w:szCs w:val="32"/>
        </w:rPr>
      </w:pPr>
    </w:p>
    <w:p>
      <w:pPr>
        <w:pStyle w:val="style4099"/>
        <w:ind w:firstLine="640" w:firstLineChars="200"/>
        <w:rPr>
          <w:rFonts w:ascii="宋体" w:eastAsia="宋体" w:hAnsi="宋体"/>
          <w:b/>
          <w:sz w:val="32"/>
          <w:szCs w:val="32"/>
        </w:rPr>
      </w:pPr>
      <w:r>
        <w:rPr>
          <w:rFonts w:ascii="宋体" w:eastAsia="宋体" w:hAnsi="宋体" w:hint="eastAsia"/>
          <w:b/>
          <w:sz w:val="32"/>
          <w:szCs w:val="32"/>
        </w:rPr>
        <w:t>（二）财政拨款支出决算结构情况</w:t>
      </w:r>
    </w:p>
    <w:p>
      <w:pPr>
        <w:pStyle w:val="style4099"/>
        <w:ind w:firstLine="640" w:firstLineChars="200"/>
        <w:rPr>
          <w:rFonts w:ascii="宋体" w:eastAsia="宋体" w:hAnsi="宋体" w:hint="eastAsia"/>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年度财政拨款支出44</w:t>
      </w:r>
      <w:r>
        <w:rPr>
          <w:rFonts w:ascii="宋体" w:eastAsia="宋体" w:hAnsi="宋体" w:hint="eastAsia"/>
          <w:sz w:val="32"/>
          <w:szCs w:val="32"/>
          <w:lang w:val="en-US" w:eastAsia="zh-CN"/>
        </w:rPr>
        <w:t>27.07</w:t>
      </w:r>
      <w:r>
        <w:rPr>
          <w:rFonts w:ascii="宋体" w:eastAsia="宋体" w:hAnsi="宋体" w:hint="eastAsia"/>
          <w:sz w:val="32"/>
          <w:szCs w:val="32"/>
        </w:rPr>
        <w:t>万元，主要用于以下方面：</w:t>
      </w:r>
    </w:p>
    <w:p>
      <w:pPr>
        <w:pStyle w:val="style4099"/>
        <w:ind w:firstLine="640" w:firstLineChars="200"/>
        <w:rPr>
          <w:rFonts w:ascii="宋体" w:eastAsia="宋体" w:hAnsi="宋体"/>
          <w:sz w:val="32"/>
          <w:szCs w:val="32"/>
        </w:rPr>
      </w:pPr>
      <w:r>
        <w:rPr>
          <w:rFonts w:ascii="宋体" w:eastAsia="宋体" w:hAnsi="宋体" w:hint="eastAsia"/>
          <w:sz w:val="32"/>
          <w:szCs w:val="32"/>
          <w:lang w:val="en-US" w:eastAsia="zh-CN"/>
        </w:rPr>
        <w:t>一般公共服务</w:t>
      </w:r>
      <w:r>
        <w:rPr>
          <w:rFonts w:ascii="宋体" w:eastAsia="宋体" w:hAnsi="宋体" w:hint="eastAsia"/>
          <w:sz w:val="32"/>
          <w:szCs w:val="32"/>
        </w:rPr>
        <w:t>（类）支出</w:t>
      </w:r>
      <w:r>
        <w:rPr>
          <w:rFonts w:ascii="宋体" w:eastAsia="宋体" w:hAnsi="宋体" w:hint="eastAsia"/>
          <w:sz w:val="32"/>
          <w:szCs w:val="32"/>
          <w:lang w:val="en-US" w:eastAsia="zh-CN"/>
        </w:rPr>
        <w:t>38.2</w:t>
      </w:r>
      <w:r>
        <w:rPr>
          <w:rFonts w:ascii="宋体" w:eastAsia="宋体" w:hAnsi="宋体" w:hint="eastAsia"/>
          <w:sz w:val="32"/>
          <w:szCs w:val="32"/>
        </w:rPr>
        <w:t>万元，占</w:t>
      </w:r>
      <w:r>
        <w:rPr>
          <w:rFonts w:ascii="宋体" w:eastAsia="宋体" w:hAnsi="宋体" w:hint="eastAsia"/>
          <w:sz w:val="32"/>
          <w:szCs w:val="32"/>
          <w:lang w:val="en-US" w:eastAsia="zh-CN"/>
        </w:rPr>
        <w:t>0.9</w:t>
      </w:r>
      <w:r>
        <w:rPr>
          <w:rFonts w:ascii="宋体" w:eastAsia="宋体" w:hAnsi="宋体" w:hint="eastAsia"/>
          <w:sz w:val="32"/>
          <w:szCs w:val="32"/>
        </w:rPr>
        <w:t>%；教育（类）支出</w:t>
      </w:r>
      <w:r>
        <w:rPr>
          <w:rFonts w:ascii="宋体" w:eastAsia="宋体" w:hAnsi="宋体" w:hint="eastAsia"/>
          <w:sz w:val="32"/>
          <w:szCs w:val="32"/>
          <w:lang w:val="en-US" w:eastAsia="zh-CN"/>
        </w:rPr>
        <w:t>3869.77</w:t>
      </w:r>
      <w:r>
        <w:rPr>
          <w:rFonts w:ascii="宋体" w:eastAsia="宋体" w:hAnsi="宋体" w:hint="eastAsia"/>
          <w:sz w:val="32"/>
          <w:szCs w:val="32"/>
        </w:rPr>
        <w:t>万元，占8</w:t>
      </w:r>
      <w:r>
        <w:rPr>
          <w:rFonts w:ascii="宋体" w:eastAsia="宋体" w:hAnsi="宋体" w:hint="eastAsia"/>
          <w:sz w:val="32"/>
          <w:szCs w:val="32"/>
          <w:lang w:val="en-US" w:eastAsia="zh-CN"/>
        </w:rPr>
        <w:t>7.3</w:t>
      </w:r>
      <w:r>
        <w:rPr>
          <w:rFonts w:ascii="宋体" w:eastAsia="宋体" w:hAnsi="宋体" w:hint="eastAsia"/>
          <w:sz w:val="32"/>
          <w:szCs w:val="32"/>
        </w:rPr>
        <w:t>%；社会保障和就业（类）支出</w:t>
      </w:r>
      <w:r>
        <w:rPr>
          <w:rFonts w:ascii="宋体" w:eastAsia="宋体" w:hAnsi="宋体" w:hint="eastAsia"/>
          <w:sz w:val="32"/>
          <w:szCs w:val="32"/>
          <w:lang w:val="en-US" w:eastAsia="zh-CN"/>
        </w:rPr>
        <w:t>392.6</w:t>
      </w:r>
      <w:r>
        <w:rPr>
          <w:rFonts w:ascii="宋体" w:eastAsia="宋体" w:hAnsi="宋体" w:hint="eastAsia"/>
          <w:sz w:val="32"/>
          <w:szCs w:val="32"/>
        </w:rPr>
        <w:t>万元，占</w:t>
      </w:r>
      <w:r>
        <w:rPr>
          <w:rFonts w:ascii="宋体" w:eastAsia="宋体" w:hAnsi="宋体" w:hint="eastAsia"/>
          <w:sz w:val="32"/>
          <w:szCs w:val="32"/>
          <w:lang w:val="en-US" w:eastAsia="zh-CN"/>
        </w:rPr>
        <w:t>8.9</w:t>
      </w:r>
      <w:r>
        <w:rPr>
          <w:rFonts w:ascii="宋体" w:eastAsia="宋体" w:hAnsi="宋体" w:hint="eastAsia"/>
          <w:sz w:val="32"/>
          <w:szCs w:val="32"/>
        </w:rPr>
        <w:t>%；卫生健康（类）支出</w:t>
      </w:r>
      <w:r>
        <w:rPr>
          <w:rFonts w:ascii="宋体" w:eastAsia="宋体" w:hAnsi="宋体" w:hint="eastAsia"/>
          <w:sz w:val="32"/>
          <w:szCs w:val="32"/>
          <w:lang w:val="en-US" w:eastAsia="zh-CN"/>
        </w:rPr>
        <w:t>126.51</w:t>
      </w:r>
      <w:r>
        <w:rPr>
          <w:rFonts w:ascii="宋体" w:eastAsia="宋体" w:hAnsi="宋体" w:hint="eastAsia"/>
          <w:sz w:val="32"/>
          <w:szCs w:val="32"/>
        </w:rPr>
        <w:t>万元，占2.9%；</w:t>
      </w:r>
    </w:p>
    <w:p>
      <w:pPr>
        <w:pStyle w:val="style4099"/>
        <w:ind w:firstLine="800" w:firstLineChars="250"/>
        <w:rPr>
          <w:rFonts w:ascii="宋体" w:eastAsia="宋体" w:hAnsi="宋体"/>
          <w:b/>
          <w:sz w:val="32"/>
          <w:szCs w:val="32"/>
        </w:rPr>
      </w:pPr>
      <w:r>
        <w:rPr>
          <w:rFonts w:ascii="宋体" w:eastAsia="宋体" w:hAnsi="宋体" w:hint="eastAsia"/>
          <w:b/>
          <w:sz w:val="32"/>
          <w:szCs w:val="32"/>
        </w:rPr>
        <w:t>（三）财政拨款支出决算具体情况</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年度财政拨款支出年初预算数为</w:t>
      </w:r>
      <w:r>
        <w:rPr>
          <w:rFonts w:ascii="宋体" w:eastAsia="宋体" w:hAnsi="宋体" w:hint="eastAsia"/>
          <w:sz w:val="32"/>
          <w:szCs w:val="32"/>
          <w:lang w:val="en-US" w:eastAsia="zh-CN"/>
        </w:rPr>
        <w:t>1768.06</w:t>
      </w:r>
      <w:r>
        <w:rPr>
          <w:rFonts w:ascii="宋体" w:eastAsia="宋体" w:hAnsi="宋体" w:hint="eastAsia"/>
          <w:sz w:val="32"/>
          <w:szCs w:val="32"/>
        </w:rPr>
        <w:t>万元，支出决算数为</w:t>
      </w:r>
      <w:r>
        <w:rPr>
          <w:rFonts w:ascii="宋体" w:eastAsia="宋体" w:hAnsi="宋体" w:hint="eastAsia"/>
          <w:sz w:val="32"/>
          <w:szCs w:val="32"/>
          <w:lang w:val="en-US" w:eastAsia="zh-CN"/>
        </w:rPr>
        <w:t>4427.07</w:t>
      </w:r>
      <w:r>
        <w:rPr>
          <w:rFonts w:ascii="宋体" w:eastAsia="宋体" w:hAnsi="宋体" w:hint="eastAsia"/>
          <w:sz w:val="32"/>
          <w:szCs w:val="32"/>
        </w:rPr>
        <w:t>万元，</w:t>
      </w:r>
      <w:r>
        <w:rPr>
          <w:rFonts w:ascii="宋体" w:eastAsia="宋体" w:hAnsi="宋体" w:hint="eastAsia"/>
          <w:color w:val="auto"/>
          <w:sz w:val="32"/>
          <w:szCs w:val="32"/>
        </w:rPr>
        <w:t>完成年初预算的</w:t>
      </w:r>
      <w:r>
        <w:rPr>
          <w:rFonts w:ascii="宋体" w:eastAsia="宋体" w:hAnsi="宋体" w:hint="eastAsia"/>
          <w:color w:val="auto"/>
          <w:sz w:val="32"/>
          <w:szCs w:val="32"/>
          <w:lang w:val="en-US" w:eastAsia="zh-CN"/>
        </w:rPr>
        <w:t>250.4</w:t>
      </w:r>
      <w:r>
        <w:rPr>
          <w:rFonts w:ascii="宋体" w:eastAsia="宋体" w:hAnsi="宋体" w:hint="eastAsia"/>
          <w:color w:val="auto"/>
          <w:sz w:val="32"/>
          <w:szCs w:val="32"/>
        </w:rPr>
        <w:t>%，</w:t>
      </w:r>
      <w:r>
        <w:rPr>
          <w:rFonts w:ascii="宋体" w:eastAsia="宋体" w:hAnsi="宋体" w:hint="eastAsia"/>
          <w:sz w:val="32"/>
          <w:szCs w:val="32"/>
        </w:rPr>
        <w:t>其中：</w:t>
      </w:r>
    </w:p>
    <w:p>
      <w:pPr>
        <w:pStyle w:val="style4099"/>
        <w:ind w:firstLine="800" w:firstLineChars="250"/>
        <w:rPr>
          <w:rFonts w:ascii="宋体" w:eastAsia="宋体" w:hAnsi="宋体"/>
          <w:sz w:val="32"/>
          <w:szCs w:val="32"/>
        </w:rPr>
      </w:pPr>
      <w:r>
        <w:rPr>
          <w:rFonts w:ascii="宋体" w:eastAsia="宋体" w:hAnsi="宋体" w:hint="eastAsia"/>
          <w:sz w:val="32"/>
          <w:szCs w:val="32"/>
        </w:rPr>
        <w:t>1、</w:t>
      </w:r>
      <w:r>
        <w:rPr>
          <w:rFonts w:ascii="宋体" w:eastAsia="宋体" w:hAnsi="宋体" w:hint="eastAsia"/>
          <w:sz w:val="32"/>
          <w:szCs w:val="32"/>
          <w:lang w:val="en-US" w:eastAsia="zh-CN"/>
        </w:rPr>
        <w:t>一般公共服务</w:t>
      </w:r>
      <w:r>
        <w:rPr>
          <w:rFonts w:ascii="宋体" w:eastAsia="宋体" w:hAnsi="宋体" w:hint="eastAsia"/>
          <w:sz w:val="32"/>
          <w:szCs w:val="32"/>
        </w:rPr>
        <w:t>支出（类）</w:t>
      </w:r>
      <w:r>
        <w:rPr>
          <w:rFonts w:ascii="宋体" w:eastAsia="宋体" w:hAnsi="宋体" w:hint="eastAsia"/>
          <w:sz w:val="32"/>
          <w:szCs w:val="32"/>
          <w:lang w:val="en-US" w:eastAsia="zh-CN"/>
        </w:rPr>
        <w:t>组织事务</w:t>
      </w:r>
      <w:r>
        <w:rPr>
          <w:rFonts w:ascii="宋体" w:eastAsia="宋体" w:hAnsi="宋体" w:hint="eastAsia"/>
          <w:sz w:val="32"/>
          <w:szCs w:val="32"/>
        </w:rPr>
        <w:t>（款）</w:t>
      </w:r>
      <w:r>
        <w:rPr>
          <w:rFonts w:ascii="宋体" w:eastAsia="宋体" w:hAnsi="宋体" w:hint="eastAsia"/>
          <w:sz w:val="32"/>
          <w:szCs w:val="32"/>
          <w:lang w:val="en-US" w:eastAsia="zh-CN"/>
        </w:rPr>
        <w:t>其他组织事务支出</w:t>
      </w:r>
      <w:r>
        <w:rPr>
          <w:rFonts w:ascii="宋体" w:eastAsia="宋体" w:hAnsi="宋体" w:hint="eastAsia"/>
          <w:sz w:val="32"/>
          <w:szCs w:val="32"/>
        </w:rPr>
        <w:t>（项）。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0</w:t>
      </w:r>
      <w:r>
        <w:rPr>
          <w:rFonts w:ascii="宋体" w:eastAsia="宋体" w:hAnsi="宋体" w:hint="eastAsia"/>
          <w:sz w:val="32"/>
          <w:szCs w:val="32"/>
        </w:rPr>
        <w:t>万元，支出决算为</w:t>
      </w:r>
      <w:r>
        <w:rPr>
          <w:rFonts w:ascii="宋体" w:eastAsia="宋体" w:hAnsi="宋体" w:hint="eastAsia"/>
          <w:sz w:val="32"/>
          <w:szCs w:val="32"/>
          <w:lang w:val="en-US" w:eastAsia="zh-CN"/>
        </w:rPr>
        <w:t>31.2</w:t>
      </w:r>
      <w:r>
        <w:rPr>
          <w:rFonts w:ascii="宋体" w:eastAsia="宋体" w:hAnsi="宋体" w:hint="eastAsia"/>
          <w:sz w:val="32"/>
          <w:szCs w:val="32"/>
        </w:rPr>
        <w:t>万元，决算数大于年初预算数的主要原因是：</w:t>
      </w:r>
      <w:r>
        <w:rPr>
          <w:rFonts w:ascii="宋体" w:eastAsia="宋体" w:hAnsi="宋体" w:hint="eastAsia"/>
          <w:sz w:val="32"/>
          <w:szCs w:val="32"/>
          <w:lang w:val="en-US" w:eastAsia="zh-CN"/>
        </w:rPr>
        <w:t>年中增加其他组织事务支出补助</w:t>
      </w:r>
      <w:r>
        <w:rPr>
          <w:rFonts w:ascii="宋体" w:eastAsia="宋体" w:hAnsi="宋体" w:hint="eastAsia"/>
          <w:sz w:val="32"/>
          <w:szCs w:val="32"/>
        </w:rPr>
        <w:t>。</w:t>
      </w:r>
    </w:p>
    <w:p>
      <w:pPr>
        <w:pStyle w:val="style4099"/>
        <w:ind w:firstLine="800" w:firstLineChars="250"/>
        <w:rPr>
          <w:rFonts w:ascii="宋体" w:eastAsia="宋体" w:hAnsi="宋体"/>
          <w:sz w:val="32"/>
          <w:szCs w:val="32"/>
        </w:rPr>
      </w:pPr>
      <w:r>
        <w:rPr>
          <w:rFonts w:ascii="宋体" w:eastAsia="宋体" w:hAnsi="宋体" w:hint="eastAsia"/>
          <w:sz w:val="32"/>
          <w:szCs w:val="32"/>
          <w:lang w:val="en-US" w:eastAsia="zh-CN"/>
        </w:rPr>
        <w:t>2</w:t>
      </w:r>
      <w:r>
        <w:rPr>
          <w:rFonts w:ascii="宋体" w:eastAsia="宋体" w:hAnsi="宋体" w:hint="eastAsia"/>
          <w:sz w:val="32"/>
          <w:szCs w:val="32"/>
        </w:rPr>
        <w:t>、</w:t>
      </w:r>
      <w:r>
        <w:rPr>
          <w:rFonts w:ascii="宋体" w:eastAsia="宋体" w:hAnsi="宋体" w:hint="eastAsia"/>
          <w:sz w:val="32"/>
          <w:szCs w:val="32"/>
          <w:lang w:val="en-US" w:eastAsia="zh-CN"/>
        </w:rPr>
        <w:t>一般公共服务</w:t>
      </w:r>
      <w:r>
        <w:rPr>
          <w:rFonts w:ascii="宋体" w:eastAsia="宋体" w:hAnsi="宋体" w:hint="eastAsia"/>
          <w:sz w:val="32"/>
          <w:szCs w:val="32"/>
        </w:rPr>
        <w:t>支出（类）</w:t>
      </w:r>
      <w:r>
        <w:rPr>
          <w:rFonts w:ascii="宋体" w:eastAsia="宋体" w:hAnsi="宋体" w:hint="eastAsia"/>
          <w:sz w:val="32"/>
          <w:szCs w:val="32"/>
          <w:lang w:val="en-US" w:eastAsia="zh-CN"/>
        </w:rPr>
        <w:t>其他一般公共服务支出</w:t>
      </w:r>
      <w:r>
        <w:rPr>
          <w:rFonts w:ascii="宋体" w:eastAsia="宋体" w:hAnsi="宋体" w:hint="eastAsia"/>
          <w:sz w:val="32"/>
          <w:szCs w:val="32"/>
        </w:rPr>
        <w:t>（款）</w:t>
      </w:r>
      <w:r>
        <w:rPr>
          <w:rFonts w:ascii="宋体" w:eastAsia="宋体" w:hAnsi="宋体" w:hint="eastAsia"/>
          <w:sz w:val="32"/>
          <w:szCs w:val="32"/>
          <w:lang w:val="en-US" w:eastAsia="zh-CN"/>
        </w:rPr>
        <w:t>其他一般公共服务支出</w:t>
      </w:r>
      <w:r>
        <w:rPr>
          <w:rFonts w:ascii="宋体" w:eastAsia="宋体" w:hAnsi="宋体" w:hint="eastAsia"/>
          <w:sz w:val="32"/>
          <w:szCs w:val="32"/>
        </w:rPr>
        <w:t>（项）。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0</w:t>
      </w:r>
      <w:r>
        <w:rPr>
          <w:rFonts w:ascii="宋体" w:eastAsia="宋体" w:hAnsi="宋体" w:hint="eastAsia"/>
          <w:sz w:val="32"/>
          <w:szCs w:val="32"/>
        </w:rPr>
        <w:t>万元，支出决算为</w:t>
      </w:r>
      <w:r>
        <w:rPr>
          <w:rFonts w:ascii="宋体" w:eastAsia="宋体" w:hAnsi="宋体" w:hint="eastAsia"/>
          <w:sz w:val="32"/>
          <w:szCs w:val="32"/>
          <w:lang w:val="en-US" w:eastAsia="zh-CN"/>
        </w:rPr>
        <w:t>7</w:t>
      </w:r>
      <w:r>
        <w:rPr>
          <w:rFonts w:ascii="宋体" w:eastAsia="宋体" w:hAnsi="宋体" w:hint="eastAsia"/>
          <w:sz w:val="32"/>
          <w:szCs w:val="32"/>
        </w:rPr>
        <w:t>万元，决算数大于年初预算数的主要原因是：</w:t>
      </w:r>
      <w:r>
        <w:rPr>
          <w:rFonts w:ascii="宋体" w:eastAsia="宋体" w:hAnsi="宋体" w:hint="eastAsia"/>
          <w:sz w:val="32"/>
          <w:szCs w:val="32"/>
          <w:lang w:val="en-US" w:eastAsia="zh-CN"/>
        </w:rPr>
        <w:t>年中增加其他一般公共服务支出补助</w:t>
      </w:r>
      <w:r>
        <w:rPr>
          <w:rFonts w:ascii="宋体" w:eastAsia="宋体" w:hAnsi="宋体" w:hint="eastAsia"/>
          <w:sz w:val="32"/>
          <w:szCs w:val="32"/>
        </w:rPr>
        <w:t>。</w:t>
      </w:r>
    </w:p>
    <w:p>
      <w:pPr>
        <w:pStyle w:val="style4099"/>
        <w:ind w:firstLine="800" w:firstLineChars="250"/>
        <w:rPr>
          <w:rFonts w:ascii="宋体" w:eastAsia="宋体" w:hAnsi="宋体"/>
          <w:sz w:val="32"/>
          <w:szCs w:val="32"/>
        </w:rPr>
      </w:pPr>
      <w:r>
        <w:rPr>
          <w:rFonts w:ascii="宋体" w:eastAsia="宋体" w:hAnsi="宋体" w:hint="eastAsia"/>
          <w:sz w:val="32"/>
          <w:szCs w:val="32"/>
          <w:lang w:val="en-US" w:eastAsia="zh-CN"/>
        </w:rPr>
        <w:t>3</w:t>
      </w:r>
      <w:r>
        <w:rPr>
          <w:rFonts w:ascii="宋体" w:eastAsia="宋体" w:hAnsi="宋体" w:hint="eastAsia"/>
          <w:sz w:val="32"/>
          <w:szCs w:val="32"/>
        </w:rPr>
        <w:t>、教育支出（类）普通教育（款）高中教育（项）。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1768.06</w:t>
      </w:r>
      <w:r>
        <w:rPr>
          <w:rFonts w:ascii="宋体" w:eastAsia="宋体" w:hAnsi="宋体" w:hint="eastAsia"/>
          <w:sz w:val="32"/>
          <w:szCs w:val="32"/>
        </w:rPr>
        <w:t>万元，支出决算为</w:t>
      </w:r>
      <w:r>
        <w:rPr>
          <w:rFonts w:ascii="宋体" w:eastAsia="宋体" w:hAnsi="宋体" w:hint="eastAsia"/>
          <w:sz w:val="32"/>
          <w:szCs w:val="32"/>
          <w:lang w:val="en-US" w:eastAsia="zh-CN"/>
        </w:rPr>
        <w:t>3507.29</w:t>
      </w:r>
      <w:r>
        <w:rPr>
          <w:rFonts w:ascii="宋体" w:eastAsia="宋体" w:hAnsi="宋体" w:hint="eastAsia"/>
          <w:sz w:val="32"/>
          <w:szCs w:val="32"/>
        </w:rPr>
        <w:t>万元，</w:t>
      </w:r>
      <w:r>
        <w:rPr>
          <w:rFonts w:ascii="宋体" w:eastAsia="宋体" w:hAnsi="宋体" w:hint="eastAsia"/>
          <w:color w:val="000000"/>
          <w:sz w:val="32"/>
          <w:szCs w:val="32"/>
        </w:rPr>
        <w:t>完成年初预算的</w:t>
      </w:r>
      <w:r>
        <w:rPr>
          <w:rFonts w:ascii="宋体" w:eastAsia="宋体" w:hAnsi="宋体" w:hint="eastAsia"/>
          <w:color w:val="000000"/>
          <w:sz w:val="32"/>
          <w:szCs w:val="32"/>
          <w:lang w:val="en-US" w:eastAsia="zh-CN"/>
        </w:rPr>
        <w:t>198</w:t>
      </w:r>
      <w:r>
        <w:rPr>
          <w:rFonts w:ascii="宋体" w:eastAsia="宋体" w:hAnsi="宋体" w:hint="eastAsia"/>
          <w:color w:val="000000"/>
          <w:sz w:val="32"/>
          <w:szCs w:val="32"/>
        </w:rPr>
        <w:t>%，</w:t>
      </w:r>
      <w:r>
        <w:rPr>
          <w:rFonts w:ascii="宋体" w:eastAsia="宋体" w:hAnsi="宋体" w:hint="eastAsia"/>
          <w:sz w:val="32"/>
          <w:szCs w:val="32"/>
        </w:rPr>
        <w:t>决算数大于年初预算数的主要原因是：</w:t>
      </w:r>
      <w:r>
        <w:rPr>
          <w:rFonts w:ascii="宋体" w:eastAsia="宋体" w:hAnsi="宋体" w:hint="eastAsia"/>
          <w:sz w:val="32"/>
          <w:szCs w:val="32"/>
          <w:lang w:val="en-US" w:eastAsia="zh-CN"/>
        </w:rPr>
        <w:t>年中增加高中教育支出补助</w:t>
      </w:r>
      <w:r>
        <w:rPr>
          <w:rFonts w:ascii="宋体" w:eastAsia="宋体" w:hAnsi="宋体" w:hint="eastAsia"/>
          <w:sz w:val="32"/>
          <w:szCs w:val="32"/>
        </w:rPr>
        <w:t>。</w:t>
      </w:r>
    </w:p>
    <w:p>
      <w:pPr>
        <w:pStyle w:val="style4099"/>
        <w:ind w:firstLine="800" w:firstLineChars="250"/>
        <w:rPr>
          <w:rFonts w:ascii="宋体" w:eastAsia="宋体" w:hAnsi="宋体"/>
          <w:sz w:val="32"/>
          <w:szCs w:val="32"/>
        </w:rPr>
      </w:pPr>
      <w:r>
        <w:rPr>
          <w:rFonts w:ascii="宋体" w:eastAsia="宋体" w:hAnsi="宋体" w:hint="eastAsia"/>
          <w:sz w:val="32"/>
          <w:szCs w:val="32"/>
          <w:lang w:val="en-US" w:eastAsia="zh-CN"/>
        </w:rPr>
        <w:t>4</w:t>
      </w:r>
      <w:r>
        <w:rPr>
          <w:rFonts w:ascii="宋体" w:eastAsia="宋体" w:hAnsi="宋体" w:hint="eastAsia"/>
          <w:sz w:val="32"/>
          <w:szCs w:val="32"/>
        </w:rPr>
        <w:t>、教育支出（类）普通教育（款）其他普通教育支出（项）。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0</w:t>
      </w:r>
      <w:r>
        <w:rPr>
          <w:rFonts w:ascii="宋体" w:eastAsia="宋体" w:hAnsi="宋体" w:hint="eastAsia"/>
          <w:sz w:val="32"/>
          <w:szCs w:val="32"/>
        </w:rPr>
        <w:t>万元，支出决算为</w:t>
      </w:r>
      <w:r>
        <w:rPr>
          <w:rFonts w:ascii="宋体" w:eastAsia="宋体" w:hAnsi="宋体" w:hint="eastAsia"/>
          <w:sz w:val="32"/>
          <w:szCs w:val="32"/>
          <w:lang w:val="en-US" w:eastAsia="zh-CN"/>
        </w:rPr>
        <w:t>351.16</w:t>
      </w:r>
      <w:r>
        <w:rPr>
          <w:rFonts w:ascii="宋体" w:eastAsia="宋体" w:hAnsi="宋体" w:hint="eastAsia"/>
          <w:sz w:val="32"/>
          <w:szCs w:val="32"/>
        </w:rPr>
        <w:t>万元，决算数大于年初预算数的主要原因是：</w:t>
      </w:r>
      <w:r>
        <w:rPr>
          <w:rFonts w:ascii="宋体" w:eastAsia="宋体" w:hAnsi="宋体" w:hint="eastAsia"/>
          <w:sz w:val="32"/>
          <w:szCs w:val="32"/>
          <w:lang w:val="en-US" w:eastAsia="zh-CN"/>
        </w:rPr>
        <w:t>年中增加其他普通教育支出补助</w:t>
      </w:r>
      <w:r>
        <w:rPr>
          <w:rFonts w:ascii="宋体" w:eastAsia="宋体" w:hAnsi="宋体" w:hint="eastAsia"/>
          <w:sz w:val="32"/>
          <w:szCs w:val="32"/>
        </w:rPr>
        <w:t>。</w:t>
      </w:r>
    </w:p>
    <w:p>
      <w:pPr>
        <w:pStyle w:val="style4099"/>
        <w:ind w:firstLine="800" w:firstLineChars="250"/>
        <w:rPr>
          <w:rFonts w:ascii="宋体" w:eastAsia="宋体" w:hAnsi="宋体"/>
          <w:sz w:val="32"/>
          <w:szCs w:val="32"/>
        </w:rPr>
      </w:pPr>
      <w:r>
        <w:rPr>
          <w:rFonts w:ascii="宋体" w:eastAsia="宋体" w:hAnsi="宋体" w:hint="eastAsia"/>
          <w:sz w:val="32"/>
          <w:szCs w:val="32"/>
          <w:lang w:val="en-US" w:eastAsia="zh-CN"/>
        </w:rPr>
        <w:t>5</w:t>
      </w:r>
      <w:r>
        <w:rPr>
          <w:rFonts w:ascii="宋体" w:eastAsia="宋体" w:hAnsi="宋体" w:hint="eastAsia"/>
          <w:sz w:val="32"/>
          <w:szCs w:val="32"/>
        </w:rPr>
        <w:t>、教育支出（类）</w:t>
      </w:r>
      <w:r>
        <w:rPr>
          <w:rFonts w:ascii="宋体" w:eastAsia="宋体" w:hAnsi="宋体" w:hint="eastAsia"/>
          <w:sz w:val="32"/>
          <w:szCs w:val="32"/>
          <w:lang w:val="en-US" w:eastAsia="zh-CN"/>
        </w:rPr>
        <w:t>进修及培训</w:t>
      </w:r>
      <w:r>
        <w:rPr>
          <w:rFonts w:ascii="宋体" w:eastAsia="宋体" w:hAnsi="宋体" w:hint="eastAsia"/>
          <w:sz w:val="32"/>
          <w:szCs w:val="32"/>
        </w:rPr>
        <w:t>（款）</w:t>
      </w:r>
      <w:r>
        <w:rPr>
          <w:rFonts w:ascii="宋体" w:eastAsia="宋体" w:hAnsi="宋体" w:hint="eastAsia"/>
          <w:sz w:val="32"/>
          <w:szCs w:val="32"/>
          <w:lang w:val="en-US" w:eastAsia="zh-CN"/>
        </w:rPr>
        <w:t>教师进修</w:t>
      </w:r>
      <w:r>
        <w:rPr>
          <w:rFonts w:ascii="宋体" w:eastAsia="宋体" w:hAnsi="宋体" w:hint="eastAsia"/>
          <w:sz w:val="32"/>
          <w:szCs w:val="32"/>
        </w:rPr>
        <w:t>（项）。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0</w:t>
      </w:r>
      <w:r>
        <w:rPr>
          <w:rFonts w:ascii="宋体" w:eastAsia="宋体" w:hAnsi="宋体" w:hint="eastAsia"/>
          <w:sz w:val="32"/>
          <w:szCs w:val="32"/>
        </w:rPr>
        <w:t>万元，支出决算为</w:t>
      </w:r>
      <w:r>
        <w:rPr>
          <w:rFonts w:ascii="宋体" w:eastAsia="宋体" w:hAnsi="宋体" w:hint="eastAsia"/>
          <w:sz w:val="32"/>
          <w:szCs w:val="32"/>
          <w:lang w:val="en-US" w:eastAsia="zh-CN"/>
        </w:rPr>
        <w:t>11.32</w:t>
      </w:r>
      <w:r>
        <w:rPr>
          <w:rFonts w:ascii="宋体" w:eastAsia="宋体" w:hAnsi="宋体" w:hint="eastAsia"/>
          <w:sz w:val="32"/>
          <w:szCs w:val="32"/>
        </w:rPr>
        <w:t>万元，决算数大于年初预算数的主要原因是：</w:t>
      </w:r>
      <w:r>
        <w:rPr>
          <w:rFonts w:ascii="宋体" w:eastAsia="宋体" w:hAnsi="宋体" w:hint="eastAsia"/>
          <w:sz w:val="32"/>
          <w:szCs w:val="32"/>
          <w:lang w:val="en-US" w:eastAsia="zh-CN"/>
        </w:rPr>
        <w:t>年中增加教师进修补助</w:t>
      </w:r>
      <w:r>
        <w:rPr>
          <w:rFonts w:ascii="宋体" w:eastAsia="宋体" w:hAnsi="宋体" w:hint="eastAsia"/>
          <w:sz w:val="32"/>
          <w:szCs w:val="32"/>
        </w:rPr>
        <w:t>。</w:t>
      </w:r>
    </w:p>
    <w:p>
      <w:pPr>
        <w:pStyle w:val="style4099"/>
        <w:ind w:firstLine="800" w:firstLineChars="250"/>
        <w:rPr>
          <w:rFonts w:ascii="宋体" w:eastAsia="宋体" w:hAnsi="宋体"/>
          <w:sz w:val="32"/>
          <w:szCs w:val="32"/>
        </w:rPr>
      </w:pPr>
      <w:r>
        <w:rPr>
          <w:rFonts w:ascii="宋体" w:eastAsia="宋体" w:hAnsi="宋体" w:hint="eastAsia"/>
          <w:sz w:val="32"/>
          <w:szCs w:val="32"/>
          <w:lang w:val="en-US" w:eastAsia="zh-CN"/>
        </w:rPr>
        <w:t>6</w:t>
      </w:r>
      <w:r>
        <w:rPr>
          <w:rFonts w:ascii="宋体" w:eastAsia="宋体" w:hAnsi="宋体" w:hint="eastAsia"/>
          <w:sz w:val="32"/>
          <w:szCs w:val="32"/>
        </w:rPr>
        <w:t>、社会保障和就业支出（类）行政事业单位养老支出（款）机关事业单位基本养老保险缴费支出（项）。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0</w:t>
      </w:r>
      <w:r>
        <w:rPr>
          <w:rFonts w:ascii="宋体" w:eastAsia="宋体" w:hAnsi="宋体" w:hint="eastAsia"/>
          <w:sz w:val="32"/>
          <w:szCs w:val="32"/>
        </w:rPr>
        <w:t>万元，支出决算为</w:t>
      </w:r>
      <w:r>
        <w:rPr>
          <w:rFonts w:ascii="宋体" w:eastAsia="宋体" w:hAnsi="宋体" w:hint="eastAsia"/>
          <w:sz w:val="32"/>
          <w:szCs w:val="32"/>
          <w:lang w:val="en-US" w:eastAsia="zh-CN"/>
        </w:rPr>
        <w:t>253.81</w:t>
      </w:r>
      <w:r>
        <w:rPr>
          <w:rFonts w:ascii="宋体" w:eastAsia="宋体" w:hAnsi="宋体" w:hint="eastAsia"/>
          <w:sz w:val="32"/>
          <w:szCs w:val="32"/>
        </w:rPr>
        <w:t>万元，决算数大于年初预算数的主要原因是：</w:t>
      </w:r>
      <w:r>
        <w:rPr>
          <w:rFonts w:ascii="宋体" w:eastAsia="宋体" w:hAnsi="宋体" w:hint="eastAsia"/>
          <w:sz w:val="32"/>
          <w:szCs w:val="32"/>
          <w:lang w:val="en-US" w:eastAsia="zh-CN"/>
        </w:rPr>
        <w:t>年中增加机关事业基本养老保险缴费补助</w:t>
      </w:r>
      <w:r>
        <w:rPr>
          <w:rFonts w:ascii="宋体" w:eastAsia="宋体" w:hAnsi="宋体" w:hint="eastAsia"/>
          <w:sz w:val="32"/>
          <w:szCs w:val="32"/>
        </w:rPr>
        <w:t>。</w:t>
      </w:r>
    </w:p>
    <w:p>
      <w:pPr>
        <w:pStyle w:val="style4099"/>
        <w:ind w:firstLine="800" w:firstLineChars="250"/>
        <w:rPr>
          <w:rFonts w:ascii="宋体" w:eastAsia="宋体" w:hAnsi="宋体"/>
          <w:sz w:val="32"/>
          <w:szCs w:val="32"/>
        </w:rPr>
      </w:pPr>
      <w:r>
        <w:rPr>
          <w:rFonts w:ascii="宋体" w:eastAsia="宋体" w:hAnsi="宋体" w:hint="eastAsia"/>
          <w:sz w:val="32"/>
          <w:szCs w:val="32"/>
        </w:rPr>
        <w:t>7、社会保障和就业支出（类）行政事业单位养老支出（款）</w:t>
      </w:r>
      <w:r>
        <w:rPr>
          <w:rFonts w:ascii="宋体" w:eastAsia="宋体" w:hAnsi="宋体" w:hint="eastAsia"/>
          <w:sz w:val="32"/>
          <w:szCs w:val="32"/>
          <w:lang w:val="en-US" w:eastAsia="zh-CN"/>
        </w:rPr>
        <w:t>其他行政事业单位养老支出</w:t>
      </w:r>
      <w:r>
        <w:rPr>
          <w:rFonts w:ascii="宋体" w:eastAsia="宋体" w:hAnsi="宋体" w:hint="eastAsia"/>
          <w:sz w:val="32"/>
          <w:szCs w:val="32"/>
        </w:rPr>
        <w:t>（项）。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0</w:t>
      </w:r>
      <w:r>
        <w:rPr>
          <w:rFonts w:ascii="宋体" w:eastAsia="宋体" w:hAnsi="宋体" w:hint="eastAsia"/>
          <w:sz w:val="32"/>
          <w:szCs w:val="32"/>
        </w:rPr>
        <w:t>万元，支出决算为</w:t>
      </w:r>
      <w:r>
        <w:rPr>
          <w:rFonts w:ascii="宋体" w:eastAsia="宋体" w:hAnsi="宋体" w:hint="eastAsia"/>
          <w:sz w:val="32"/>
          <w:szCs w:val="32"/>
          <w:lang w:val="en-US" w:eastAsia="zh-CN"/>
        </w:rPr>
        <w:t>138.78</w:t>
      </w:r>
      <w:r>
        <w:rPr>
          <w:rFonts w:ascii="宋体" w:eastAsia="宋体" w:hAnsi="宋体" w:hint="eastAsia"/>
          <w:sz w:val="32"/>
          <w:szCs w:val="32"/>
        </w:rPr>
        <w:t>万元，决算数大于年初预算数的主要原因是：</w:t>
      </w:r>
      <w:r>
        <w:rPr>
          <w:rFonts w:ascii="宋体" w:eastAsia="宋体" w:hAnsi="宋体" w:hint="eastAsia"/>
          <w:sz w:val="32"/>
          <w:szCs w:val="32"/>
          <w:lang w:val="en-US" w:eastAsia="zh-CN"/>
        </w:rPr>
        <w:t>年中增加其他行政事业单位养老补助</w:t>
      </w:r>
      <w:r>
        <w:rPr>
          <w:rFonts w:ascii="宋体" w:eastAsia="宋体" w:hAnsi="宋体" w:hint="eastAsia"/>
          <w:sz w:val="32"/>
          <w:szCs w:val="32"/>
        </w:rPr>
        <w:t>。</w:t>
      </w:r>
    </w:p>
    <w:p>
      <w:pPr>
        <w:pStyle w:val="style4099"/>
        <w:ind w:firstLine="800" w:firstLineChars="250"/>
        <w:rPr>
          <w:rFonts w:ascii="宋体" w:eastAsia="宋体" w:hAnsi="宋体"/>
          <w:sz w:val="32"/>
          <w:szCs w:val="32"/>
        </w:rPr>
      </w:pPr>
      <w:r>
        <w:rPr>
          <w:rFonts w:ascii="宋体" w:eastAsia="宋体" w:hAnsi="宋体" w:hint="eastAsia"/>
          <w:sz w:val="32"/>
          <w:szCs w:val="32"/>
        </w:rPr>
        <w:t>8、卫生健康支出（类）行政事业单位医疗（款）</w:t>
      </w:r>
      <w:r>
        <w:rPr>
          <w:rFonts w:ascii="宋体" w:eastAsia="宋体" w:hAnsi="宋体" w:hint="eastAsia"/>
          <w:sz w:val="32"/>
          <w:szCs w:val="32"/>
          <w:lang w:val="en-US" w:eastAsia="zh-CN"/>
        </w:rPr>
        <w:t>行政</w:t>
      </w:r>
      <w:r>
        <w:rPr>
          <w:rFonts w:ascii="宋体" w:eastAsia="宋体" w:hAnsi="宋体" w:hint="eastAsia"/>
          <w:sz w:val="32"/>
          <w:szCs w:val="32"/>
        </w:rPr>
        <w:t>单位医疗（项）。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0</w:t>
      </w:r>
      <w:r>
        <w:rPr>
          <w:rFonts w:ascii="宋体" w:eastAsia="宋体" w:hAnsi="宋体" w:hint="eastAsia"/>
          <w:sz w:val="32"/>
          <w:szCs w:val="32"/>
        </w:rPr>
        <w:t>万元，支出决算为</w:t>
      </w:r>
      <w:r>
        <w:rPr>
          <w:rFonts w:ascii="宋体" w:eastAsia="宋体" w:hAnsi="宋体" w:hint="eastAsia"/>
          <w:sz w:val="32"/>
          <w:szCs w:val="32"/>
          <w:lang w:val="en-US" w:eastAsia="zh-CN"/>
        </w:rPr>
        <w:t>121.25</w:t>
      </w:r>
      <w:r>
        <w:rPr>
          <w:rFonts w:ascii="宋体" w:eastAsia="宋体" w:hAnsi="宋体" w:hint="eastAsia"/>
          <w:sz w:val="32"/>
          <w:szCs w:val="32"/>
        </w:rPr>
        <w:t>万元，决算数大于年初预算数的主要原因是：</w:t>
      </w:r>
      <w:r>
        <w:rPr>
          <w:rFonts w:ascii="宋体" w:eastAsia="宋体" w:hAnsi="宋体" w:hint="eastAsia"/>
          <w:sz w:val="32"/>
          <w:szCs w:val="32"/>
          <w:lang w:val="en-US" w:eastAsia="zh-CN"/>
        </w:rPr>
        <w:t>年中增加行政</w:t>
      </w:r>
      <w:r>
        <w:rPr>
          <w:rFonts w:ascii="宋体" w:eastAsia="宋体" w:hAnsi="宋体" w:hint="eastAsia"/>
          <w:sz w:val="32"/>
          <w:szCs w:val="32"/>
        </w:rPr>
        <w:t>单位医疗</w:t>
      </w:r>
      <w:r>
        <w:rPr>
          <w:rFonts w:ascii="宋体" w:eastAsia="宋体" w:hAnsi="宋体" w:hint="eastAsia"/>
          <w:sz w:val="32"/>
          <w:szCs w:val="32"/>
          <w:lang w:val="en-US" w:eastAsia="zh-CN"/>
        </w:rPr>
        <w:t>补助</w:t>
      </w:r>
      <w:r>
        <w:rPr>
          <w:rFonts w:ascii="宋体" w:eastAsia="宋体" w:hAnsi="宋体" w:hint="eastAsia"/>
          <w:sz w:val="32"/>
          <w:szCs w:val="32"/>
        </w:rPr>
        <w:t>。</w:t>
      </w:r>
    </w:p>
    <w:p>
      <w:pPr>
        <w:pStyle w:val="style4099"/>
        <w:ind w:firstLine="800" w:firstLineChars="250"/>
        <w:rPr>
          <w:rFonts w:ascii="宋体" w:eastAsia="宋体" w:hAnsi="宋体"/>
          <w:sz w:val="32"/>
          <w:szCs w:val="32"/>
        </w:rPr>
      </w:pPr>
      <w:r>
        <w:rPr>
          <w:rFonts w:ascii="宋体" w:eastAsia="宋体" w:hAnsi="宋体" w:hint="eastAsia"/>
          <w:sz w:val="32"/>
          <w:szCs w:val="32"/>
        </w:rPr>
        <w:t>9、卫生健康支出（类）行政事业单位医疗（款）其他行政事业单位医疗支出（项）。</w:t>
      </w:r>
    </w:p>
    <w:p>
      <w:pPr>
        <w:pStyle w:val="style4099"/>
        <w:ind w:firstLine="800" w:firstLineChars="250"/>
        <w:rPr>
          <w:rFonts w:ascii="宋体" w:eastAsia="宋体" w:hAnsi="宋体" w:hint="eastAsia"/>
          <w:sz w:val="32"/>
          <w:szCs w:val="32"/>
        </w:rPr>
      </w:pPr>
      <w:r>
        <w:rPr>
          <w:rFonts w:ascii="宋体" w:eastAsia="宋体" w:hAnsi="宋体" w:hint="eastAsia"/>
          <w:sz w:val="32"/>
          <w:szCs w:val="32"/>
        </w:rPr>
        <w:t>年初预算为</w:t>
      </w:r>
      <w:r>
        <w:rPr>
          <w:rFonts w:ascii="宋体" w:eastAsia="宋体" w:hAnsi="宋体" w:hint="eastAsia"/>
          <w:sz w:val="32"/>
          <w:szCs w:val="32"/>
          <w:lang w:val="en-US" w:eastAsia="zh-CN"/>
        </w:rPr>
        <w:t>0</w:t>
      </w:r>
      <w:r>
        <w:rPr>
          <w:rFonts w:ascii="宋体" w:eastAsia="宋体" w:hAnsi="宋体" w:hint="eastAsia"/>
          <w:sz w:val="32"/>
          <w:szCs w:val="32"/>
        </w:rPr>
        <w:t>万元，支出决算为</w:t>
      </w:r>
      <w:r>
        <w:rPr>
          <w:rFonts w:ascii="宋体" w:eastAsia="宋体" w:hAnsi="宋体" w:hint="eastAsia"/>
          <w:sz w:val="32"/>
          <w:szCs w:val="32"/>
          <w:lang w:val="en-US" w:eastAsia="zh-CN"/>
        </w:rPr>
        <w:t>5.26</w:t>
      </w:r>
      <w:r>
        <w:rPr>
          <w:rFonts w:ascii="宋体" w:eastAsia="宋体" w:hAnsi="宋体" w:hint="eastAsia"/>
          <w:sz w:val="32"/>
          <w:szCs w:val="32"/>
        </w:rPr>
        <w:t>万元，决算数大于年初预算数的主要原因是：</w:t>
      </w:r>
      <w:r>
        <w:rPr>
          <w:rFonts w:ascii="宋体" w:eastAsia="宋体" w:hAnsi="宋体" w:hint="eastAsia"/>
          <w:sz w:val="32"/>
          <w:szCs w:val="32"/>
          <w:lang w:val="en-US" w:eastAsia="zh-CN"/>
        </w:rPr>
        <w:t>年中增加</w:t>
      </w:r>
      <w:r>
        <w:rPr>
          <w:rFonts w:ascii="宋体" w:eastAsia="宋体" w:hAnsi="宋体" w:hint="eastAsia"/>
          <w:sz w:val="32"/>
          <w:szCs w:val="32"/>
        </w:rPr>
        <w:t>其他行政事业单位医疗</w:t>
      </w:r>
      <w:r>
        <w:rPr>
          <w:rFonts w:ascii="宋体" w:eastAsia="宋体" w:hAnsi="宋体" w:hint="eastAsia"/>
          <w:sz w:val="32"/>
          <w:szCs w:val="32"/>
          <w:lang w:val="en-US" w:eastAsia="zh-CN"/>
        </w:rPr>
        <w:t>补助</w:t>
      </w:r>
      <w:r>
        <w:rPr>
          <w:rFonts w:ascii="宋体" w:eastAsia="宋体" w:hAnsi="宋体" w:hint="eastAsia"/>
          <w:sz w:val="32"/>
          <w:szCs w:val="32"/>
        </w:rPr>
        <w:t>。</w:t>
      </w:r>
    </w:p>
    <w:p>
      <w:pPr>
        <w:pStyle w:val="style4099"/>
        <w:rPr>
          <w:rFonts w:hAnsi="黑体"/>
          <w:b/>
          <w:sz w:val="32"/>
          <w:szCs w:val="32"/>
        </w:rPr>
      </w:pPr>
      <w:r>
        <w:rPr>
          <w:rFonts w:hAnsi="黑体" w:hint="eastAsia"/>
          <w:b/>
          <w:sz w:val="32"/>
          <w:szCs w:val="32"/>
        </w:rPr>
        <w:t>六、一般公共预算财政拨款基本支出决算情况说明</w:t>
      </w:r>
    </w:p>
    <w:p>
      <w:pPr>
        <w:pStyle w:val="style4099"/>
        <w:ind w:firstLine="800" w:firstLineChars="250"/>
        <w:rPr>
          <w:rFonts w:ascii="宋体" w:eastAsia="宋体" w:hAnsi="宋体"/>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年度财政拨款基本支出</w:t>
      </w:r>
      <w:r>
        <w:rPr>
          <w:rFonts w:ascii="宋体" w:eastAsia="宋体" w:hAnsi="宋体" w:hint="eastAsia"/>
          <w:sz w:val="32"/>
          <w:szCs w:val="32"/>
          <w:lang w:val="en-US" w:eastAsia="zh-CN"/>
        </w:rPr>
        <w:t>4167.45</w:t>
      </w:r>
      <w:r>
        <w:rPr>
          <w:rFonts w:ascii="宋体" w:eastAsia="宋体" w:hAnsi="宋体" w:hint="eastAsia"/>
          <w:sz w:val="32"/>
          <w:szCs w:val="32"/>
        </w:rPr>
        <w:t>万元，其中：人员经费</w:t>
      </w:r>
      <w:r>
        <w:rPr>
          <w:rFonts w:ascii="宋体" w:eastAsia="宋体" w:hAnsi="宋体" w:hint="eastAsia"/>
          <w:sz w:val="32"/>
          <w:szCs w:val="32"/>
          <w:lang w:val="en-US" w:eastAsia="zh-CN"/>
        </w:rPr>
        <w:t>3327.45</w:t>
      </w:r>
      <w:r>
        <w:rPr>
          <w:rFonts w:ascii="宋体" w:eastAsia="宋体" w:hAnsi="宋体" w:hint="eastAsia"/>
          <w:sz w:val="32"/>
          <w:szCs w:val="32"/>
        </w:rPr>
        <w:t>万元，占基本支出的</w:t>
      </w:r>
      <w:r>
        <w:rPr>
          <w:rFonts w:ascii="宋体" w:eastAsia="宋体" w:hAnsi="宋体" w:hint="eastAsia"/>
          <w:sz w:val="32"/>
          <w:szCs w:val="32"/>
          <w:lang w:val="en-US" w:eastAsia="zh-CN"/>
        </w:rPr>
        <w:t>79.8</w:t>
      </w:r>
      <w:r>
        <w:rPr>
          <w:rFonts w:ascii="宋体" w:eastAsia="宋体" w:hAnsi="宋体" w:hint="eastAsia"/>
          <w:sz w:val="32"/>
          <w:szCs w:val="32"/>
        </w:rPr>
        <w:t>%,主要包括基本工资、津贴补贴、奖金、伙食补助费、</w:t>
      </w:r>
      <w:r>
        <w:rPr>
          <w:rFonts w:ascii="宋体" w:eastAsia="宋体" w:hAnsi="宋体"/>
          <w:sz w:val="32"/>
          <w:szCs w:val="32"/>
        </w:rPr>
        <w:t>生活补助等</w:t>
      </w:r>
      <w:r>
        <w:rPr>
          <w:rFonts w:ascii="宋体" w:eastAsia="宋体" w:hAnsi="宋体" w:hint="eastAsia"/>
          <w:sz w:val="32"/>
          <w:szCs w:val="32"/>
        </w:rPr>
        <w:t>；公用经费</w:t>
      </w:r>
      <w:r>
        <w:rPr>
          <w:rFonts w:ascii="宋体" w:eastAsia="宋体" w:hAnsi="宋体" w:hint="eastAsia"/>
          <w:sz w:val="32"/>
          <w:szCs w:val="32"/>
          <w:lang w:val="en-US" w:eastAsia="zh-CN"/>
        </w:rPr>
        <w:t>840</w:t>
      </w:r>
      <w:r>
        <w:rPr>
          <w:rFonts w:ascii="宋体" w:eastAsia="宋体" w:hAnsi="宋体" w:hint="eastAsia"/>
          <w:sz w:val="32"/>
          <w:szCs w:val="32"/>
        </w:rPr>
        <w:t>万元，占基本支出的</w:t>
      </w:r>
      <w:r>
        <w:rPr>
          <w:rFonts w:ascii="宋体" w:eastAsia="宋体" w:hAnsi="宋体" w:hint="eastAsia"/>
          <w:sz w:val="32"/>
          <w:szCs w:val="32"/>
          <w:lang w:val="en-US" w:eastAsia="zh-CN"/>
        </w:rPr>
        <w:t>20.2</w:t>
      </w:r>
      <w:r>
        <w:rPr>
          <w:rFonts w:ascii="宋体" w:eastAsia="宋体" w:hAnsi="宋体" w:hint="eastAsia"/>
          <w:sz w:val="32"/>
          <w:szCs w:val="32"/>
        </w:rPr>
        <w:t>%，主要包括办公费、印刷费、咨询费、手续费、</w:t>
      </w:r>
      <w:r>
        <w:rPr>
          <w:rFonts w:ascii="宋体" w:eastAsia="宋体" w:hAnsi="宋体"/>
          <w:sz w:val="32"/>
          <w:szCs w:val="32"/>
        </w:rPr>
        <w:t>劳务费</w:t>
      </w:r>
      <w:r>
        <w:rPr>
          <w:rFonts w:ascii="宋体" w:eastAsia="宋体" w:hAnsi="宋体" w:hint="eastAsia"/>
          <w:sz w:val="32"/>
          <w:szCs w:val="32"/>
        </w:rPr>
        <w:t>、</w:t>
      </w:r>
      <w:r>
        <w:rPr>
          <w:rFonts w:ascii="宋体" w:eastAsia="宋体" w:hAnsi="宋体"/>
          <w:sz w:val="32"/>
          <w:szCs w:val="32"/>
        </w:rPr>
        <w:t>工会经费等</w:t>
      </w:r>
      <w:r>
        <w:rPr>
          <w:rFonts w:ascii="宋体" w:eastAsia="宋体" w:hAnsi="宋体" w:hint="eastAsia"/>
          <w:sz w:val="32"/>
          <w:szCs w:val="32"/>
        </w:rPr>
        <w:t>。</w:t>
      </w:r>
    </w:p>
    <w:p>
      <w:pPr>
        <w:pStyle w:val="style4099"/>
        <w:rPr>
          <w:rFonts w:hAnsi="黑体"/>
          <w:b/>
          <w:sz w:val="32"/>
          <w:szCs w:val="32"/>
        </w:rPr>
      </w:pPr>
      <w:r>
        <w:rPr>
          <w:rFonts w:hAnsi="黑体" w:hint="eastAsia"/>
          <w:b/>
          <w:sz w:val="32"/>
          <w:szCs w:val="32"/>
        </w:rPr>
        <w:t>七、一般公共预算财政拨款三公经费支出决算情况说明</w:t>
      </w:r>
    </w:p>
    <w:p>
      <w:pPr>
        <w:pStyle w:val="style4099"/>
        <w:ind w:firstLine="640" w:firstLineChars="200"/>
        <w:rPr>
          <w:rFonts w:ascii="宋体" w:eastAsia="宋体" w:hAnsi="宋体"/>
          <w:b/>
          <w:sz w:val="32"/>
          <w:szCs w:val="32"/>
        </w:rPr>
      </w:pPr>
      <w:r>
        <w:rPr>
          <w:rFonts w:ascii="宋体" w:eastAsia="宋体" w:hAnsi="宋体" w:hint="eastAsia"/>
          <w:b/>
          <w:sz w:val="32"/>
          <w:szCs w:val="32"/>
        </w:rPr>
        <w:t>（一）“三公”经费财政拨款支出决算总体情况说明</w:t>
      </w:r>
    </w:p>
    <w:p>
      <w:pPr>
        <w:pStyle w:val="style4099"/>
        <w:ind w:firstLine="800" w:firstLineChars="250"/>
        <w:rPr>
          <w:rFonts w:ascii="宋体" w:eastAsia="宋体" w:hAnsi="宋体"/>
          <w:sz w:val="32"/>
          <w:szCs w:val="32"/>
        </w:rPr>
      </w:pPr>
      <w:r>
        <w:rPr>
          <w:rFonts w:ascii="宋体" w:eastAsia="宋体" w:hAnsi="宋体" w:hint="eastAsia"/>
          <w:sz w:val="32"/>
          <w:szCs w:val="32"/>
        </w:rPr>
        <w:t>“三公”经费财政拨款支出预算为</w:t>
      </w:r>
      <w:r>
        <w:rPr>
          <w:rFonts w:ascii="宋体" w:eastAsia="宋体" w:hAnsi="宋体" w:hint="eastAsia"/>
          <w:sz w:val="32"/>
          <w:szCs w:val="32"/>
          <w:lang w:val="en-US" w:eastAsia="zh-CN"/>
        </w:rPr>
        <w:t>13.5</w:t>
      </w:r>
      <w:r>
        <w:rPr>
          <w:rFonts w:ascii="宋体" w:eastAsia="宋体" w:hAnsi="宋体" w:hint="eastAsia"/>
          <w:sz w:val="32"/>
          <w:szCs w:val="32"/>
        </w:rPr>
        <w:t>5万元，支出决算为</w:t>
      </w:r>
      <w:r>
        <w:rPr>
          <w:rFonts w:ascii="宋体" w:eastAsia="宋体" w:hAnsi="宋体" w:hint="eastAsia"/>
          <w:sz w:val="32"/>
          <w:szCs w:val="32"/>
          <w:lang w:val="en-US" w:eastAsia="zh-CN"/>
        </w:rPr>
        <w:t>0</w:t>
      </w:r>
      <w:r>
        <w:rPr>
          <w:rFonts w:ascii="宋体" w:eastAsia="宋体" w:hAnsi="宋体" w:hint="eastAsia"/>
          <w:sz w:val="32"/>
          <w:szCs w:val="32"/>
        </w:rPr>
        <w:t>万元，完成预算的</w:t>
      </w:r>
      <w:r>
        <w:rPr>
          <w:rFonts w:ascii="宋体" w:eastAsia="宋体" w:hAnsi="宋体" w:hint="eastAsia"/>
          <w:sz w:val="32"/>
          <w:szCs w:val="32"/>
          <w:lang w:val="en-US" w:eastAsia="zh-CN"/>
        </w:rPr>
        <w:t>0</w:t>
      </w:r>
      <w:r>
        <w:rPr>
          <w:rFonts w:ascii="宋体" w:eastAsia="宋体" w:hAnsi="宋体" w:hint="eastAsia"/>
          <w:sz w:val="32"/>
          <w:szCs w:val="32"/>
        </w:rPr>
        <w:t>%，其中：</w:t>
      </w:r>
    </w:p>
    <w:p>
      <w:pPr>
        <w:pStyle w:val="style4099"/>
        <w:ind w:firstLine="800" w:firstLineChars="250"/>
        <w:rPr>
          <w:rFonts w:ascii="宋体" w:eastAsia="宋体" w:hAnsi="宋体"/>
          <w:sz w:val="32"/>
          <w:szCs w:val="32"/>
        </w:rPr>
      </w:pPr>
      <w:r>
        <w:rPr>
          <w:rFonts w:ascii="宋体" w:eastAsia="宋体" w:hAnsi="宋体" w:hint="eastAsia"/>
          <w:sz w:val="32"/>
          <w:szCs w:val="32"/>
        </w:rPr>
        <w:t>因公出国（境）费支出预算为0万元，支出决算为0万元，完成预算的0%，单位无出国出境。</w:t>
      </w:r>
    </w:p>
    <w:p>
      <w:pPr>
        <w:pStyle w:val="style4099"/>
        <w:ind w:firstLine="800" w:firstLineChars="250"/>
        <w:rPr>
          <w:rFonts w:ascii="宋体" w:eastAsia="宋体" w:hAnsi="宋体"/>
          <w:sz w:val="32"/>
          <w:szCs w:val="32"/>
        </w:rPr>
      </w:pPr>
      <w:r>
        <w:rPr>
          <w:rFonts w:ascii="宋体" w:eastAsia="宋体" w:hAnsi="宋体" w:hint="eastAsia"/>
          <w:sz w:val="32"/>
          <w:szCs w:val="32"/>
        </w:rPr>
        <w:t>公务接待费支出预算为</w:t>
      </w:r>
      <w:r>
        <w:rPr>
          <w:rFonts w:ascii="宋体" w:eastAsia="宋体" w:hAnsi="宋体" w:hint="eastAsia"/>
          <w:sz w:val="32"/>
          <w:szCs w:val="32"/>
          <w:lang w:val="en-US" w:eastAsia="zh-CN"/>
        </w:rPr>
        <w:t>10.71</w:t>
      </w:r>
      <w:r>
        <w:rPr>
          <w:rFonts w:ascii="宋体" w:eastAsia="宋体" w:hAnsi="宋体" w:hint="eastAsia"/>
          <w:sz w:val="32"/>
          <w:szCs w:val="32"/>
        </w:rPr>
        <w:t>万元，支出决算为</w:t>
      </w:r>
      <w:r>
        <w:rPr>
          <w:rFonts w:ascii="宋体" w:eastAsia="宋体" w:hAnsi="宋体" w:hint="eastAsia"/>
          <w:sz w:val="32"/>
          <w:szCs w:val="32"/>
          <w:lang w:val="en-US" w:eastAsia="zh-CN"/>
        </w:rPr>
        <w:t>0</w:t>
      </w:r>
      <w:r>
        <w:rPr>
          <w:rFonts w:ascii="宋体" w:eastAsia="宋体" w:hAnsi="宋体" w:hint="eastAsia"/>
          <w:sz w:val="32"/>
          <w:szCs w:val="32"/>
        </w:rPr>
        <w:t>万元，完成预算的0%，决算数小于预算数的主要原因是单位厉行节约，</w:t>
      </w:r>
      <w:r>
        <w:rPr>
          <w:rFonts w:ascii="宋体" w:eastAsia="宋体" w:hAnsi="宋体" w:hint="eastAsia"/>
          <w:sz w:val="32"/>
          <w:szCs w:val="32"/>
          <w:lang w:val="en-US" w:eastAsia="zh-CN"/>
        </w:rPr>
        <w:t>未产生公务接待费支出</w:t>
      </w:r>
      <w:r>
        <w:rPr>
          <w:rFonts w:ascii="宋体" w:eastAsia="宋体" w:hAnsi="宋体" w:hint="eastAsia"/>
          <w:sz w:val="32"/>
          <w:szCs w:val="32"/>
        </w:rPr>
        <w:t>。</w:t>
      </w:r>
    </w:p>
    <w:p>
      <w:pPr>
        <w:pStyle w:val="style4099"/>
        <w:ind w:firstLine="640" w:firstLineChars="200"/>
        <w:rPr>
          <w:rFonts w:ascii="宋体" w:eastAsia="宋体" w:hAnsi="宋体"/>
          <w:sz w:val="32"/>
          <w:szCs w:val="32"/>
        </w:rPr>
      </w:pPr>
      <w:r>
        <w:rPr>
          <w:rFonts w:ascii="宋体" w:eastAsia="宋体" w:hAnsi="宋体" w:hint="eastAsia"/>
          <w:sz w:val="32"/>
          <w:szCs w:val="32"/>
        </w:rPr>
        <w:t>公务用车购置费及运行维护费支出预算为</w:t>
      </w:r>
      <w:r>
        <w:rPr>
          <w:rFonts w:ascii="宋体" w:eastAsia="宋体" w:hAnsi="宋体" w:hint="eastAsia"/>
          <w:sz w:val="32"/>
          <w:szCs w:val="32"/>
          <w:lang w:val="en-US" w:eastAsia="zh-CN"/>
        </w:rPr>
        <w:t>2.84</w:t>
      </w:r>
      <w:r>
        <w:rPr>
          <w:rFonts w:ascii="宋体" w:eastAsia="宋体" w:hAnsi="宋体" w:hint="eastAsia"/>
          <w:sz w:val="32"/>
          <w:szCs w:val="32"/>
        </w:rPr>
        <w:t>万元，支出决算为0万元，完成预算的0%，决算数小于预算数的主要原因是单位车辆上交公车平台，单位无此费用。</w:t>
      </w:r>
    </w:p>
    <w:p>
      <w:pPr>
        <w:pStyle w:val="style4099"/>
        <w:ind w:firstLine="640" w:firstLineChars="200"/>
        <w:rPr>
          <w:rFonts w:ascii="宋体" w:eastAsia="宋体" w:hAnsi="宋体"/>
          <w:b/>
          <w:sz w:val="32"/>
          <w:szCs w:val="32"/>
        </w:rPr>
      </w:pPr>
      <w:r>
        <w:rPr>
          <w:rFonts w:ascii="宋体" w:eastAsia="宋体" w:hAnsi="宋体" w:hint="eastAsia"/>
          <w:b/>
          <w:sz w:val="32"/>
          <w:szCs w:val="32"/>
        </w:rPr>
        <w:t>（二）“三公”经费财政拨款支出决算具体情况说明</w:t>
      </w:r>
    </w:p>
    <w:p>
      <w:pPr>
        <w:pStyle w:val="style4099"/>
        <w:ind w:firstLine="640" w:firstLineChars="200"/>
        <w:rPr>
          <w:rFonts w:ascii="宋体" w:eastAsia="宋体" w:hAnsi="宋体"/>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年度“三公”经费财政拨款支出决算中，公务接待费支出决算</w:t>
      </w:r>
      <w:r>
        <w:rPr>
          <w:rFonts w:ascii="宋体" w:eastAsia="宋体" w:hAnsi="宋体" w:hint="eastAsia"/>
          <w:sz w:val="32"/>
          <w:szCs w:val="32"/>
          <w:lang w:val="en-US" w:eastAsia="zh-CN"/>
        </w:rPr>
        <w:t>0</w:t>
      </w:r>
      <w:r>
        <w:rPr>
          <w:rFonts w:ascii="宋体" w:eastAsia="宋体" w:hAnsi="宋体" w:hint="eastAsia"/>
          <w:sz w:val="32"/>
          <w:szCs w:val="32"/>
        </w:rPr>
        <w:t>万元，占</w:t>
      </w:r>
      <w:r>
        <w:rPr>
          <w:rFonts w:ascii="宋体" w:eastAsia="宋体" w:hAnsi="宋体" w:hint="eastAsia"/>
          <w:sz w:val="32"/>
          <w:szCs w:val="32"/>
          <w:lang w:val="en-US" w:eastAsia="zh-CN"/>
        </w:rPr>
        <w:t>0</w:t>
      </w:r>
      <w:r>
        <w:rPr>
          <w:rFonts w:ascii="宋体" w:eastAsia="宋体" w:hAnsi="宋体" w:hint="eastAsia"/>
          <w:sz w:val="32"/>
          <w:szCs w:val="32"/>
        </w:rPr>
        <w:t>%,因公出国（境）费支出决算0万元，占0%,公务用车购置费及运行维护费支出决算0万元，占0%。其中：</w:t>
      </w:r>
    </w:p>
    <w:p>
      <w:pPr>
        <w:pStyle w:val="style4099"/>
        <w:ind w:firstLine="640" w:firstLineChars="200"/>
        <w:rPr>
          <w:rFonts w:ascii="宋体" w:eastAsia="宋体" w:hAnsi="宋体" w:hint="eastAsia"/>
          <w:sz w:val="32"/>
          <w:szCs w:val="32"/>
          <w:lang w:val="en-US" w:eastAsia="zh-CN"/>
        </w:rPr>
      </w:pPr>
      <w:r>
        <w:rPr>
          <w:rFonts w:ascii="宋体" w:eastAsia="宋体" w:hAnsi="宋体" w:hint="eastAsia"/>
          <w:sz w:val="32"/>
          <w:szCs w:val="32"/>
        </w:rPr>
        <w:t>1、因公出国（境）费支出决算为0万元，全年安排因公出国（境）团组0个，累计0人次，主要是</w:t>
      </w:r>
      <w:r>
        <w:rPr>
          <w:rFonts w:ascii="宋体" w:eastAsia="宋体" w:hAnsi="宋体" w:hint="eastAsia"/>
          <w:sz w:val="32"/>
          <w:szCs w:val="32"/>
          <w:lang w:val="en-US" w:eastAsia="zh-CN"/>
        </w:rPr>
        <w:t>未</w:t>
      </w:r>
      <w:r>
        <w:rPr>
          <w:rFonts w:ascii="宋体" w:eastAsia="宋体" w:hAnsi="宋体" w:hint="eastAsia"/>
          <w:sz w:val="32"/>
          <w:szCs w:val="32"/>
        </w:rPr>
        <w:t>发生的因公出国（境）支出</w:t>
      </w:r>
      <w:r>
        <w:rPr>
          <w:rFonts w:ascii="宋体" w:eastAsia="宋体" w:hAnsi="宋体" w:hint="eastAsia"/>
          <w:sz w:val="32"/>
          <w:szCs w:val="32"/>
          <w:lang w:val="en-US" w:eastAsia="zh-CN"/>
        </w:rPr>
        <w:t>。</w:t>
      </w:r>
    </w:p>
    <w:p>
      <w:pPr>
        <w:pStyle w:val="style4099"/>
        <w:ind w:firstLine="800" w:firstLineChars="250"/>
        <w:rPr>
          <w:rFonts w:ascii="宋体" w:eastAsia="宋体" w:hAnsi="宋体"/>
          <w:sz w:val="32"/>
          <w:szCs w:val="32"/>
        </w:rPr>
      </w:pPr>
      <w:r>
        <w:rPr>
          <w:rFonts w:ascii="宋体" w:eastAsia="宋体" w:hAnsi="宋体" w:hint="eastAsia"/>
          <w:sz w:val="32"/>
          <w:szCs w:val="32"/>
        </w:rPr>
        <w:t>2、公务接待费支出决算为</w:t>
      </w:r>
      <w:r>
        <w:rPr>
          <w:rFonts w:ascii="宋体" w:eastAsia="宋体" w:hAnsi="宋体" w:hint="eastAsia"/>
          <w:sz w:val="32"/>
          <w:szCs w:val="32"/>
          <w:lang w:val="en-US" w:eastAsia="zh-CN"/>
        </w:rPr>
        <w:t>0</w:t>
      </w:r>
      <w:r>
        <w:rPr>
          <w:rFonts w:ascii="宋体" w:eastAsia="宋体" w:hAnsi="宋体" w:hint="eastAsia"/>
          <w:sz w:val="32"/>
          <w:szCs w:val="32"/>
        </w:rPr>
        <w:t>万元，全年共接待来访团组</w:t>
      </w:r>
      <w:r>
        <w:rPr>
          <w:rFonts w:ascii="宋体" w:eastAsia="宋体" w:hAnsi="宋体" w:hint="eastAsia"/>
          <w:sz w:val="32"/>
          <w:szCs w:val="32"/>
          <w:lang w:val="en-US" w:eastAsia="zh-CN"/>
        </w:rPr>
        <w:t>0</w:t>
      </w:r>
      <w:r>
        <w:rPr>
          <w:rFonts w:ascii="宋体" w:eastAsia="宋体" w:hAnsi="宋体" w:hint="eastAsia"/>
          <w:sz w:val="32"/>
          <w:szCs w:val="32"/>
        </w:rPr>
        <w:t>个、来宾</w:t>
      </w:r>
      <w:r>
        <w:rPr>
          <w:rFonts w:ascii="宋体" w:eastAsia="宋体" w:hAnsi="宋体" w:hint="eastAsia"/>
          <w:sz w:val="32"/>
          <w:szCs w:val="32"/>
          <w:lang w:val="en-US" w:eastAsia="zh-CN"/>
        </w:rPr>
        <w:t>0</w:t>
      </w:r>
      <w:r>
        <w:rPr>
          <w:rFonts w:ascii="宋体" w:eastAsia="宋体" w:hAnsi="宋体" w:hint="eastAsia"/>
          <w:sz w:val="32"/>
          <w:szCs w:val="32"/>
        </w:rPr>
        <w:t>人次，主要是</w:t>
      </w:r>
      <w:r>
        <w:rPr>
          <w:rFonts w:ascii="宋体" w:eastAsia="宋体" w:hAnsi="宋体" w:hint="eastAsia"/>
          <w:sz w:val="32"/>
          <w:szCs w:val="32"/>
          <w:lang w:val="en-US" w:eastAsia="zh-CN"/>
        </w:rPr>
        <w:t>未</w:t>
      </w:r>
      <w:r>
        <w:rPr>
          <w:rFonts w:ascii="宋体" w:eastAsia="宋体" w:hAnsi="宋体" w:hint="eastAsia"/>
          <w:sz w:val="32"/>
          <w:szCs w:val="32"/>
        </w:rPr>
        <w:t>发生的接待支出。</w:t>
      </w:r>
    </w:p>
    <w:p>
      <w:pPr>
        <w:pStyle w:val="style0"/>
        <w:ind w:firstLine="800" w:firstLineChars="250"/>
        <w:rPr>
          <w:rFonts w:ascii="宋体" w:cs="黑体" w:hAnsi="宋体"/>
          <w:color w:val="000000"/>
          <w:kern w:val="0"/>
          <w:sz w:val="32"/>
          <w:szCs w:val="32"/>
        </w:rPr>
      </w:pPr>
      <w:r>
        <w:rPr>
          <w:rFonts w:ascii="宋体" w:hAnsi="宋体" w:hint="eastAsia"/>
          <w:sz w:val="32"/>
          <w:szCs w:val="32"/>
        </w:rPr>
        <w:t>3、公务用车购置费及运行维护费支出决算为0万元，其中：公务用车购置费0万元，更新公务用车0辆</w:t>
      </w:r>
      <w:r>
        <w:rPr>
          <w:rFonts w:ascii="宋体" w:hAnsi="宋体" w:hint="eastAsia"/>
          <w:color w:val="000000"/>
          <w:sz w:val="32"/>
          <w:szCs w:val="32"/>
        </w:rPr>
        <w:t>。</w:t>
      </w:r>
      <w:r>
        <w:rPr>
          <w:rFonts w:ascii="宋体" w:hAnsi="宋体" w:hint="eastAsia"/>
          <w:sz w:val="32"/>
          <w:szCs w:val="32"/>
        </w:rPr>
        <w:t>公务用车运行维护费0万元，截止202</w:t>
      </w:r>
      <w:r>
        <w:rPr>
          <w:rFonts w:ascii="宋体" w:hAnsi="宋体" w:hint="eastAsia"/>
          <w:sz w:val="32"/>
          <w:szCs w:val="32"/>
          <w:lang w:val="en-US" w:eastAsia="zh-CN"/>
        </w:rPr>
        <w:t>1</w:t>
      </w:r>
      <w:r>
        <w:rPr>
          <w:rFonts w:ascii="宋体" w:hAnsi="宋体" w:hint="eastAsia"/>
          <w:sz w:val="32"/>
          <w:szCs w:val="32"/>
        </w:rPr>
        <w:t>年12月31日，我单位开支财政拨款的公务用车保有量为0辆。</w:t>
      </w:r>
    </w:p>
    <w:p>
      <w:pPr>
        <w:pStyle w:val="style4099"/>
        <w:rPr>
          <w:rFonts w:hAnsi="黑体"/>
          <w:b/>
          <w:sz w:val="32"/>
          <w:szCs w:val="32"/>
        </w:rPr>
      </w:pPr>
      <w:r>
        <w:rPr>
          <w:rFonts w:hAnsi="黑体" w:hint="eastAsia"/>
          <w:b/>
          <w:sz w:val="32"/>
          <w:szCs w:val="32"/>
        </w:rPr>
        <w:t>八、政府性基金预算收入支出决算情况</w:t>
      </w:r>
    </w:p>
    <w:p>
      <w:pPr>
        <w:pStyle w:val="style4099"/>
        <w:rPr>
          <w:rFonts w:ascii="宋体" w:cs="宋体" w:eastAsia="宋体" w:hAnsi="宋体" w:hint="eastAsia"/>
          <w:color w:val="auto"/>
          <w:kern w:val="2"/>
          <w:sz w:val="32"/>
          <w:szCs w:val="32"/>
          <w:lang w:eastAsia="zh-CN"/>
        </w:rPr>
      </w:pPr>
      <w:r>
        <w:rPr>
          <w:rFonts w:ascii="宋体" w:eastAsia="宋体" w:hAnsi="宋体" w:hint="eastAsia"/>
          <w:sz w:val="32"/>
          <w:szCs w:val="32"/>
        </w:rPr>
        <w:t xml:space="preserve">     </w:t>
      </w:r>
      <w:r>
        <w:rPr>
          <w:rFonts w:ascii="宋体" w:cs="宋体" w:eastAsia="宋体" w:hAnsi="宋体" w:hint="eastAsia"/>
          <w:color w:val="auto"/>
          <w:kern w:val="2"/>
          <w:sz w:val="32"/>
          <w:szCs w:val="32"/>
        </w:rPr>
        <w:t>本单位无政府性基金收支</w:t>
      </w:r>
      <w:r>
        <w:rPr>
          <w:rFonts w:ascii="宋体" w:cs="宋体" w:eastAsia="宋体" w:hAnsi="宋体" w:hint="eastAsia"/>
          <w:color w:val="auto"/>
          <w:kern w:val="2"/>
          <w:sz w:val="32"/>
          <w:szCs w:val="32"/>
          <w:lang w:eastAsia="zh-CN"/>
        </w:rPr>
        <w:t>。</w:t>
      </w:r>
    </w:p>
    <w:p>
      <w:pPr>
        <w:pStyle w:val="style4099"/>
        <w:rPr>
          <w:rFonts w:hAnsi="黑体" w:hint="eastAsia"/>
          <w:b/>
          <w:sz w:val="32"/>
          <w:szCs w:val="32"/>
          <w:lang w:val="en-US" w:eastAsia="zh-CN"/>
        </w:rPr>
      </w:pPr>
      <w:r>
        <w:rPr>
          <w:rFonts w:hAnsi="黑体" w:hint="eastAsia"/>
          <w:b/>
          <w:sz w:val="32"/>
          <w:szCs w:val="32"/>
          <w:lang w:val="en-US" w:eastAsia="zh-CN"/>
        </w:rPr>
        <w:t>九、国有资本经营预算财政拨款支出</w:t>
      </w:r>
      <w:r>
        <w:rPr>
          <w:rFonts w:hAnsi="黑体" w:hint="eastAsia"/>
          <w:b/>
          <w:sz w:val="32"/>
          <w:szCs w:val="32"/>
        </w:rPr>
        <w:t>决算情况</w:t>
      </w:r>
      <w:r>
        <w:rPr>
          <w:rFonts w:hAnsi="黑体" w:hint="eastAsia"/>
          <w:b/>
          <w:sz w:val="32"/>
          <w:szCs w:val="32"/>
          <w:lang w:val="en-US" w:eastAsia="zh-CN"/>
        </w:rPr>
        <w:t>说明</w:t>
      </w:r>
    </w:p>
    <w:p>
      <w:pPr>
        <w:pStyle w:val="style4099"/>
        <w:ind w:firstLine="640" w:firstLineChars="200"/>
        <w:rPr>
          <w:rFonts w:ascii="宋体" w:eastAsia="宋体" w:hAnsi="宋体" w:hint="eastAsia"/>
          <w:sz w:val="32"/>
          <w:szCs w:val="32"/>
          <w:lang w:eastAsia="zh-CN"/>
        </w:rPr>
      </w:pPr>
      <w:r>
        <w:rPr>
          <w:rFonts w:ascii="宋体" w:eastAsia="宋体" w:hAnsi="宋体" w:hint="eastAsia"/>
          <w:sz w:val="32"/>
          <w:szCs w:val="32"/>
        </w:rPr>
        <w:t>本单位无</w:t>
      </w:r>
      <w:r>
        <w:rPr>
          <w:rFonts w:ascii="宋体" w:eastAsia="宋体" w:hAnsi="宋体" w:hint="eastAsia"/>
          <w:sz w:val="32"/>
          <w:szCs w:val="32"/>
          <w:lang w:val="en-US" w:eastAsia="zh-CN"/>
        </w:rPr>
        <w:t>国有资本经营预算财政拨款支出</w:t>
      </w:r>
      <w:r>
        <w:rPr>
          <w:rFonts w:ascii="宋体" w:eastAsia="宋体" w:hAnsi="宋体" w:hint="eastAsia"/>
          <w:sz w:val="32"/>
          <w:szCs w:val="32"/>
          <w:lang w:eastAsia="zh-CN"/>
        </w:rPr>
        <w:t>。</w:t>
      </w:r>
    </w:p>
    <w:p>
      <w:pPr>
        <w:pStyle w:val="style4099"/>
        <w:rPr>
          <w:rFonts w:ascii="宋体" w:cs="宋体" w:eastAsia="宋体" w:hAnsi="宋体" w:hint="eastAsia"/>
          <w:color w:val="auto"/>
          <w:kern w:val="2"/>
          <w:sz w:val="32"/>
          <w:szCs w:val="32"/>
          <w:lang w:eastAsia="zh-CN"/>
        </w:rPr>
      </w:pPr>
    </w:p>
    <w:p>
      <w:pPr>
        <w:pStyle w:val="style4099"/>
        <w:rPr>
          <w:rFonts w:hAnsi="黑体"/>
          <w:b/>
          <w:sz w:val="32"/>
          <w:szCs w:val="32"/>
        </w:rPr>
      </w:pPr>
      <w:r>
        <w:rPr>
          <w:rFonts w:hAnsi="黑体" w:hint="eastAsia"/>
          <w:b/>
          <w:sz w:val="32"/>
          <w:szCs w:val="32"/>
          <w:lang w:eastAsia="zh-CN"/>
        </w:rPr>
        <w:t>十</w:t>
      </w:r>
      <w:r>
        <w:rPr>
          <w:rFonts w:hAnsi="黑体" w:hint="eastAsia"/>
          <w:b/>
          <w:sz w:val="32"/>
          <w:szCs w:val="32"/>
        </w:rPr>
        <w:t>、关于机关运行经费支出说明</w:t>
      </w:r>
    </w:p>
    <w:p>
      <w:pPr>
        <w:pStyle w:val="style4099"/>
        <w:ind w:firstLine="640" w:firstLineChars="200"/>
        <w:rPr>
          <w:rFonts w:ascii="宋体" w:eastAsia="宋体" w:hAnsi="宋体"/>
          <w:sz w:val="32"/>
          <w:szCs w:val="32"/>
        </w:rPr>
      </w:pPr>
      <w:r>
        <w:rPr>
          <w:rFonts w:ascii="宋体" w:eastAsia="宋体" w:hAnsi="宋体" w:hint="eastAsia"/>
          <w:sz w:val="32"/>
          <w:szCs w:val="32"/>
        </w:rPr>
        <w:t>本部门202</w:t>
      </w:r>
      <w:r>
        <w:rPr>
          <w:rFonts w:ascii="宋体" w:eastAsia="宋体" w:hAnsi="宋体" w:hint="eastAsia"/>
          <w:sz w:val="32"/>
          <w:szCs w:val="32"/>
          <w:lang w:val="en-US" w:eastAsia="zh-CN"/>
        </w:rPr>
        <w:t>1</w:t>
      </w:r>
      <w:r>
        <w:rPr>
          <w:rFonts w:ascii="宋体" w:eastAsia="宋体" w:hAnsi="宋体" w:hint="eastAsia"/>
          <w:sz w:val="32"/>
          <w:szCs w:val="32"/>
        </w:rPr>
        <w:t>年度机关运行经费支出</w:t>
      </w:r>
      <w:r>
        <w:rPr>
          <w:rFonts w:ascii="宋体" w:eastAsia="宋体" w:hAnsi="宋体" w:hint="eastAsia"/>
          <w:sz w:val="32"/>
          <w:szCs w:val="32"/>
          <w:lang w:val="en-US" w:eastAsia="zh-CN"/>
        </w:rPr>
        <w:t>840</w:t>
      </w:r>
      <w:r>
        <w:rPr>
          <w:rFonts w:ascii="宋体" w:eastAsia="宋体" w:hAnsi="宋体" w:hint="eastAsia"/>
          <w:sz w:val="32"/>
          <w:szCs w:val="32"/>
        </w:rPr>
        <w:t>万元，比上年决算数</w:t>
      </w:r>
      <w:r>
        <w:rPr>
          <w:rFonts w:ascii="宋体" w:eastAsia="宋体" w:hAnsi="宋体" w:hint="eastAsia"/>
          <w:sz w:val="32"/>
          <w:szCs w:val="32"/>
          <w:lang w:val="en-US" w:eastAsia="zh-CN"/>
        </w:rPr>
        <w:t>增加244.07</w:t>
      </w:r>
      <w:r>
        <w:rPr>
          <w:rFonts w:ascii="宋体" w:eastAsia="宋体" w:hAnsi="宋体" w:hint="eastAsia"/>
          <w:sz w:val="32"/>
          <w:szCs w:val="32"/>
        </w:rPr>
        <w:t>万元，</w:t>
      </w:r>
      <w:r>
        <w:rPr>
          <w:rFonts w:ascii="宋体" w:eastAsia="宋体" w:hAnsi="宋体" w:hint="eastAsia"/>
          <w:sz w:val="32"/>
          <w:szCs w:val="32"/>
          <w:lang w:val="en-US" w:eastAsia="zh-CN"/>
        </w:rPr>
        <w:t>增长41.0</w:t>
      </w:r>
      <w:r>
        <w:rPr>
          <w:rFonts w:ascii="宋体" w:eastAsia="宋体" w:hAnsi="宋体" w:hint="eastAsia"/>
          <w:sz w:val="32"/>
          <w:szCs w:val="32"/>
        </w:rPr>
        <w:t>%。主要原因是：</w:t>
      </w:r>
      <w:r>
        <w:rPr>
          <w:rFonts w:ascii="宋体" w:eastAsia="宋体" w:hAnsi="宋体" w:hint="eastAsia"/>
          <w:sz w:val="32"/>
          <w:szCs w:val="32"/>
          <w:lang w:val="en-US" w:eastAsia="zh-CN"/>
        </w:rPr>
        <w:t>校园维修维护支出增加</w:t>
      </w:r>
      <w:r>
        <w:rPr>
          <w:rFonts w:ascii="宋体" w:eastAsia="宋体" w:hAnsi="宋体" w:hint="eastAsia"/>
          <w:sz w:val="32"/>
          <w:szCs w:val="32"/>
        </w:rPr>
        <w:t>。</w:t>
      </w:r>
    </w:p>
    <w:p>
      <w:pPr>
        <w:pStyle w:val="style4099"/>
        <w:rPr>
          <w:rFonts w:eastAsia="黑体" w:hAnsi="黑体" w:hint="eastAsia"/>
          <w:b/>
          <w:sz w:val="32"/>
          <w:szCs w:val="32"/>
          <w:lang w:eastAsia="zh-CN"/>
        </w:rPr>
      </w:pPr>
      <w:r>
        <w:rPr>
          <w:rFonts w:hAnsi="黑体" w:hint="eastAsia"/>
          <w:b/>
          <w:sz w:val="32"/>
          <w:szCs w:val="32"/>
        </w:rPr>
        <w:t>十</w:t>
      </w:r>
      <w:r>
        <w:rPr>
          <w:rFonts w:hAnsi="黑体" w:hint="eastAsia"/>
          <w:b/>
          <w:sz w:val="32"/>
          <w:szCs w:val="32"/>
          <w:lang w:eastAsia="zh-CN"/>
        </w:rPr>
        <w:t>一</w:t>
      </w:r>
      <w:r>
        <w:rPr>
          <w:rFonts w:hAnsi="黑体" w:hint="eastAsia"/>
          <w:b/>
          <w:sz w:val="32"/>
          <w:szCs w:val="32"/>
        </w:rPr>
        <w:t>、一般性支出情况</w:t>
      </w:r>
      <w:r>
        <w:rPr>
          <w:rFonts w:hAnsi="黑体" w:hint="eastAsia"/>
          <w:b/>
          <w:sz w:val="32"/>
          <w:szCs w:val="32"/>
          <w:lang w:eastAsia="zh-CN"/>
        </w:rPr>
        <w:t>说明</w:t>
      </w:r>
    </w:p>
    <w:p>
      <w:pPr>
        <w:pStyle w:val="style4099"/>
        <w:ind w:firstLine="640" w:firstLineChars="200"/>
        <w:rPr>
          <w:rFonts w:ascii="宋体" w:eastAsia="宋体" w:hAnsi="宋体"/>
          <w:sz w:val="32"/>
          <w:szCs w:val="32"/>
        </w:rPr>
      </w:pPr>
      <w:r>
        <w:rPr>
          <w:rFonts w:ascii="宋体" w:eastAsia="宋体" w:hAnsi="宋体" w:hint="eastAsia"/>
          <w:sz w:val="32"/>
          <w:szCs w:val="32"/>
        </w:rPr>
        <w:t>202</w:t>
      </w:r>
      <w:r>
        <w:rPr>
          <w:rFonts w:ascii="宋体" w:eastAsia="宋体" w:hAnsi="宋体" w:hint="eastAsia"/>
          <w:sz w:val="32"/>
          <w:szCs w:val="32"/>
          <w:lang w:val="en-US" w:eastAsia="zh-CN"/>
        </w:rPr>
        <w:t>1</w:t>
      </w:r>
      <w:r>
        <w:rPr>
          <w:rFonts w:ascii="宋体" w:eastAsia="宋体" w:hAnsi="宋体" w:hint="eastAsia"/>
          <w:sz w:val="32"/>
          <w:szCs w:val="32"/>
        </w:rPr>
        <w:t>年本部门开支会议费0万元；开支培训费</w:t>
      </w:r>
      <w:r>
        <w:rPr>
          <w:rFonts w:ascii="宋体" w:eastAsia="宋体" w:hAnsi="宋体" w:hint="eastAsia"/>
          <w:sz w:val="32"/>
          <w:szCs w:val="32"/>
          <w:lang w:val="en-US" w:eastAsia="zh-CN"/>
        </w:rPr>
        <w:t>11.89</w:t>
      </w:r>
      <w:r>
        <w:rPr>
          <w:rFonts w:ascii="宋体" w:eastAsia="宋体" w:hAnsi="宋体" w:hint="eastAsia"/>
          <w:sz w:val="32"/>
          <w:szCs w:val="32"/>
        </w:rPr>
        <w:t>万元，用于开展教师培训，人数</w:t>
      </w:r>
      <w:r>
        <w:rPr>
          <w:rFonts w:ascii="宋体" w:eastAsia="宋体" w:hAnsi="宋体" w:hint="eastAsia"/>
          <w:sz w:val="32"/>
          <w:szCs w:val="32"/>
          <w:lang w:val="en-US" w:eastAsia="zh-CN"/>
        </w:rPr>
        <w:t>195</w:t>
      </w:r>
      <w:r>
        <w:rPr>
          <w:rFonts w:ascii="宋体" w:eastAsia="宋体" w:hAnsi="宋体" w:hint="eastAsia"/>
          <w:sz w:val="32"/>
          <w:szCs w:val="32"/>
        </w:rPr>
        <w:t>人，内容为教师教学活动培训</w:t>
      </w:r>
      <w:r>
        <w:rPr>
          <w:rFonts w:ascii="宋体" w:eastAsia="宋体" w:hAnsi="宋体" w:hint="eastAsia"/>
          <w:sz w:val="32"/>
          <w:szCs w:val="32"/>
          <w:lang w:val="en-US" w:eastAsia="zh-CN"/>
        </w:rPr>
        <w:t>等</w:t>
      </w:r>
      <w:r>
        <w:rPr>
          <w:rFonts w:ascii="宋体" w:eastAsia="宋体" w:hAnsi="宋体" w:hint="eastAsia"/>
          <w:sz w:val="32"/>
          <w:szCs w:val="32"/>
        </w:rPr>
        <w:t>；未举办节庆、晚会、论坛、赛事等活动。</w:t>
      </w:r>
    </w:p>
    <w:p>
      <w:pPr>
        <w:pStyle w:val="style4099"/>
        <w:rPr>
          <w:rFonts w:hAnsi="黑体"/>
          <w:b/>
          <w:sz w:val="32"/>
          <w:szCs w:val="32"/>
        </w:rPr>
      </w:pPr>
      <w:r>
        <w:rPr>
          <w:rFonts w:hAnsi="黑体" w:hint="eastAsia"/>
          <w:b/>
          <w:sz w:val="32"/>
          <w:szCs w:val="32"/>
        </w:rPr>
        <w:t>十</w:t>
      </w:r>
      <w:r>
        <w:rPr>
          <w:rFonts w:hAnsi="黑体" w:hint="eastAsia"/>
          <w:b/>
          <w:sz w:val="32"/>
          <w:szCs w:val="32"/>
          <w:lang w:eastAsia="zh-CN"/>
        </w:rPr>
        <w:t>二</w:t>
      </w:r>
      <w:r>
        <w:rPr>
          <w:rFonts w:hAnsi="黑体" w:hint="eastAsia"/>
          <w:b/>
          <w:sz w:val="32"/>
          <w:szCs w:val="32"/>
        </w:rPr>
        <w:t>、关于政府采购支出说明</w:t>
      </w:r>
    </w:p>
    <w:p>
      <w:pPr>
        <w:pStyle w:val="style4099"/>
        <w:ind w:firstLine="640" w:firstLineChars="200"/>
        <w:rPr>
          <w:rFonts w:ascii="宋体" w:eastAsia="宋体" w:hAnsi="宋体"/>
          <w:sz w:val="32"/>
          <w:szCs w:val="32"/>
        </w:rPr>
      </w:pPr>
      <w:r>
        <w:rPr>
          <w:rFonts w:ascii="宋体" w:eastAsia="宋体" w:hAnsi="宋体" w:hint="eastAsia"/>
          <w:sz w:val="32"/>
          <w:szCs w:val="32"/>
        </w:rPr>
        <w:t>本部门202</w:t>
      </w:r>
      <w:r>
        <w:rPr>
          <w:rFonts w:ascii="宋体" w:eastAsia="宋体" w:hAnsi="宋体" w:hint="eastAsia"/>
          <w:sz w:val="32"/>
          <w:szCs w:val="32"/>
          <w:lang w:val="en-US" w:eastAsia="zh-CN"/>
        </w:rPr>
        <w:t>1</w:t>
      </w:r>
      <w:r>
        <w:rPr>
          <w:rFonts w:ascii="宋体" w:eastAsia="宋体" w:hAnsi="宋体" w:hint="eastAsia"/>
          <w:sz w:val="32"/>
          <w:szCs w:val="32"/>
        </w:rPr>
        <w:t>年度政府采购支出总额</w:t>
      </w:r>
      <w:r>
        <w:rPr>
          <w:rFonts w:ascii="宋体" w:eastAsia="宋体" w:hAnsi="宋体" w:hint="eastAsia"/>
          <w:sz w:val="32"/>
          <w:szCs w:val="32"/>
          <w:lang w:val="en-US" w:eastAsia="zh-CN"/>
        </w:rPr>
        <w:t>205</w:t>
      </w:r>
      <w:r>
        <w:rPr>
          <w:rFonts w:ascii="宋体" w:eastAsia="宋体" w:hAnsi="宋体" w:hint="eastAsia"/>
          <w:sz w:val="32"/>
          <w:szCs w:val="32"/>
        </w:rPr>
        <w:t>.42万元，其中：政府采购货物支出</w:t>
      </w:r>
      <w:r>
        <w:rPr>
          <w:rFonts w:ascii="宋体" w:eastAsia="宋体" w:hAnsi="宋体" w:hint="eastAsia"/>
          <w:sz w:val="32"/>
          <w:szCs w:val="32"/>
          <w:lang w:val="en-US" w:eastAsia="zh-CN"/>
        </w:rPr>
        <w:t>47</w:t>
      </w:r>
      <w:r>
        <w:rPr>
          <w:rFonts w:ascii="宋体" w:eastAsia="宋体" w:hAnsi="宋体" w:hint="eastAsia"/>
          <w:sz w:val="32"/>
          <w:szCs w:val="32"/>
        </w:rPr>
        <w:t>.21万元、政府采购工程支出</w:t>
      </w:r>
      <w:r>
        <w:rPr>
          <w:rFonts w:ascii="宋体" w:eastAsia="宋体" w:hAnsi="宋体" w:hint="eastAsia"/>
          <w:sz w:val="32"/>
          <w:szCs w:val="32"/>
          <w:lang w:val="en-US" w:eastAsia="zh-CN"/>
        </w:rPr>
        <w:t>1</w:t>
      </w:r>
      <w:r>
        <w:rPr>
          <w:rFonts w:ascii="宋体" w:eastAsia="宋体" w:hAnsi="宋体" w:hint="eastAsia"/>
          <w:sz w:val="32"/>
          <w:szCs w:val="32"/>
        </w:rPr>
        <w:t>58.21万元、政府采购服务支出0万元。授予中小企业合同金额0万元，占政府采购支出总额的0%，其中：授予小微企业合同金额0万元，占政府采购支出总额的0%。</w:t>
      </w:r>
      <w:bookmarkStart w:id="0" w:name="_GoBack"/>
      <w:bookmarkEnd w:id="0"/>
    </w:p>
    <w:p>
      <w:pPr>
        <w:pStyle w:val="style4099"/>
        <w:rPr>
          <w:rFonts w:hAnsi="黑体"/>
          <w:b/>
          <w:sz w:val="32"/>
          <w:szCs w:val="32"/>
        </w:rPr>
      </w:pPr>
      <w:r>
        <w:rPr>
          <w:rFonts w:hAnsi="黑体" w:hint="eastAsia"/>
          <w:b/>
          <w:sz w:val="32"/>
          <w:szCs w:val="32"/>
        </w:rPr>
        <w:t>十</w:t>
      </w:r>
      <w:r>
        <w:rPr>
          <w:rFonts w:hAnsi="黑体" w:hint="eastAsia"/>
          <w:b/>
          <w:sz w:val="32"/>
          <w:szCs w:val="32"/>
          <w:lang w:eastAsia="zh-CN"/>
        </w:rPr>
        <w:t>三</w:t>
      </w:r>
      <w:r>
        <w:rPr>
          <w:rFonts w:hAnsi="黑体" w:hint="eastAsia"/>
          <w:b/>
          <w:sz w:val="32"/>
          <w:szCs w:val="32"/>
        </w:rPr>
        <w:t>、关于国有资产占用情况说明</w:t>
      </w:r>
    </w:p>
    <w:p>
      <w:pPr>
        <w:pStyle w:val="style4099"/>
        <w:ind w:firstLine="640" w:firstLineChars="200"/>
        <w:rPr>
          <w:rFonts w:ascii="宋体" w:eastAsia="宋体" w:hAnsi="宋体"/>
          <w:sz w:val="32"/>
          <w:szCs w:val="32"/>
        </w:rPr>
      </w:pPr>
      <w:r>
        <w:rPr>
          <w:rFonts w:ascii="宋体" w:eastAsia="宋体" w:hAnsi="宋体" w:hint="eastAsia"/>
          <w:sz w:val="32"/>
          <w:szCs w:val="32"/>
        </w:rPr>
        <w:t>截至202</w:t>
      </w:r>
      <w:r>
        <w:rPr>
          <w:rFonts w:ascii="宋体" w:eastAsia="宋体" w:hAnsi="宋体" w:hint="eastAsia"/>
          <w:sz w:val="32"/>
          <w:szCs w:val="32"/>
          <w:lang w:val="en-US" w:eastAsia="zh-CN"/>
        </w:rPr>
        <w:t>1</w:t>
      </w:r>
      <w:r>
        <w:rPr>
          <w:rFonts w:ascii="宋体" w:eastAsia="宋体" w:hAnsi="宋体" w:hint="eastAsia"/>
          <w:sz w:val="32"/>
          <w:szCs w:val="32"/>
        </w:rPr>
        <w:t>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pPr>
        <w:pStyle w:val="style4099"/>
        <w:rPr>
          <w:rFonts w:hAnsi="黑体"/>
          <w:b/>
          <w:sz w:val="32"/>
          <w:szCs w:val="32"/>
        </w:rPr>
      </w:pPr>
      <w:r>
        <w:rPr>
          <w:rFonts w:hAnsi="黑体" w:hint="eastAsia"/>
          <w:b/>
          <w:sz w:val="32"/>
          <w:szCs w:val="32"/>
        </w:rPr>
        <w:t>十</w:t>
      </w:r>
      <w:r>
        <w:rPr>
          <w:rFonts w:hAnsi="黑体" w:hint="eastAsia"/>
          <w:b/>
          <w:sz w:val="32"/>
          <w:szCs w:val="32"/>
          <w:lang w:eastAsia="zh-CN"/>
        </w:rPr>
        <w:t>四</w:t>
      </w:r>
      <w:r>
        <w:rPr>
          <w:rFonts w:hAnsi="黑体" w:hint="eastAsia"/>
          <w:b/>
          <w:sz w:val="32"/>
          <w:szCs w:val="32"/>
        </w:rPr>
        <w:t>、关于202</w:t>
      </w:r>
      <w:r>
        <w:rPr>
          <w:rFonts w:hAnsi="黑体" w:hint="eastAsia"/>
          <w:b/>
          <w:sz w:val="32"/>
          <w:szCs w:val="32"/>
          <w:lang w:val="en-US" w:eastAsia="zh-CN"/>
        </w:rPr>
        <w:t>1</w:t>
      </w:r>
      <w:r>
        <w:rPr>
          <w:rFonts w:hAnsi="黑体" w:hint="eastAsia"/>
          <w:b/>
          <w:sz w:val="32"/>
          <w:szCs w:val="32"/>
        </w:rPr>
        <w:t>年度预算绩效情况的说明</w:t>
      </w:r>
    </w:p>
    <w:p>
      <w:pPr>
        <w:pStyle w:val="style4099"/>
        <w:ind w:firstLine="640" w:firstLineChars="200"/>
        <w:rPr>
          <w:rFonts w:ascii="宋体" w:eastAsia="宋体" w:hAnsi="宋体"/>
          <w:sz w:val="32"/>
          <w:szCs w:val="32"/>
        </w:rPr>
      </w:pPr>
      <w:r>
        <w:rPr>
          <w:rFonts w:ascii="宋体" w:eastAsia="宋体" w:hAnsi="宋体" w:hint="eastAsia"/>
          <w:sz w:val="32"/>
          <w:szCs w:val="32"/>
        </w:rPr>
        <w:t>本部门预算绩效管理开展情况、绩效目标和绩效评价报告附后</w:t>
      </w:r>
      <w:r>
        <w:rPr>
          <w:rFonts w:ascii="宋体" w:eastAsia="宋体" w:hAnsi="宋体" w:hint="eastAsia"/>
          <w:sz w:val="32"/>
          <w:szCs w:val="32"/>
          <w:lang w:eastAsia="zh-CN"/>
        </w:rPr>
        <w:t>。</w:t>
      </w:r>
    </w:p>
    <w:p>
      <w:pPr>
        <w:pStyle w:val="style4099"/>
        <w:ind w:firstLine="640" w:firstLineChars="200"/>
        <w:rPr>
          <w:rFonts w:ascii="宋体" w:eastAsia="宋体" w:hAnsi="宋体"/>
          <w:sz w:val="32"/>
          <w:szCs w:val="32"/>
        </w:rPr>
      </w:pPr>
      <w:r>
        <w:rPr>
          <w:rFonts w:ascii="宋体" w:eastAsia="宋体" w:hAnsi="宋体"/>
          <w:sz w:val="32"/>
          <w:szCs w:val="32"/>
          <w:lang w:val="en-US"/>
        </w:rPr>
        <w:t>单位本年度无重点支出项目</w:t>
      </w:r>
      <w:r>
        <w:rPr>
          <w:rFonts w:ascii="宋体" w:eastAsia="宋体" w:hAnsi="宋体" w:hint="eastAsia"/>
          <w:sz w:val="32"/>
          <w:szCs w:val="32"/>
          <w:lang w:val="en-US" w:eastAsia="zh-CN"/>
        </w:rPr>
        <w:t>。</w:t>
      </w:r>
    </w:p>
    <w:p>
      <w:pPr>
        <w:pStyle w:val="style4099"/>
        <w:rPr>
          <w:rFonts w:hAnsi="黑体"/>
          <w:b/>
          <w:sz w:val="32"/>
          <w:szCs w:val="3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r>
        <w:rPr>
          <w:rFonts w:hint="eastAsia"/>
          <w:sz w:val="72"/>
          <w:szCs w:val="72"/>
        </w:rPr>
        <w:t>第四部分</w:t>
      </w:r>
    </w:p>
    <w:p>
      <w:pPr>
        <w:pStyle w:val="style0"/>
        <w:jc w:val="center"/>
        <w:rPr>
          <w:rFonts w:ascii="黑体" w:cs="黑体" w:eastAsia="黑体"/>
          <w:color w:val="000000"/>
          <w:kern w:val="0"/>
          <w:sz w:val="70"/>
          <w:szCs w:val="70"/>
        </w:rPr>
      </w:pPr>
    </w:p>
    <w:p>
      <w:pPr>
        <w:pStyle w:val="style0"/>
        <w:jc w:val="center"/>
        <w:rPr>
          <w:rFonts w:ascii="黑体" w:cs="黑体" w:eastAsia="黑体"/>
          <w:color w:val="000000"/>
          <w:kern w:val="0"/>
          <w:sz w:val="70"/>
          <w:szCs w:val="70"/>
        </w:rPr>
      </w:pPr>
      <w:r>
        <w:rPr>
          <w:rFonts w:ascii="黑体" w:cs="黑体" w:eastAsia="黑体" w:hint="eastAsia"/>
          <w:color w:val="000000"/>
          <w:kern w:val="0"/>
          <w:sz w:val="70"/>
          <w:szCs w:val="70"/>
        </w:rPr>
        <w:t>名词解释</w:t>
      </w:r>
    </w:p>
    <w:p>
      <w:pPr>
        <w:pStyle w:val="style0"/>
        <w:widowControl/>
        <w:jc w:val="left"/>
        <w:rPr>
          <w:rFonts w:ascii="黑体" w:cs="黑体" w:eastAsia="黑体"/>
          <w:color w:val="000000"/>
          <w:kern w:val="0"/>
          <w:sz w:val="70"/>
          <w:szCs w:val="70"/>
        </w:rPr>
      </w:pPr>
      <w:r>
        <w:rPr>
          <w:rFonts w:ascii="黑体" w:cs="黑体" w:eastAsia="黑体"/>
          <w:color w:val="000000"/>
          <w:kern w:val="0"/>
          <w:sz w:val="70"/>
          <w:szCs w:val="70"/>
        </w:rPr>
        <w:br w:type="page"/>
      </w:r>
    </w:p>
    <w:p>
      <w:pPr>
        <w:pStyle w:val="style0"/>
        <w:ind w:firstLine="640" w:firstLineChars="200"/>
        <w:jc w:val="left"/>
        <w:rPr>
          <w:rFonts w:ascii="宋体" w:cs="黑体" w:hAnsi="宋体"/>
          <w:color w:val="000000"/>
          <w:kern w:val="0"/>
          <w:sz w:val="32"/>
          <w:szCs w:val="32"/>
        </w:rPr>
      </w:pPr>
    </w:p>
    <w:p>
      <w:pPr>
        <w:pStyle w:val="style0"/>
        <w:spacing w:lineRule="exact" w:line="600"/>
        <w:ind w:firstLine="640" w:firstLineChars="200"/>
        <w:rPr>
          <w:rFonts w:ascii="Calibri" w:cs="宋体" w:eastAsia="仿宋_GB2312" w:hAnsi="Calibri"/>
          <w:kern w:val="0"/>
          <w:sz w:val="32"/>
          <w:szCs w:val="32"/>
        </w:rPr>
      </w:pPr>
      <w:r>
        <w:rPr>
          <w:rFonts w:eastAsia="仿宋_GB2312" w:hint="eastAsia"/>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style0"/>
        <w:spacing w:lineRule="exact" w:line="600"/>
        <w:ind w:firstLine="640" w:firstLineChars="200"/>
        <w:rPr>
          <w:rFonts w:eastAsia="仿宋_GB2312"/>
          <w:kern w:val="0"/>
          <w:sz w:val="32"/>
          <w:szCs w:val="32"/>
        </w:rPr>
      </w:pPr>
      <w:r>
        <w:rPr>
          <w:rFonts w:eastAsia="仿宋_GB2312" w:hint="eastAsia"/>
          <w:kern w:val="0"/>
          <w:sz w:val="32"/>
          <w:szCs w:val="32"/>
        </w:rPr>
        <w:t>二、</w:t>
      </w:r>
      <w:r>
        <w:rPr>
          <w:rFonts w:eastAsia="仿宋_GB2312"/>
          <w:kern w:val="0"/>
          <w:sz w:val="32"/>
          <w:szCs w:val="32"/>
        </w:rPr>
        <w:t>“</w:t>
      </w:r>
      <w:r>
        <w:rPr>
          <w:rFonts w:eastAsia="仿宋_GB2312" w:hint="eastAsia"/>
          <w:kern w:val="0"/>
          <w:sz w:val="32"/>
          <w:szCs w:val="32"/>
        </w:rPr>
        <w:t>三公</w:t>
      </w:r>
      <w:r>
        <w:rPr>
          <w:rFonts w:eastAsia="仿宋_GB2312"/>
          <w:kern w:val="0"/>
          <w:sz w:val="32"/>
          <w:szCs w:val="32"/>
        </w:rPr>
        <w:t>”</w:t>
      </w:r>
      <w:r>
        <w:rPr>
          <w:rFonts w:eastAsia="仿宋_GB2312" w:hint="eastAsia"/>
          <w:kern w:val="0"/>
          <w:sz w:val="32"/>
          <w:szCs w:val="32"/>
        </w:rPr>
        <w:t>经费：纳入财政预算管理的</w:t>
      </w:r>
      <w:r>
        <w:rPr>
          <w:rFonts w:eastAsia="仿宋_GB2312"/>
          <w:kern w:val="0"/>
          <w:sz w:val="32"/>
          <w:szCs w:val="32"/>
        </w:rPr>
        <w:t>“</w:t>
      </w:r>
      <w:r>
        <w:rPr>
          <w:rFonts w:eastAsia="仿宋_GB2312" w:hint="eastAsia"/>
          <w:kern w:val="0"/>
          <w:sz w:val="32"/>
          <w:szCs w:val="32"/>
        </w:rPr>
        <w:t>三公</w:t>
      </w:r>
      <w:r>
        <w:rPr>
          <w:rFonts w:eastAsia="仿宋_GB2312"/>
          <w:kern w:val="0"/>
          <w:sz w:val="32"/>
          <w:szCs w:val="32"/>
        </w:rPr>
        <w:t>“</w:t>
      </w:r>
      <w:r>
        <w:rPr>
          <w:rFonts w:eastAsia="仿宋_GB2312" w:hint="eastAsia"/>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p>
    <w:p>
      <w:pPr>
        <w:pStyle w:val="style4099"/>
        <w:jc w:val="center"/>
        <w:rPr>
          <w:sz w:val="72"/>
          <w:szCs w:val="72"/>
        </w:rPr>
      </w:pPr>
      <w:r>
        <w:rPr>
          <w:rFonts w:hint="eastAsia"/>
          <w:sz w:val="72"/>
          <w:szCs w:val="72"/>
        </w:rPr>
        <w:t>第五部分</w:t>
      </w:r>
    </w:p>
    <w:p>
      <w:pPr>
        <w:pStyle w:val="style0"/>
        <w:jc w:val="center"/>
        <w:rPr>
          <w:rFonts w:ascii="黑体" w:cs="黑体" w:eastAsia="黑体"/>
          <w:color w:val="000000"/>
          <w:kern w:val="0"/>
          <w:sz w:val="70"/>
          <w:szCs w:val="70"/>
        </w:rPr>
      </w:pPr>
    </w:p>
    <w:p>
      <w:pPr>
        <w:pStyle w:val="style0"/>
        <w:jc w:val="center"/>
        <w:rPr>
          <w:rFonts w:ascii="黑体" w:cs="黑体" w:eastAsia="黑体"/>
          <w:color w:val="000000"/>
          <w:kern w:val="0"/>
          <w:sz w:val="70"/>
          <w:szCs w:val="70"/>
        </w:rPr>
      </w:pPr>
      <w:r>
        <w:rPr>
          <w:rFonts w:ascii="黑体" w:cs="黑体" w:eastAsia="黑体" w:hint="eastAsia"/>
          <w:color w:val="000000"/>
          <w:kern w:val="0"/>
          <w:sz w:val="70"/>
          <w:szCs w:val="70"/>
        </w:rPr>
        <w:t>附件</w:t>
      </w:r>
    </w:p>
    <w:p>
      <w:pPr>
        <w:pStyle w:val="style0"/>
        <w:widowControl/>
        <w:jc w:val="left"/>
        <w:rPr>
          <w:rFonts w:ascii="黑体" w:cs="黑体" w:eastAsia="黑体"/>
          <w:color w:val="000000"/>
          <w:kern w:val="0"/>
          <w:sz w:val="70"/>
          <w:szCs w:val="70"/>
        </w:rPr>
      </w:pPr>
      <w:r>
        <w:rPr>
          <w:rFonts w:ascii="黑体" w:cs="黑体" w:eastAsia="黑体"/>
          <w:color w:val="000000"/>
          <w:kern w:val="0"/>
          <w:sz w:val="70"/>
          <w:szCs w:val="70"/>
        </w:rPr>
        <w:br w:type="page"/>
      </w:r>
    </w:p>
    <w:p>
      <w:pPr>
        <w:pStyle w:val="style0"/>
        <w:jc w:val="center"/>
        <w:rPr>
          <w:rFonts w:ascii="黑体" w:cs="黑体" w:eastAsia="黑体"/>
          <w:color w:val="000000"/>
          <w:kern w:val="0"/>
          <w:sz w:val="70"/>
          <w:szCs w:val="70"/>
        </w:rPr>
      </w:pPr>
    </w:p>
    <w:p>
      <w:pPr>
        <w:pStyle w:val="style0"/>
        <w:ind w:firstLine="640" w:firstLineChars="200"/>
        <w:jc w:val="center"/>
        <w:rPr>
          <w:rFonts w:ascii="宋体" w:cs="黑体" w:hAnsi="宋体" w:hint="eastAsia"/>
          <w:b/>
          <w:color w:val="000000"/>
          <w:kern w:val="0"/>
          <w:sz w:val="32"/>
          <w:szCs w:val="32"/>
        </w:rPr>
      </w:pPr>
      <w:r>
        <w:rPr>
          <w:rFonts w:ascii="宋体" w:cs="黑体" w:hAnsi="宋体" w:hint="eastAsia"/>
          <w:b/>
          <w:color w:val="000000"/>
          <w:kern w:val="0"/>
          <w:sz w:val="32"/>
          <w:szCs w:val="32"/>
        </w:rPr>
        <w:t>20</w:t>
      </w:r>
      <w:r>
        <w:rPr>
          <w:rFonts w:ascii="宋体" w:cs="黑体" w:hAnsi="宋体" w:hint="eastAsia"/>
          <w:b/>
          <w:color w:val="000000"/>
          <w:kern w:val="0"/>
          <w:sz w:val="32"/>
          <w:szCs w:val="32"/>
          <w:lang w:val="en-US" w:eastAsia="zh-CN"/>
        </w:rPr>
        <w:t>21</w:t>
      </w:r>
      <w:r>
        <w:rPr>
          <w:rFonts w:ascii="宋体" w:cs="黑体" w:hAnsi="宋体" w:hint="eastAsia"/>
          <w:b/>
          <w:color w:val="000000"/>
          <w:kern w:val="0"/>
          <w:sz w:val="32"/>
          <w:szCs w:val="32"/>
        </w:rPr>
        <w:t>年度部门整体支出绩效评价报告</w:t>
      </w:r>
    </w:p>
    <w:p>
      <w:pPr>
        <w:pStyle w:val="style0"/>
        <w:widowControl/>
        <w:shd w:val="clear" w:color="auto" w:fill="ffffff"/>
        <w:spacing w:lineRule="atLeast" w:line="600"/>
        <w:jc w:val="center"/>
        <w:rPr>
          <w:rFonts w:ascii="仿宋" w:cs="仿宋" w:eastAsia="仿宋" w:hAnsi="仿宋" w:hint="eastAsia"/>
          <w:b/>
          <w:spacing w:val="-2"/>
          <w:sz w:val="44"/>
          <w:szCs w:val="44"/>
          <w:highlight w:val="none"/>
        </w:rPr>
      </w:pPr>
    </w:p>
    <w:p>
      <w:pPr>
        <w:pStyle w:val="style0"/>
        <w:widowControl/>
        <w:shd w:val="clear" w:color="auto" w:fill="ffffff"/>
        <w:spacing w:lineRule="atLeast" w:line="600"/>
        <w:ind w:firstLine="640"/>
        <w:rPr>
          <w:rFonts w:ascii="仿宋" w:cs="仿宋" w:eastAsia="仿宋" w:hAnsi="仿宋" w:hint="eastAsia"/>
          <w:b/>
          <w:spacing w:val="-2"/>
          <w:sz w:val="32"/>
          <w:szCs w:val="32"/>
          <w:highlight w:val="none"/>
          <w:lang w:val="en-US" w:eastAsia="zh-CN"/>
        </w:rPr>
      </w:pPr>
      <w:r>
        <w:rPr>
          <w:rFonts w:ascii="仿宋" w:cs="仿宋" w:eastAsia="仿宋" w:hAnsi="仿宋" w:hint="eastAsia"/>
          <w:b/>
          <w:spacing w:val="-2"/>
          <w:sz w:val="32"/>
          <w:szCs w:val="32"/>
          <w:highlight w:val="none"/>
        </w:rPr>
        <w:t>一、部门概况</w:t>
      </w:r>
      <w:r>
        <w:rPr>
          <w:rFonts w:ascii="仿宋" w:cs="仿宋" w:eastAsia="仿宋" w:hAnsi="仿宋" w:hint="eastAsia"/>
          <w:b/>
          <w:spacing w:val="-2"/>
          <w:sz w:val="32"/>
          <w:szCs w:val="32"/>
          <w:highlight w:val="none"/>
          <w:lang w:val="en-US" w:eastAsia="zh-CN"/>
        </w:rPr>
        <w:t xml:space="preserve">                                                                                                                                                                                                                                                                       </w:t>
      </w:r>
    </w:p>
    <w:p>
      <w:pPr>
        <w:pStyle w:val="style0"/>
        <w:widowControl/>
        <w:shd w:val="clear" w:color="auto" w:fill="ffffff"/>
        <w:spacing w:lineRule="atLeast" w:line="600"/>
        <w:ind w:firstLine="640"/>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（一）部门基本情况</w:t>
      </w:r>
    </w:p>
    <w:p>
      <w:pPr>
        <w:pStyle w:val="style0"/>
        <w:widowControl/>
        <w:shd w:val="clear" w:color="auto" w:fill="ffffff"/>
        <w:spacing w:lineRule="atLeast" w:line="600"/>
        <w:ind w:firstLine="640"/>
        <w:rPr>
          <w:rFonts w:ascii="仿宋" w:cs="仿宋" w:eastAsia="仿宋" w:hAnsi="仿宋" w:hint="eastAsia"/>
          <w:b/>
          <w:spacing w:val="-2"/>
          <w:sz w:val="32"/>
          <w:szCs w:val="32"/>
          <w:highlight w:val="none"/>
          <w:lang w:eastAsia="zh-CN"/>
        </w:rPr>
      </w:pPr>
      <w:r>
        <w:rPr>
          <w:rFonts w:ascii="仿宋" w:cs="仿宋" w:eastAsia="仿宋" w:hAnsi="仿宋" w:hint="eastAsia"/>
          <w:sz w:val="32"/>
          <w:szCs w:val="32"/>
          <w:highlight w:val="none"/>
        </w:rPr>
        <w:t>湖南省怀化市铁路第一中学是湖南省示范性高级中学。创建于1973年，前身是广铁集团公司的一所铁路子弟学校，2004年从铁路分离后归怀化市教育局直属管理。校园占地面积8.72万平方米，校舍面积 3.5万平方米。现为湖南省文明卫生单位、湖南省安全文明校园、湖南省园林式学校、湖南省体育传统项目学校，湖南省普通示范高级中学、湖南省现代技术教育实验学校。</w:t>
      </w:r>
    </w:p>
    <w:p>
      <w:pPr>
        <w:pStyle w:val="style94"/>
        <w:shd w:val="clear" w:color="auto" w:fill="ffffff"/>
        <w:spacing w:lineRule="atLeast" w:line="360"/>
        <w:ind w:firstLine="588"/>
        <w:rPr>
          <w:rFonts w:ascii="仿宋" w:cs="仿宋" w:eastAsia="仿宋" w:hAnsi="仿宋" w:hint="eastAsia"/>
          <w:sz w:val="32"/>
          <w:szCs w:val="32"/>
          <w:highlight w:val="none"/>
        </w:rPr>
      </w:pPr>
      <w:r>
        <w:rPr>
          <w:rFonts w:ascii="仿宋" w:cs="仿宋" w:eastAsia="仿宋" w:hAnsi="仿宋" w:hint="eastAsia"/>
          <w:sz w:val="32"/>
          <w:szCs w:val="32"/>
          <w:highlight w:val="none"/>
        </w:rPr>
        <w:t>全校共分三个年级组，42个教学班，内设行政办公室、教务处、政教处、财务室、总务处共5个科室。20</w:t>
      </w:r>
      <w:r>
        <w:rPr>
          <w:rFonts w:ascii="仿宋" w:cs="仿宋" w:eastAsia="仿宋" w:hAnsi="仿宋" w:hint="eastAsia"/>
          <w:sz w:val="32"/>
          <w:szCs w:val="32"/>
          <w:highlight w:val="none"/>
          <w:lang w:val="en-US" w:eastAsia="zh-CN"/>
        </w:rPr>
        <w:t>20</w:t>
      </w:r>
      <w:r>
        <w:rPr>
          <w:rFonts w:ascii="仿宋" w:cs="仿宋" w:eastAsia="仿宋" w:hAnsi="仿宋" w:hint="eastAsia"/>
          <w:sz w:val="32"/>
          <w:szCs w:val="32"/>
          <w:highlight w:val="none"/>
        </w:rPr>
        <w:t>年年初预算，编制人数为</w:t>
      </w:r>
      <w:r>
        <w:rPr>
          <w:rFonts w:ascii="仿宋" w:cs="仿宋" w:eastAsia="仿宋" w:hAnsi="仿宋" w:hint="eastAsia"/>
          <w:sz w:val="32"/>
          <w:szCs w:val="32"/>
          <w:highlight w:val="none"/>
          <w:lang w:val="en-US" w:eastAsia="zh-CN"/>
        </w:rPr>
        <w:t>203</w:t>
      </w:r>
      <w:r>
        <w:rPr>
          <w:rFonts w:ascii="仿宋" w:cs="仿宋" w:eastAsia="仿宋" w:hAnsi="仿宋" w:hint="eastAsia"/>
          <w:sz w:val="32"/>
          <w:szCs w:val="32"/>
          <w:highlight w:val="none"/>
        </w:rPr>
        <w:t>人，其中事业编制</w:t>
      </w:r>
      <w:r>
        <w:rPr>
          <w:rFonts w:ascii="仿宋" w:cs="仿宋" w:eastAsia="仿宋" w:hAnsi="仿宋" w:hint="eastAsia"/>
          <w:sz w:val="32"/>
          <w:szCs w:val="32"/>
          <w:highlight w:val="none"/>
          <w:lang w:val="en-US" w:eastAsia="zh-CN"/>
        </w:rPr>
        <w:t>203</w:t>
      </w:r>
      <w:r>
        <w:rPr>
          <w:rFonts w:ascii="仿宋" w:cs="仿宋" w:eastAsia="仿宋" w:hAnsi="仿宋" w:hint="eastAsia"/>
          <w:sz w:val="32"/>
          <w:szCs w:val="32"/>
          <w:highlight w:val="none"/>
        </w:rPr>
        <w:t>人。年末实有在职人员</w:t>
      </w:r>
      <w:r>
        <w:rPr>
          <w:rFonts w:ascii="仿宋" w:cs="仿宋" w:eastAsia="仿宋" w:hAnsi="仿宋" w:hint="eastAsia"/>
          <w:sz w:val="32"/>
          <w:szCs w:val="32"/>
          <w:highlight w:val="none"/>
          <w:lang w:val="en-US" w:eastAsia="zh-CN"/>
        </w:rPr>
        <w:t>203</w:t>
      </w:r>
      <w:r>
        <w:rPr>
          <w:rFonts w:ascii="仿宋" w:cs="仿宋" w:eastAsia="仿宋" w:hAnsi="仿宋" w:hint="eastAsia"/>
          <w:sz w:val="32"/>
          <w:szCs w:val="32"/>
          <w:highlight w:val="none"/>
        </w:rPr>
        <w:t>人，其中事业编制</w:t>
      </w:r>
      <w:r>
        <w:rPr>
          <w:rFonts w:ascii="仿宋" w:cs="仿宋" w:eastAsia="仿宋" w:hAnsi="仿宋" w:hint="eastAsia"/>
          <w:sz w:val="32"/>
          <w:szCs w:val="32"/>
          <w:highlight w:val="none"/>
          <w:lang w:val="en-US" w:eastAsia="zh-CN"/>
        </w:rPr>
        <w:t>203</w:t>
      </w:r>
      <w:r>
        <w:rPr>
          <w:rFonts w:ascii="仿宋" w:cs="仿宋" w:eastAsia="仿宋" w:hAnsi="仿宋" w:hint="eastAsia"/>
          <w:sz w:val="32"/>
          <w:szCs w:val="32"/>
          <w:highlight w:val="none"/>
        </w:rPr>
        <w:t>人。财政供养人员控制率100%,未超过编制。</w:t>
      </w:r>
    </w:p>
    <w:p>
      <w:pPr>
        <w:pStyle w:val="style0"/>
        <w:ind w:firstLine="640" w:firstLineChars="200"/>
        <w:rPr>
          <w:rFonts w:ascii="仿宋" w:cs="仿宋" w:eastAsia="仿宋" w:hAnsi="仿宋" w:hint="eastAsia"/>
          <w:sz w:val="32"/>
          <w:szCs w:val="32"/>
          <w:highlight w:val="none"/>
        </w:rPr>
      </w:pPr>
      <w:r>
        <w:rPr>
          <w:rFonts w:ascii="仿宋" w:cs="仿宋" w:eastAsia="仿宋" w:hAnsi="仿宋" w:hint="eastAsia"/>
          <w:sz w:val="32"/>
          <w:szCs w:val="32"/>
          <w:highlight w:val="none"/>
        </w:rPr>
        <w:t>我校主要职能：贯彻执行党和国家的教育方针、政策、法律法规，坚持依法治教、依法治学。以立德树人，办人民满意的教育为办学宗旨；以人本立校，人文兴校，人才强校为办学理念；以依法治校、创新发展、提升质量为办学原则：以为学生一生的成长和幸福奠基为办学目标；以党建为纲，创新生机和谐; 以德育为先，推进内涵发展; 以质量为重，提升育人水平; 以特色为要，突破发展瓶颈; 以建设为基，改善办学条件和办学思路。</w:t>
      </w:r>
    </w:p>
    <w:p>
      <w:pPr>
        <w:pStyle w:val="style0"/>
        <w:ind w:firstLine="640" w:firstLineChars="200"/>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lang w:val="en-US" w:eastAsia="zh-CN"/>
        </w:rPr>
        <w:t>组织教育教学、科学研究活动，保证教育教学质量，培养德、智、体等全面发展的学生。</w:t>
      </w:r>
    </w:p>
    <w:p>
      <w:pPr>
        <w:pStyle w:val="style67"/>
        <w:spacing w:after="0" w:lineRule="exact" w:line="58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我校2021年重点工作：</w:t>
      </w:r>
    </w:p>
    <w:p>
      <w:pPr>
        <w:pStyle w:val="style67"/>
        <w:spacing w:after="0" w:lineRule="auto" w:line="240"/>
        <w:ind w:firstLine="643" w:firstLineChars="0"/>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（一）党建引领点燃学校高质量发展新引擎</w:t>
      </w:r>
    </w:p>
    <w:p>
      <w:pPr>
        <w:pStyle w:val="style67"/>
        <w:spacing w:after="0" w:lineRule="auto" w:line="240"/>
        <w:ind w:firstLine="643" w:firstLineChars="0"/>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1. 党建引领，明确教育根本任务</w:t>
      </w:r>
    </w:p>
    <w:p>
      <w:pPr>
        <w:pStyle w:val="style67"/>
        <w:spacing w:after="0" w:lineRule="auto" w:line="240"/>
        <w:ind w:firstLine="643" w:firstLineChars="0"/>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2. 党建发力，激发校园办学活力</w:t>
      </w:r>
    </w:p>
    <w:p>
      <w:pPr>
        <w:pStyle w:val="style67"/>
        <w:spacing w:after="0" w:lineRule="auto" w:line="24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（二）德育为先建设新时代德育精品工程</w:t>
      </w:r>
    </w:p>
    <w:p>
      <w:pPr>
        <w:pStyle w:val="style67"/>
        <w:spacing w:after="0" w:lineRule="auto" w:line="24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1.注重德育队伍建设</w:t>
      </w:r>
    </w:p>
    <w:p>
      <w:pPr>
        <w:pStyle w:val="style67"/>
        <w:spacing w:after="0" w:lineRule="auto" w:line="24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2.强化德育常规工作</w:t>
      </w:r>
    </w:p>
    <w:p>
      <w:pPr>
        <w:pStyle w:val="style67"/>
        <w:spacing w:after="0" w:lineRule="auto" w:line="24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3.加强心理健康教育和生涯规划教育</w:t>
      </w:r>
    </w:p>
    <w:p>
      <w:pPr>
        <w:pStyle w:val="style67"/>
        <w:spacing w:after="0" w:lineRule="auto" w:line="24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4.推进家校一体化教育发展</w:t>
      </w:r>
    </w:p>
    <w:p>
      <w:pPr>
        <w:pStyle w:val="style67"/>
        <w:spacing w:after="0" w:lineRule="auto" w:line="24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（三）强力推进“师德师风建设年”系统工作</w:t>
      </w:r>
    </w:p>
    <w:p>
      <w:pPr>
        <w:pStyle w:val="style94"/>
        <w:widowControl/>
        <w:ind w:firstLine="640" w:firstLineChars="200"/>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1.坚持党建领航，教育引导到位</w:t>
      </w:r>
    </w:p>
    <w:p>
      <w:pPr>
        <w:pStyle w:val="style94"/>
        <w:widowControl/>
        <w:ind w:firstLine="640" w:firstLineChars="200"/>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2.完善顶层设计，制度建设到位</w:t>
      </w:r>
    </w:p>
    <w:p>
      <w:pPr>
        <w:pStyle w:val="style94"/>
        <w:widowControl/>
        <w:ind w:firstLine="640" w:firstLineChars="200"/>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3.强化榜样引领，氛围营造到位</w:t>
      </w:r>
    </w:p>
    <w:p>
      <w:pPr>
        <w:pStyle w:val="style67"/>
        <w:spacing w:after="0" w:lineRule="auto" w:line="24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（四）深化新高考背景下“教育质量提升工程”</w:t>
      </w:r>
    </w:p>
    <w:p>
      <w:pPr>
        <w:pStyle w:val="style67"/>
        <w:spacing w:after="0" w:lineRule="auto" w:line="240"/>
        <w:ind w:left="0" w:leftChars="0" w:firstLine="640" w:firstLineChars="200"/>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1.加强新高考研究提质量</w:t>
      </w:r>
    </w:p>
    <w:p>
      <w:pPr>
        <w:pStyle w:val="style67"/>
        <w:spacing w:after="0" w:lineRule="auto" w:line="240"/>
        <w:ind w:firstLine="562"/>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2.落实“双减”政策提质量</w:t>
      </w:r>
    </w:p>
    <w:p>
      <w:pPr>
        <w:pStyle w:val="style67"/>
        <w:spacing w:after="0" w:lineRule="auto" w:line="240"/>
        <w:ind w:firstLine="643"/>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3.遵守教学常规提质量</w:t>
      </w:r>
    </w:p>
    <w:p>
      <w:pPr>
        <w:pStyle w:val="style0"/>
        <w:widowControl/>
        <w:ind w:firstLine="640" w:firstLineChars="200"/>
        <w:jc w:val="left"/>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（五）纵深推进 “校园文化建设工程”</w:t>
      </w:r>
    </w:p>
    <w:p>
      <w:pPr>
        <w:pStyle w:val="style0"/>
        <w:ind w:firstLine="640" w:firstLineChars="200"/>
        <w:rPr>
          <w:rFonts w:ascii="仿宋" w:cs="仿宋" w:eastAsia="仿宋" w:hAnsi="仿宋" w:hint="eastAsia"/>
          <w:kern w:val="2"/>
          <w:sz w:val="32"/>
          <w:szCs w:val="32"/>
          <w:highlight w:val="none"/>
          <w:lang w:val="en-US" w:bidi="ar-SA" w:eastAsia="zh-CN"/>
        </w:rPr>
      </w:pPr>
      <w:r>
        <w:rPr>
          <w:rFonts w:ascii="仿宋" w:cs="仿宋" w:eastAsia="仿宋" w:hAnsi="仿宋" w:hint="eastAsia"/>
          <w:kern w:val="2"/>
          <w:sz w:val="32"/>
          <w:szCs w:val="32"/>
          <w:highlight w:val="none"/>
          <w:lang w:val="en-US" w:bidi="ar-SA" w:eastAsia="zh-CN"/>
        </w:rPr>
        <w:t>1. 精神文明创建引领人</w:t>
      </w:r>
    </w:p>
    <w:p>
      <w:pPr>
        <w:pStyle w:val="style0"/>
        <w:ind w:firstLine="640" w:firstLineChars="200"/>
        <w:rPr>
          <w:rFonts w:ascii="仿宋" w:cs="仿宋" w:eastAsia="仿宋" w:hAnsi="仿宋" w:hint="eastAsia"/>
          <w:sz w:val="32"/>
          <w:szCs w:val="32"/>
          <w:highlight w:val="none"/>
        </w:rPr>
      </w:pPr>
      <w:r>
        <w:rPr>
          <w:rFonts w:ascii="仿宋" w:cs="仿宋" w:eastAsia="仿宋" w:hAnsi="仿宋" w:hint="eastAsia"/>
          <w:kern w:val="2"/>
          <w:sz w:val="32"/>
          <w:szCs w:val="32"/>
          <w:highlight w:val="none"/>
          <w:lang w:val="en-US" w:bidi="ar-SA" w:eastAsia="zh-CN"/>
        </w:rPr>
        <w:t xml:space="preserve">2. 校园环境建设熏陶人                      </w:t>
      </w:r>
      <w:r>
        <w:rPr>
          <w:rFonts w:ascii="仿宋" w:cs="仿宋" w:eastAsia="仿宋" w:hAnsi="仿宋" w:hint="eastAsia"/>
          <w:sz w:val="32"/>
          <w:szCs w:val="32"/>
          <w:highlight w:val="none"/>
          <w:lang w:eastAsia="zh-CN"/>
        </w:rPr>
        <w:t xml:space="preserve">      </w:t>
      </w:r>
      <w:r>
        <w:rPr>
          <w:rFonts w:ascii="仿宋" w:cs="仿宋" w:eastAsia="仿宋" w:hAnsi="仿宋" w:hint="eastAsia"/>
          <w:sz w:val="32"/>
          <w:szCs w:val="32"/>
          <w:highlight w:val="none"/>
        </w:rPr>
        <w:t xml:space="preserve">                            </w:t>
      </w:r>
    </w:p>
    <w:p>
      <w:pPr>
        <w:pStyle w:val="style4101"/>
        <w:spacing w:lineRule="auto" w:line="360"/>
        <w:ind w:firstLine="632" w:firstLineChars="200"/>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（二）部门整体支出规模、使用方向和主要内容、涉及范围等</w:t>
      </w:r>
    </w:p>
    <w:p>
      <w:pPr>
        <w:pStyle w:val="style4101"/>
        <w:spacing w:lineRule="auto" w:line="360"/>
        <w:ind w:firstLine="640" w:firstLineChars="200"/>
        <w:rPr>
          <w:rFonts w:ascii="仿宋" w:cs="仿宋" w:eastAsia="仿宋" w:hAnsi="仿宋" w:hint="eastAsia"/>
          <w:b/>
          <w:spacing w:val="-2"/>
          <w:sz w:val="32"/>
          <w:szCs w:val="32"/>
          <w:highlight w:val="none"/>
        </w:rPr>
      </w:pPr>
      <w:r>
        <w:rPr>
          <w:rFonts w:ascii="仿宋" w:cs="仿宋" w:eastAsia="仿宋" w:hAnsi="仿宋" w:hint="eastAsia"/>
          <w:color w:val="000000"/>
          <w:sz w:val="32"/>
          <w:szCs w:val="32"/>
          <w:highlight w:val="none"/>
        </w:rPr>
        <w:t>20</w:t>
      </w:r>
      <w:r>
        <w:rPr>
          <w:rFonts w:ascii="仿宋" w:cs="仿宋" w:eastAsia="仿宋" w:hAnsi="仿宋" w:hint="eastAsia"/>
          <w:color w:val="000000"/>
          <w:sz w:val="32"/>
          <w:szCs w:val="32"/>
          <w:highlight w:val="none"/>
          <w:lang w:val="en-US" w:eastAsia="zh-CN"/>
        </w:rPr>
        <w:t>21</w:t>
      </w:r>
      <w:r>
        <w:rPr>
          <w:rFonts w:ascii="仿宋" w:cs="仿宋" w:eastAsia="仿宋" w:hAnsi="仿宋" w:hint="eastAsia"/>
          <w:color w:val="000000"/>
          <w:sz w:val="32"/>
          <w:szCs w:val="32"/>
          <w:highlight w:val="none"/>
        </w:rPr>
        <w:t>年度我校</w:t>
      </w:r>
      <w:r>
        <w:rPr>
          <w:rFonts w:ascii="仿宋" w:cs="仿宋" w:eastAsia="仿宋" w:hAnsi="仿宋" w:hint="eastAsia"/>
          <w:spacing w:val="-2"/>
          <w:sz w:val="32"/>
          <w:szCs w:val="32"/>
          <w:highlight w:val="none"/>
        </w:rPr>
        <w:t>一般公用预算财政拨款收入</w:t>
      </w:r>
      <w:r>
        <w:rPr>
          <w:rFonts w:ascii="仿宋" w:cs="仿宋" w:eastAsia="仿宋" w:hAnsi="仿宋" w:hint="eastAsia"/>
          <w:spacing w:val="-2"/>
          <w:sz w:val="32"/>
          <w:szCs w:val="32"/>
          <w:highlight w:val="none"/>
          <w:lang w:val="en-US" w:eastAsia="zh-CN"/>
        </w:rPr>
        <w:t>4,167.45</w:t>
      </w:r>
      <w:r>
        <w:rPr>
          <w:rFonts w:ascii="仿宋" w:cs="仿宋" w:eastAsia="仿宋" w:hAnsi="仿宋" w:hint="eastAsia"/>
          <w:color w:val="000000"/>
          <w:sz w:val="32"/>
          <w:szCs w:val="32"/>
          <w:highlight w:val="none"/>
        </w:rPr>
        <w:t>万</w:t>
      </w:r>
    </w:p>
    <w:p>
      <w:pPr>
        <w:pStyle w:val="style0"/>
        <w:widowControl/>
        <w:spacing w:lineRule="exact" w:line="600"/>
        <w:rPr>
          <w:rFonts w:ascii="仿宋" w:cs="仿宋" w:eastAsia="仿宋" w:hAnsi="仿宋" w:hint="eastAsia"/>
          <w:color w:val="000000"/>
          <w:sz w:val="32"/>
          <w:szCs w:val="32"/>
          <w:highlight w:val="none"/>
        </w:rPr>
      </w:pPr>
      <w:r>
        <w:rPr>
          <w:rFonts w:ascii="仿宋" w:cs="仿宋" w:eastAsia="仿宋" w:hAnsi="仿宋" w:hint="eastAsia"/>
          <w:color w:val="000000"/>
          <w:sz w:val="32"/>
          <w:szCs w:val="32"/>
          <w:highlight w:val="none"/>
        </w:rPr>
        <w:t>元，</w:t>
      </w:r>
      <w:r>
        <w:rPr>
          <w:rFonts w:ascii="仿宋" w:cs="仿宋" w:eastAsia="仿宋" w:hAnsi="仿宋" w:hint="eastAsia"/>
          <w:spacing w:val="-2"/>
          <w:sz w:val="32"/>
          <w:szCs w:val="32"/>
          <w:highlight w:val="none"/>
        </w:rPr>
        <w:t>事业收入</w:t>
      </w:r>
      <w:r>
        <w:rPr>
          <w:rFonts w:ascii="仿宋" w:cs="仿宋" w:eastAsia="仿宋" w:hAnsi="仿宋" w:hint="eastAsia"/>
          <w:spacing w:val="-2"/>
          <w:sz w:val="32"/>
          <w:szCs w:val="32"/>
          <w:highlight w:val="none"/>
          <w:lang w:val="en-US" w:eastAsia="zh-CN"/>
        </w:rPr>
        <w:t>1,017.03</w:t>
      </w:r>
      <w:r>
        <w:rPr>
          <w:rFonts w:ascii="仿宋" w:cs="仿宋" w:eastAsia="仿宋" w:hAnsi="仿宋" w:hint="eastAsia"/>
          <w:color w:val="000000"/>
          <w:sz w:val="32"/>
          <w:szCs w:val="32"/>
          <w:highlight w:val="none"/>
        </w:rPr>
        <w:t>万元，上年度指标结转</w:t>
      </w:r>
      <w:r>
        <w:rPr>
          <w:rFonts w:ascii="仿宋" w:cs="仿宋" w:eastAsia="仿宋" w:hAnsi="仿宋" w:hint="eastAsia"/>
          <w:sz w:val="32"/>
          <w:szCs w:val="32"/>
          <w:highlight w:val="none"/>
          <w:lang w:val="en-US" w:eastAsia="zh-CN"/>
        </w:rPr>
        <w:t>259.62</w:t>
      </w:r>
      <w:r>
        <w:rPr>
          <w:rFonts w:ascii="仿宋" w:cs="仿宋" w:eastAsia="仿宋" w:hAnsi="仿宋" w:hint="eastAsia"/>
          <w:color w:val="000000"/>
          <w:sz w:val="32"/>
          <w:szCs w:val="32"/>
          <w:highlight w:val="none"/>
        </w:rPr>
        <w:t>万元，合计</w:t>
      </w:r>
      <w:r>
        <w:rPr>
          <w:rFonts w:ascii="仿宋" w:cs="仿宋" w:eastAsia="仿宋" w:hAnsi="仿宋" w:hint="eastAsia"/>
          <w:color w:val="000000"/>
          <w:sz w:val="32"/>
          <w:szCs w:val="32"/>
          <w:highlight w:val="none"/>
          <w:lang w:val="en-US" w:eastAsia="zh-CN"/>
        </w:rPr>
        <w:t>5,444.10</w:t>
      </w:r>
      <w:r>
        <w:rPr>
          <w:rFonts w:ascii="仿宋" w:cs="仿宋" w:eastAsia="仿宋" w:hAnsi="仿宋" w:hint="eastAsia"/>
          <w:color w:val="000000"/>
          <w:sz w:val="32"/>
          <w:szCs w:val="32"/>
          <w:highlight w:val="none"/>
        </w:rPr>
        <w:t>万元。实际支出</w:t>
      </w:r>
      <w:r>
        <w:rPr>
          <w:rFonts w:ascii="仿宋" w:cs="仿宋" w:eastAsia="仿宋" w:hAnsi="仿宋" w:hint="eastAsia"/>
          <w:color w:val="000000"/>
          <w:sz w:val="32"/>
          <w:szCs w:val="32"/>
          <w:highlight w:val="none"/>
          <w:lang w:val="en-US" w:eastAsia="zh-CN"/>
        </w:rPr>
        <w:t>4,760.86万</w:t>
      </w:r>
      <w:r>
        <w:rPr>
          <w:rFonts w:ascii="仿宋" w:cs="仿宋" w:eastAsia="仿宋" w:hAnsi="仿宋" w:hint="eastAsia"/>
          <w:sz w:val="32"/>
          <w:szCs w:val="32"/>
          <w:highlight w:val="none"/>
        </w:rPr>
        <w:t>元，其中基本支出</w:t>
      </w:r>
      <w:r>
        <w:rPr>
          <w:rFonts w:ascii="仿宋" w:cs="仿宋" w:eastAsia="仿宋" w:hAnsi="仿宋" w:hint="eastAsia"/>
          <w:sz w:val="32"/>
          <w:szCs w:val="32"/>
          <w:highlight w:val="none"/>
          <w:lang w:val="en-US" w:eastAsia="zh-CN"/>
        </w:rPr>
        <w:t>4,167.45</w:t>
      </w:r>
      <w:r>
        <w:rPr>
          <w:rFonts w:ascii="仿宋" w:cs="仿宋" w:eastAsia="仿宋" w:hAnsi="仿宋" w:hint="eastAsia"/>
          <w:sz w:val="32"/>
          <w:szCs w:val="32"/>
          <w:highlight w:val="none"/>
        </w:rPr>
        <w:t>万元，项目支出</w:t>
      </w:r>
      <w:r>
        <w:rPr>
          <w:rFonts w:ascii="仿宋" w:cs="仿宋" w:eastAsia="仿宋" w:hAnsi="仿宋" w:hint="eastAsia"/>
          <w:sz w:val="32"/>
          <w:szCs w:val="32"/>
          <w:highlight w:val="none"/>
          <w:lang w:val="en-US" w:eastAsia="zh-CN"/>
        </w:rPr>
        <w:t>593.41</w:t>
      </w:r>
      <w:r>
        <w:rPr>
          <w:rFonts w:ascii="仿宋" w:cs="仿宋" w:eastAsia="仿宋" w:hAnsi="仿宋" w:hint="eastAsia"/>
          <w:sz w:val="32"/>
          <w:szCs w:val="32"/>
          <w:highlight w:val="none"/>
        </w:rPr>
        <w:t>万元，年末结转与结余</w:t>
      </w:r>
      <w:r>
        <w:rPr>
          <w:rFonts w:ascii="仿宋" w:cs="仿宋" w:eastAsia="仿宋" w:hAnsi="仿宋" w:hint="eastAsia"/>
          <w:sz w:val="32"/>
          <w:szCs w:val="32"/>
          <w:highlight w:val="none"/>
          <w:lang w:val="en-US" w:eastAsia="zh-CN"/>
        </w:rPr>
        <w:t>683.24</w:t>
      </w:r>
      <w:r>
        <w:rPr>
          <w:rFonts w:ascii="仿宋" w:cs="仿宋" w:eastAsia="仿宋" w:hAnsi="仿宋" w:hint="eastAsia"/>
          <w:sz w:val="32"/>
          <w:szCs w:val="32"/>
          <w:highlight w:val="none"/>
        </w:rPr>
        <w:t>万元。主要用于人员经费、行政运行和教育教学工作等。本次部门整体支出评价</w:t>
      </w:r>
      <w:r>
        <w:rPr>
          <w:rFonts w:ascii="仿宋" w:cs="仿宋" w:eastAsia="仿宋" w:hAnsi="仿宋" w:hint="eastAsia"/>
          <w:sz w:val="32"/>
          <w:szCs w:val="32"/>
          <w:highlight w:val="none"/>
          <w:lang w:val="en-US" w:eastAsia="zh-CN"/>
        </w:rPr>
        <w:t>与</w:t>
      </w:r>
      <w:r>
        <w:rPr>
          <w:rFonts w:ascii="仿宋" w:cs="仿宋" w:eastAsia="仿宋" w:hAnsi="仿宋" w:hint="eastAsia"/>
          <w:sz w:val="32"/>
          <w:szCs w:val="32"/>
          <w:highlight w:val="none"/>
        </w:rPr>
        <w:t>预算口径保持一致，为保障我校教育教学各项职能使用资金。</w:t>
      </w:r>
    </w:p>
    <w:p>
      <w:pPr>
        <w:pStyle w:val="style0"/>
        <w:widowControl/>
        <w:shd w:val="clear" w:color="auto" w:fill="ffffff"/>
        <w:spacing w:lineRule="atLeast" w:line="600"/>
        <w:ind w:firstLine="640"/>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二、部门整体支出管理及使用情况</w:t>
      </w:r>
    </w:p>
    <w:p>
      <w:pPr>
        <w:pStyle w:val="style0"/>
        <w:widowControl/>
        <w:shd w:val="clear" w:color="auto" w:fill="ffffff"/>
        <w:spacing w:lineRule="atLeast" w:line="600"/>
        <w:ind w:firstLine="643"/>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（一）基本支出</w:t>
      </w:r>
    </w:p>
    <w:p>
      <w:pPr>
        <w:pStyle w:val="style0"/>
        <w:widowControl/>
        <w:spacing w:lineRule="exact" w:line="600"/>
        <w:ind w:firstLine="640" w:firstLineChars="200"/>
        <w:rPr>
          <w:rFonts w:ascii="仿宋" w:cs="仿宋" w:eastAsia="仿宋" w:hAnsi="仿宋" w:hint="eastAsia"/>
          <w:color w:val="000000"/>
          <w:kern w:val="0"/>
          <w:sz w:val="32"/>
          <w:szCs w:val="32"/>
          <w:highlight w:val="none"/>
        </w:rPr>
      </w:pPr>
      <w:r>
        <w:rPr>
          <w:rFonts w:ascii="仿宋" w:cs="仿宋" w:eastAsia="仿宋" w:hAnsi="仿宋" w:hint="eastAsia"/>
          <w:color w:val="000000"/>
          <w:kern w:val="0"/>
          <w:sz w:val="32"/>
          <w:szCs w:val="32"/>
          <w:highlight w:val="none"/>
        </w:rPr>
        <w:t>我校基本支出的范围和主要用途包括人员经费和日常公用经费，20</w:t>
      </w:r>
      <w:r>
        <w:rPr>
          <w:rFonts w:ascii="仿宋" w:cs="仿宋" w:eastAsia="仿宋" w:hAnsi="仿宋" w:hint="eastAsia"/>
          <w:color w:val="000000"/>
          <w:kern w:val="0"/>
          <w:sz w:val="32"/>
          <w:szCs w:val="32"/>
          <w:highlight w:val="none"/>
          <w:lang w:val="en-US" w:eastAsia="zh-CN"/>
        </w:rPr>
        <w:t>21</w:t>
      </w:r>
      <w:r>
        <w:rPr>
          <w:rFonts w:ascii="仿宋" w:cs="仿宋" w:eastAsia="仿宋" w:hAnsi="仿宋" w:hint="eastAsia"/>
          <w:color w:val="000000"/>
          <w:kern w:val="0"/>
          <w:sz w:val="32"/>
          <w:szCs w:val="32"/>
          <w:highlight w:val="none"/>
        </w:rPr>
        <w:t>年基本支出决算数</w:t>
      </w:r>
      <w:r>
        <w:rPr>
          <w:rFonts w:ascii="仿宋" w:cs="仿宋" w:eastAsia="仿宋" w:hAnsi="仿宋" w:hint="eastAsia"/>
          <w:sz w:val="32"/>
          <w:szCs w:val="32"/>
          <w:highlight w:val="none"/>
          <w:lang w:val="en-US" w:eastAsia="zh-CN"/>
        </w:rPr>
        <w:t>4167.45</w:t>
      </w:r>
      <w:r>
        <w:rPr>
          <w:rFonts w:ascii="仿宋" w:cs="仿宋" w:eastAsia="仿宋" w:hAnsi="仿宋" w:hint="eastAsia"/>
          <w:color w:val="000000"/>
          <w:kern w:val="0"/>
          <w:sz w:val="32"/>
          <w:szCs w:val="32"/>
          <w:highlight w:val="none"/>
        </w:rPr>
        <w:t>万元，主要用于保障学校教育教学的履行和机构运转。其中，人员经费</w:t>
      </w:r>
      <w:r>
        <w:rPr>
          <w:rFonts w:ascii="仿宋" w:cs="仿宋" w:eastAsia="仿宋" w:hAnsi="仿宋" w:hint="eastAsia"/>
          <w:color w:val="000000"/>
          <w:kern w:val="0"/>
          <w:sz w:val="32"/>
          <w:szCs w:val="32"/>
          <w:highlight w:val="none"/>
          <w:lang w:val="en-US" w:eastAsia="zh-CN"/>
        </w:rPr>
        <w:t>3,327.44</w:t>
      </w:r>
      <w:r>
        <w:rPr>
          <w:rFonts w:ascii="仿宋" w:cs="仿宋" w:eastAsia="仿宋" w:hAnsi="仿宋" w:hint="eastAsia"/>
          <w:color w:val="000000"/>
          <w:kern w:val="0"/>
          <w:sz w:val="32"/>
          <w:szCs w:val="32"/>
          <w:highlight w:val="none"/>
        </w:rPr>
        <w:t>万元（工资福利支出</w:t>
      </w:r>
      <w:r>
        <w:rPr>
          <w:rFonts w:ascii="仿宋" w:cs="仿宋" w:eastAsia="仿宋" w:hAnsi="仿宋" w:hint="eastAsia"/>
          <w:color w:val="000000"/>
          <w:kern w:val="0"/>
          <w:sz w:val="32"/>
          <w:szCs w:val="32"/>
          <w:highlight w:val="none"/>
          <w:lang w:val="en-US" w:eastAsia="zh-CN"/>
        </w:rPr>
        <w:t>3,096.17</w:t>
      </w:r>
      <w:r>
        <w:rPr>
          <w:rFonts w:ascii="仿宋" w:cs="仿宋" w:eastAsia="仿宋" w:hAnsi="仿宋" w:hint="eastAsia"/>
          <w:color w:val="000000"/>
          <w:kern w:val="0"/>
          <w:sz w:val="32"/>
          <w:szCs w:val="32"/>
          <w:highlight w:val="none"/>
        </w:rPr>
        <w:t>万元，对个人和家庭的补助</w:t>
      </w:r>
      <w:r>
        <w:rPr>
          <w:rFonts w:ascii="仿宋" w:cs="仿宋" w:eastAsia="仿宋" w:hAnsi="仿宋" w:hint="eastAsia"/>
          <w:color w:val="000000"/>
          <w:kern w:val="0"/>
          <w:sz w:val="32"/>
          <w:szCs w:val="32"/>
          <w:highlight w:val="none"/>
          <w:lang w:val="en-US" w:eastAsia="zh-CN"/>
        </w:rPr>
        <w:t>231.27</w:t>
      </w:r>
      <w:r>
        <w:rPr>
          <w:rFonts w:ascii="仿宋" w:cs="仿宋" w:eastAsia="仿宋" w:hAnsi="仿宋" w:hint="eastAsia"/>
          <w:color w:val="000000"/>
          <w:kern w:val="0"/>
          <w:sz w:val="32"/>
          <w:szCs w:val="32"/>
          <w:highlight w:val="none"/>
        </w:rPr>
        <w:t>万元），公用经费</w:t>
      </w:r>
      <w:r>
        <w:rPr>
          <w:rFonts w:ascii="仿宋" w:cs="仿宋" w:eastAsia="仿宋" w:hAnsi="仿宋" w:hint="eastAsia"/>
          <w:color w:val="000000"/>
          <w:kern w:val="0"/>
          <w:sz w:val="32"/>
          <w:szCs w:val="32"/>
          <w:highlight w:val="none"/>
          <w:lang w:val="en-US" w:eastAsia="zh-CN"/>
        </w:rPr>
        <w:t>840.01</w:t>
      </w:r>
      <w:r>
        <w:rPr>
          <w:rFonts w:ascii="仿宋" w:cs="仿宋" w:eastAsia="仿宋" w:hAnsi="仿宋" w:hint="eastAsia"/>
          <w:color w:val="000000"/>
          <w:kern w:val="0"/>
          <w:sz w:val="32"/>
          <w:szCs w:val="32"/>
          <w:highlight w:val="none"/>
        </w:rPr>
        <w:t>万元（商品和服务支出</w:t>
      </w:r>
      <w:r>
        <w:rPr>
          <w:rFonts w:ascii="仿宋" w:cs="仿宋" w:eastAsia="仿宋" w:hAnsi="仿宋" w:hint="eastAsia"/>
          <w:color w:val="000000"/>
          <w:kern w:val="0"/>
          <w:sz w:val="32"/>
          <w:szCs w:val="32"/>
          <w:highlight w:val="none"/>
          <w:lang w:val="en-US" w:eastAsia="zh-CN"/>
        </w:rPr>
        <w:t>764.49</w:t>
      </w:r>
      <w:r>
        <w:rPr>
          <w:rFonts w:ascii="仿宋" w:cs="仿宋" w:eastAsia="仿宋" w:hAnsi="仿宋" w:hint="eastAsia"/>
          <w:color w:val="000000"/>
          <w:kern w:val="0"/>
          <w:sz w:val="32"/>
          <w:szCs w:val="32"/>
          <w:highlight w:val="none"/>
        </w:rPr>
        <w:t>万元，其他资本性</w:t>
      </w:r>
      <w:r>
        <w:rPr>
          <w:rFonts w:ascii="仿宋" w:cs="仿宋" w:eastAsia="仿宋" w:hAnsi="仿宋" w:hint="eastAsia"/>
          <w:color w:val="000000"/>
          <w:kern w:val="0"/>
          <w:sz w:val="32"/>
          <w:szCs w:val="32"/>
          <w:highlight w:val="none"/>
          <w:lang w:val="en-US" w:eastAsia="zh-CN"/>
        </w:rPr>
        <w:t>支出75.52</w:t>
      </w:r>
      <w:r>
        <w:rPr>
          <w:rFonts w:ascii="仿宋" w:cs="仿宋" w:eastAsia="仿宋" w:hAnsi="仿宋" w:hint="eastAsia"/>
          <w:color w:val="000000"/>
          <w:kern w:val="0"/>
          <w:sz w:val="32"/>
          <w:szCs w:val="32"/>
          <w:highlight w:val="none"/>
        </w:rPr>
        <w:t>万元）。</w:t>
      </w:r>
    </w:p>
    <w:p>
      <w:pPr>
        <w:pStyle w:val="style0"/>
        <w:widowControl/>
        <w:spacing w:lineRule="exact" w:line="600"/>
        <w:ind w:firstLine="640" w:firstLineChars="200"/>
        <w:jc w:val="both"/>
        <w:rPr>
          <w:rFonts w:ascii="仿宋" w:cs="仿宋" w:eastAsia="仿宋" w:hAnsi="仿宋" w:hint="eastAsia"/>
          <w:color w:val="000000"/>
          <w:kern w:val="0"/>
          <w:sz w:val="32"/>
          <w:szCs w:val="32"/>
          <w:highlight w:val="none"/>
        </w:rPr>
      </w:pPr>
      <w:r>
        <w:rPr>
          <w:rFonts w:ascii="仿宋" w:cs="仿宋" w:eastAsia="仿宋" w:hAnsi="仿宋" w:hint="eastAsia"/>
          <w:sz w:val="32"/>
          <w:szCs w:val="32"/>
          <w:highlight w:val="none"/>
        </w:rPr>
        <w:t>我校根据《</w:t>
      </w:r>
      <w:r>
        <w:rPr>
          <w:rFonts w:ascii="仿宋" w:cs="仿宋" w:eastAsia="仿宋" w:hAnsi="仿宋" w:hint="eastAsia"/>
          <w:sz w:val="32"/>
          <w:szCs w:val="32"/>
          <w:highlight w:val="none"/>
          <w:lang w:val="en-US" w:eastAsia="zh-CN"/>
        </w:rPr>
        <w:t>政府会计准则</w:t>
      </w:r>
      <w:r>
        <w:rPr>
          <w:rFonts w:ascii="仿宋" w:cs="仿宋" w:eastAsia="仿宋" w:hAnsi="仿宋" w:hint="eastAsia"/>
          <w:sz w:val="32"/>
          <w:szCs w:val="32"/>
          <w:highlight w:val="none"/>
        </w:rPr>
        <w:t>》、《预算法》等相关法律法规制定了单位层面管理制度、业务层面管理制度，特别就“三公经费”等规范了经费支出流程，制定了公务接待、公用用车、差旅费、办公费等制定了相关实施细则，厉行节约、严控“三公经费”和日常公用经费；</w:t>
      </w:r>
      <w:r>
        <w:rPr>
          <w:rFonts w:ascii="仿宋" w:cs="仿宋" w:eastAsia="仿宋" w:hAnsi="仿宋" w:hint="eastAsia"/>
          <w:color w:val="000000"/>
          <w:kern w:val="0"/>
          <w:sz w:val="32"/>
          <w:szCs w:val="32"/>
          <w:highlight w:val="none"/>
          <w:shd w:val="clear" w:color="auto" w:fill="ffffff"/>
        </w:rPr>
        <w:t>接待制度对人员、标准、接待程序都予以规范，用车制度对车辆管理、维修、费用支出都进行了明确</w:t>
      </w:r>
      <w:r>
        <w:rPr>
          <w:rFonts w:ascii="仿宋" w:cs="仿宋" w:eastAsia="仿宋" w:hAnsi="仿宋" w:hint="eastAsia"/>
          <w:sz w:val="32"/>
          <w:szCs w:val="32"/>
          <w:highlight w:val="none"/>
        </w:rPr>
        <w:t>。同时，按照怀化市财政局要求实行“整体部门预算”、“三公经费”预算、“政府采购”预算公开制度，有效控制了基本支出，实际支出没有超出预算规模、范围和标准。20</w:t>
      </w:r>
      <w:r>
        <w:rPr>
          <w:rFonts w:ascii="仿宋" w:cs="仿宋" w:eastAsia="仿宋" w:hAnsi="仿宋" w:hint="eastAsia"/>
          <w:sz w:val="32"/>
          <w:szCs w:val="32"/>
          <w:highlight w:val="none"/>
          <w:lang w:val="en-US" w:eastAsia="zh-CN"/>
        </w:rPr>
        <w:t>21</w:t>
      </w:r>
      <w:r>
        <w:rPr>
          <w:rFonts w:ascii="仿宋" w:cs="仿宋" w:eastAsia="仿宋" w:hAnsi="仿宋" w:hint="eastAsia"/>
          <w:sz w:val="32"/>
          <w:szCs w:val="32"/>
          <w:highlight w:val="none"/>
        </w:rPr>
        <w:t>年三公经费预算</w:t>
      </w:r>
      <w:r>
        <w:rPr>
          <w:rFonts w:ascii="仿宋" w:cs="仿宋" w:eastAsia="仿宋" w:hAnsi="仿宋" w:hint="eastAsia"/>
          <w:sz w:val="32"/>
          <w:szCs w:val="32"/>
          <w:highlight w:val="none"/>
          <w:lang w:val="en-US" w:eastAsia="zh-CN"/>
        </w:rPr>
        <w:t>13.55</w:t>
      </w:r>
      <w:r>
        <w:rPr>
          <w:rFonts w:ascii="仿宋" w:cs="仿宋" w:eastAsia="仿宋" w:hAnsi="仿宋" w:hint="eastAsia"/>
          <w:sz w:val="32"/>
          <w:szCs w:val="32"/>
          <w:highlight w:val="none"/>
        </w:rPr>
        <w:t>万元（</w:t>
      </w:r>
      <w:r>
        <w:rPr>
          <w:rFonts w:ascii="仿宋" w:cs="仿宋" w:eastAsia="仿宋" w:hAnsi="仿宋" w:hint="eastAsia"/>
          <w:sz w:val="32"/>
          <w:szCs w:val="32"/>
          <w:highlight w:val="none"/>
          <w:lang w:eastAsia="zh-CN"/>
        </w:rPr>
        <w:t>公务</w:t>
      </w:r>
      <w:r>
        <w:rPr>
          <w:rFonts w:ascii="仿宋" w:cs="仿宋" w:eastAsia="仿宋" w:hAnsi="仿宋" w:hint="eastAsia"/>
          <w:sz w:val="32"/>
          <w:szCs w:val="32"/>
          <w:highlight w:val="none"/>
        </w:rPr>
        <w:t>接待费</w:t>
      </w:r>
      <w:r>
        <w:rPr>
          <w:rFonts w:ascii="仿宋" w:cs="仿宋" w:eastAsia="仿宋" w:hAnsi="仿宋" w:hint="eastAsia"/>
          <w:sz w:val="32"/>
          <w:szCs w:val="32"/>
          <w:highlight w:val="none"/>
          <w:lang w:val="en-US" w:eastAsia="zh-CN"/>
        </w:rPr>
        <w:t>10.71</w:t>
      </w:r>
      <w:r>
        <w:rPr>
          <w:rFonts w:ascii="仿宋" w:cs="仿宋" w:eastAsia="仿宋" w:hAnsi="仿宋" w:hint="eastAsia"/>
          <w:sz w:val="32"/>
          <w:szCs w:val="32"/>
          <w:highlight w:val="none"/>
        </w:rPr>
        <w:t>万元，</w:t>
      </w:r>
      <w:r>
        <w:rPr>
          <w:rFonts w:ascii="仿宋" w:cs="仿宋" w:eastAsia="仿宋" w:hAnsi="仿宋" w:hint="eastAsia"/>
          <w:sz w:val="32"/>
          <w:szCs w:val="32"/>
          <w:highlight w:val="none"/>
          <w:lang w:eastAsia="zh-CN"/>
        </w:rPr>
        <w:t>公务用车</w:t>
      </w:r>
      <w:r>
        <w:rPr>
          <w:rFonts w:ascii="仿宋" w:cs="仿宋" w:eastAsia="仿宋" w:hAnsi="仿宋" w:hint="eastAsia"/>
          <w:sz w:val="32"/>
          <w:szCs w:val="32"/>
          <w:highlight w:val="none"/>
        </w:rPr>
        <w:t>运行</w:t>
      </w:r>
      <w:r>
        <w:rPr>
          <w:rFonts w:ascii="仿宋" w:cs="仿宋" w:eastAsia="仿宋" w:hAnsi="仿宋" w:hint="eastAsia"/>
          <w:sz w:val="32"/>
          <w:szCs w:val="32"/>
          <w:highlight w:val="none"/>
          <w:lang w:val="en-US" w:eastAsia="zh-CN"/>
        </w:rPr>
        <w:t>维护</w:t>
      </w:r>
      <w:r>
        <w:rPr>
          <w:rFonts w:ascii="仿宋" w:cs="仿宋" w:eastAsia="仿宋" w:hAnsi="仿宋" w:hint="eastAsia"/>
          <w:sz w:val="32"/>
          <w:szCs w:val="32"/>
          <w:highlight w:val="none"/>
        </w:rPr>
        <w:t>费</w:t>
      </w:r>
      <w:r>
        <w:rPr>
          <w:rFonts w:ascii="仿宋" w:cs="仿宋" w:eastAsia="仿宋" w:hAnsi="仿宋" w:hint="eastAsia"/>
          <w:sz w:val="32"/>
          <w:szCs w:val="32"/>
          <w:highlight w:val="none"/>
          <w:lang w:val="en-US" w:eastAsia="zh-CN"/>
        </w:rPr>
        <w:t>2.84</w:t>
      </w:r>
      <w:r>
        <w:rPr>
          <w:rFonts w:ascii="仿宋" w:cs="仿宋" w:eastAsia="仿宋" w:hAnsi="仿宋" w:hint="eastAsia"/>
          <w:sz w:val="32"/>
          <w:szCs w:val="32"/>
          <w:highlight w:val="none"/>
        </w:rPr>
        <w:t>万元），决算数</w:t>
      </w:r>
      <w:r>
        <w:rPr>
          <w:rFonts w:ascii="仿宋" w:cs="仿宋" w:eastAsia="仿宋" w:hAnsi="仿宋" w:hint="eastAsia"/>
          <w:sz w:val="32"/>
          <w:szCs w:val="32"/>
          <w:highlight w:val="none"/>
          <w:lang w:val="en-US" w:eastAsia="zh-CN"/>
        </w:rPr>
        <w:t>0</w:t>
      </w:r>
      <w:r>
        <w:rPr>
          <w:rFonts w:ascii="仿宋" w:cs="仿宋" w:eastAsia="仿宋" w:hAnsi="仿宋" w:hint="eastAsia"/>
          <w:sz w:val="32"/>
          <w:szCs w:val="32"/>
          <w:highlight w:val="none"/>
        </w:rPr>
        <w:t>万元，节约</w:t>
      </w:r>
      <w:r>
        <w:rPr>
          <w:rFonts w:ascii="仿宋" w:cs="仿宋" w:eastAsia="仿宋" w:hAnsi="仿宋" w:hint="eastAsia"/>
          <w:sz w:val="32"/>
          <w:szCs w:val="32"/>
          <w:highlight w:val="none"/>
          <w:lang w:val="en-US" w:eastAsia="zh-CN"/>
        </w:rPr>
        <w:t>13.55</w:t>
      </w:r>
      <w:r>
        <w:rPr>
          <w:rFonts w:ascii="仿宋" w:cs="仿宋" w:eastAsia="仿宋" w:hAnsi="仿宋" w:hint="eastAsia"/>
          <w:sz w:val="32"/>
          <w:szCs w:val="32"/>
          <w:highlight w:val="none"/>
        </w:rPr>
        <w:t xml:space="preserve"> 万元</w:t>
      </w:r>
      <w:r>
        <w:rPr>
          <w:rFonts w:ascii="仿宋" w:cs="仿宋" w:eastAsia="仿宋" w:hAnsi="仿宋" w:hint="eastAsia"/>
          <w:sz w:val="32"/>
          <w:szCs w:val="32"/>
          <w:highlight w:val="none"/>
          <w:lang w:eastAsia="zh-CN"/>
        </w:rPr>
        <w:t>；较</w:t>
      </w:r>
      <w:r>
        <w:rPr>
          <w:rFonts w:ascii="仿宋" w:cs="仿宋" w:eastAsia="仿宋" w:hAnsi="仿宋" w:hint="eastAsia"/>
          <w:sz w:val="32"/>
          <w:szCs w:val="32"/>
          <w:highlight w:val="none"/>
        </w:rPr>
        <w:t>20</w:t>
      </w:r>
      <w:r>
        <w:rPr>
          <w:rFonts w:ascii="仿宋" w:cs="仿宋" w:eastAsia="仿宋" w:hAnsi="仿宋" w:hint="eastAsia"/>
          <w:sz w:val="32"/>
          <w:szCs w:val="32"/>
          <w:highlight w:val="none"/>
          <w:lang w:val="en-US" w:eastAsia="zh-CN"/>
        </w:rPr>
        <w:t>20</w:t>
      </w:r>
      <w:r>
        <w:rPr>
          <w:rFonts w:ascii="仿宋" w:cs="仿宋" w:eastAsia="仿宋" w:hAnsi="仿宋" w:hint="eastAsia"/>
          <w:sz w:val="32"/>
          <w:szCs w:val="32"/>
          <w:highlight w:val="none"/>
        </w:rPr>
        <w:t>年决算</w:t>
      </w:r>
      <w:r>
        <w:rPr>
          <w:rFonts w:ascii="仿宋" w:cs="仿宋" w:eastAsia="仿宋" w:hAnsi="仿宋" w:hint="eastAsia"/>
          <w:sz w:val="32"/>
          <w:szCs w:val="32"/>
          <w:highlight w:val="none"/>
          <w:lang w:eastAsia="zh-CN"/>
        </w:rPr>
        <w:t>数</w:t>
      </w:r>
      <w:r>
        <w:rPr>
          <w:rFonts w:ascii="仿宋" w:cs="仿宋" w:eastAsia="仿宋" w:hAnsi="仿宋" w:hint="eastAsia"/>
          <w:sz w:val="32"/>
          <w:szCs w:val="32"/>
          <w:highlight w:val="none"/>
          <w:lang w:val="en-US" w:eastAsia="zh-CN"/>
        </w:rPr>
        <w:t>0.06</w:t>
      </w:r>
      <w:r>
        <w:rPr>
          <w:rFonts w:ascii="仿宋" w:cs="仿宋" w:eastAsia="仿宋" w:hAnsi="仿宋" w:hint="eastAsia"/>
          <w:sz w:val="32"/>
          <w:szCs w:val="32"/>
          <w:highlight w:val="none"/>
        </w:rPr>
        <w:t>万元</w:t>
      </w:r>
      <w:r>
        <w:rPr>
          <w:rFonts w:ascii="仿宋" w:cs="仿宋" w:eastAsia="仿宋" w:hAnsi="仿宋" w:hint="eastAsia"/>
          <w:sz w:val="32"/>
          <w:szCs w:val="32"/>
          <w:highlight w:val="none"/>
          <w:lang w:eastAsia="zh-CN"/>
        </w:rPr>
        <w:t>下降</w:t>
      </w:r>
      <w:r>
        <w:rPr>
          <w:rFonts w:ascii="仿宋" w:cs="仿宋" w:eastAsia="仿宋" w:hAnsi="仿宋" w:hint="eastAsia"/>
          <w:sz w:val="32"/>
          <w:szCs w:val="32"/>
          <w:highlight w:val="none"/>
          <w:lang w:val="en-US" w:eastAsia="zh-CN"/>
        </w:rPr>
        <w:t>0.06万元</w:t>
      </w:r>
      <w:r>
        <w:rPr>
          <w:rFonts w:ascii="仿宋" w:cs="仿宋" w:eastAsia="仿宋" w:hAnsi="仿宋" w:hint="eastAsia"/>
          <w:sz w:val="32"/>
          <w:szCs w:val="32"/>
          <w:highlight w:val="none"/>
          <w:lang w:eastAsia="zh-CN"/>
        </w:rPr>
        <w:t>，</w:t>
      </w:r>
      <w:r>
        <w:rPr>
          <w:rFonts w:ascii="仿宋" w:cs="仿宋" w:eastAsia="仿宋" w:hAnsi="仿宋" w:hint="eastAsia"/>
          <w:sz w:val="32"/>
          <w:szCs w:val="32"/>
          <w:highlight w:val="none"/>
        </w:rPr>
        <w:t>降幅</w:t>
      </w:r>
      <w:r>
        <w:rPr>
          <w:rFonts w:ascii="仿宋" w:cs="仿宋" w:eastAsia="仿宋" w:hAnsi="仿宋" w:hint="eastAsia"/>
          <w:sz w:val="32"/>
          <w:szCs w:val="32"/>
          <w:highlight w:val="none"/>
          <w:lang w:val="en-US" w:eastAsia="zh-CN"/>
        </w:rPr>
        <w:t>100</w:t>
      </w:r>
      <w:r>
        <w:rPr>
          <w:rFonts w:ascii="仿宋" w:cs="仿宋" w:eastAsia="仿宋" w:hAnsi="仿宋" w:hint="eastAsia"/>
          <w:sz w:val="32"/>
          <w:szCs w:val="32"/>
          <w:highlight w:val="none"/>
        </w:rPr>
        <w:t>%</w:t>
      </w:r>
      <w:r>
        <w:rPr>
          <w:rFonts w:ascii="仿宋" w:cs="仿宋" w:eastAsia="仿宋" w:hAnsi="仿宋" w:hint="eastAsia"/>
          <w:sz w:val="32"/>
          <w:szCs w:val="32"/>
          <w:highlight w:val="none"/>
          <w:lang w:eastAsia="zh-CN"/>
        </w:rPr>
        <w:t>。</w:t>
      </w:r>
      <w:r>
        <w:rPr>
          <w:rFonts w:ascii="仿宋" w:cs="仿宋" w:eastAsia="仿宋" w:hAnsi="仿宋" w:hint="eastAsia"/>
          <w:sz w:val="32"/>
          <w:szCs w:val="32"/>
          <w:highlight w:val="none"/>
        </w:rPr>
        <w:t>全年未产生购置公务用车和因公出国费用，</w:t>
      </w:r>
      <w:r>
        <w:rPr>
          <w:rFonts w:ascii="仿宋" w:cs="仿宋" w:eastAsia="仿宋" w:hAnsi="仿宋" w:hint="eastAsia"/>
          <w:color w:val="000000"/>
          <w:kern w:val="0"/>
          <w:sz w:val="32"/>
          <w:szCs w:val="32"/>
          <w:highlight w:val="none"/>
        </w:rPr>
        <w:t>“三公”经费预算在我校门户网站（</w:t>
      </w:r>
      <w:r>
        <w:rPr>
          <w:rFonts w:ascii="仿宋" w:cs="仿宋" w:eastAsia="仿宋" w:hAnsi="仿宋" w:hint="eastAsia"/>
          <w:color w:val="000000"/>
          <w:kern w:val="0"/>
          <w:sz w:val="32"/>
          <w:szCs w:val="32"/>
          <w:highlight w:val="none"/>
        </w:rPr>
        <w:fldChar w:fldCharType="begin"/>
      </w:r>
      <w:r>
        <w:rPr>
          <w:rFonts w:ascii="仿宋" w:cs="仿宋" w:eastAsia="仿宋" w:hAnsi="仿宋" w:hint="eastAsia"/>
          <w:color w:val="000000"/>
          <w:kern w:val="0"/>
          <w:sz w:val="32"/>
          <w:szCs w:val="32"/>
          <w:highlight w:val="none"/>
        </w:rPr>
        <w:instrText xml:space="preserve"> HYPERLINK "http://www.hhmca.gov.cn）进行了公示。与2015" </w:instrText>
      </w:r>
      <w:r>
        <w:rPr>
          <w:rFonts w:ascii="仿宋" w:cs="仿宋" w:eastAsia="仿宋" w:hAnsi="仿宋" w:hint="eastAsia"/>
          <w:color w:val="000000"/>
          <w:kern w:val="0"/>
          <w:sz w:val="32"/>
          <w:szCs w:val="32"/>
          <w:highlight w:val="none"/>
        </w:rPr>
        <w:fldChar w:fldCharType="separate"/>
      </w:r>
      <w:r>
        <w:rPr>
          <w:rFonts w:ascii="仿宋" w:cs="仿宋" w:eastAsia="仿宋" w:hAnsi="仿宋" w:hint="eastAsia"/>
          <w:color w:val="000000"/>
          <w:kern w:val="0"/>
          <w:sz w:val="32"/>
          <w:szCs w:val="32"/>
          <w:highlight w:val="none"/>
        </w:rPr>
        <w:t>http://www.hhtyz.com/）进行了公示。</w:t>
      </w:r>
      <w:r>
        <w:rPr>
          <w:rFonts w:ascii="仿宋" w:cs="仿宋" w:eastAsia="仿宋" w:hAnsi="仿宋" w:hint="eastAsia"/>
          <w:color w:val="000000"/>
          <w:kern w:val="0"/>
          <w:sz w:val="32"/>
          <w:szCs w:val="32"/>
          <w:highlight w:val="none"/>
        </w:rPr>
        <w:fldChar w:fldCharType="end"/>
      </w:r>
    </w:p>
    <w:p>
      <w:pPr>
        <w:pStyle w:val="style0"/>
        <w:widowControl/>
        <w:spacing w:lineRule="exact" w:line="600"/>
        <w:ind w:firstLine="632" w:firstLineChars="200"/>
        <w:rPr>
          <w:rFonts w:ascii="仿宋" w:cs="仿宋" w:eastAsia="仿宋" w:hAnsi="仿宋" w:hint="eastAsia"/>
          <w:spacing w:val="-2"/>
          <w:sz w:val="32"/>
          <w:szCs w:val="32"/>
          <w:highlight w:val="none"/>
        </w:rPr>
      </w:pPr>
      <w:r>
        <w:rPr>
          <w:rFonts w:ascii="仿宋" w:cs="仿宋" w:eastAsia="仿宋" w:hAnsi="仿宋" w:hint="eastAsia"/>
          <w:b/>
          <w:spacing w:val="-2"/>
          <w:sz w:val="32"/>
          <w:szCs w:val="32"/>
          <w:highlight w:val="none"/>
        </w:rPr>
        <w:t>（二）专项支出</w:t>
      </w:r>
    </w:p>
    <w:p>
      <w:pPr>
        <w:pStyle w:val="style0"/>
        <w:widowControl/>
        <w:shd w:val="clear" w:color="auto" w:fill="ffffff"/>
        <w:spacing w:lineRule="atLeast" w:line="600"/>
        <w:ind w:firstLine="640"/>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1、专项资金安排落实、总投入等情况</w:t>
      </w:r>
    </w:p>
    <w:p>
      <w:pPr>
        <w:pStyle w:val="style0"/>
        <w:widowControl/>
        <w:spacing w:lineRule="exact" w:line="600"/>
        <w:ind w:firstLine="640" w:firstLineChars="200"/>
        <w:jc w:val="both"/>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rPr>
        <w:t>20</w:t>
      </w:r>
      <w:r>
        <w:rPr>
          <w:rFonts w:ascii="仿宋" w:cs="仿宋" w:eastAsia="仿宋" w:hAnsi="仿宋" w:hint="eastAsia"/>
          <w:sz w:val="32"/>
          <w:szCs w:val="32"/>
          <w:highlight w:val="none"/>
          <w:lang w:val="en-US" w:eastAsia="zh-CN"/>
        </w:rPr>
        <w:t>21</w:t>
      </w:r>
      <w:r>
        <w:rPr>
          <w:rFonts w:ascii="仿宋" w:cs="仿宋" w:eastAsia="仿宋" w:hAnsi="仿宋" w:hint="eastAsia"/>
          <w:sz w:val="32"/>
          <w:szCs w:val="32"/>
          <w:highlight w:val="none"/>
        </w:rPr>
        <w:t>年度我</w:t>
      </w:r>
      <w:r>
        <w:rPr>
          <w:rFonts w:ascii="仿宋" w:cs="仿宋" w:eastAsia="仿宋" w:hAnsi="仿宋" w:hint="eastAsia"/>
          <w:sz w:val="32"/>
          <w:szCs w:val="32"/>
          <w:highlight w:val="none"/>
          <w:lang w:val="en-US" w:eastAsia="zh-CN"/>
        </w:rPr>
        <w:t>校项目</w:t>
      </w:r>
      <w:r>
        <w:rPr>
          <w:rFonts w:ascii="仿宋" w:cs="仿宋" w:eastAsia="仿宋" w:hAnsi="仿宋" w:hint="eastAsia"/>
          <w:sz w:val="32"/>
          <w:szCs w:val="32"/>
          <w:highlight w:val="none"/>
        </w:rPr>
        <w:t>资金</w:t>
      </w:r>
      <w:r>
        <w:rPr>
          <w:rFonts w:ascii="仿宋" w:cs="仿宋" w:eastAsia="仿宋" w:hAnsi="仿宋" w:hint="eastAsia"/>
          <w:sz w:val="32"/>
          <w:szCs w:val="32"/>
          <w:highlight w:val="none"/>
          <w:lang w:val="en-US" w:eastAsia="zh-CN"/>
        </w:rPr>
        <w:t>预算收入1,841.08</w:t>
      </w:r>
      <w:r>
        <w:rPr>
          <w:rFonts w:ascii="仿宋" w:cs="仿宋" w:eastAsia="仿宋" w:hAnsi="仿宋" w:hint="eastAsia"/>
          <w:sz w:val="32"/>
          <w:szCs w:val="32"/>
          <w:highlight w:val="none"/>
        </w:rPr>
        <w:t>万元，</w:t>
      </w:r>
      <w:r>
        <w:rPr>
          <w:rFonts w:ascii="仿宋" w:cs="仿宋" w:eastAsia="仿宋" w:hAnsi="仿宋" w:hint="eastAsia"/>
          <w:sz w:val="32"/>
          <w:szCs w:val="32"/>
          <w:highlight w:val="none"/>
          <w:lang w:val="en-US" w:eastAsia="zh-CN"/>
        </w:rPr>
        <w:t>2021年实际收到项目资金1,841.08万元,</w:t>
      </w:r>
      <w:r>
        <w:rPr>
          <w:rFonts w:ascii="仿宋" w:cs="仿宋" w:eastAsia="仿宋" w:hAnsi="仿宋" w:hint="eastAsia"/>
          <w:sz w:val="32"/>
          <w:szCs w:val="32"/>
          <w:highlight w:val="none"/>
        </w:rPr>
        <w:t>均为财政专项资金项目</w:t>
      </w:r>
      <w:r>
        <w:rPr>
          <w:rFonts w:ascii="仿宋" w:cs="仿宋" w:eastAsia="仿宋" w:hAnsi="仿宋" w:hint="eastAsia"/>
          <w:sz w:val="32"/>
          <w:szCs w:val="32"/>
          <w:highlight w:val="none"/>
          <w:lang w:eastAsia="zh-CN"/>
        </w:rPr>
        <w:t>，</w:t>
      </w:r>
      <w:r>
        <w:rPr>
          <w:rFonts w:ascii="仿宋" w:cs="仿宋" w:eastAsia="仿宋" w:hAnsi="仿宋" w:hint="eastAsia"/>
          <w:sz w:val="32"/>
          <w:szCs w:val="32"/>
          <w:highlight w:val="none"/>
          <w:lang w:val="en-US" w:eastAsia="zh-CN"/>
        </w:rPr>
        <w:t>资金到位率100%。其中：</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高考考点经费预算收入9.00万元，实际收入9.00万元，资金到位率100%；</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校方责任险预算收入3.80万元，实际收入3.80万元，资金到位率100%；</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校园保安费预算收入21.80万元，实际收入21.80万元，资金到位率100%；</w:t>
      </w:r>
    </w:p>
    <w:p>
      <w:pPr>
        <w:pStyle w:val="style0"/>
        <w:widowControl/>
        <w:spacing w:lineRule="exact" w:line="600"/>
        <w:ind w:firstLine="640" w:firstLineChars="200"/>
        <w:jc w:val="both"/>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lang w:val="en-US" w:eastAsia="zh-CN"/>
        </w:rPr>
        <w:t>文化广场改造项目2021预算收入200.00万元,2021年实际收入200.00万元</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学生公寓建设预算收入1,300.00万元，实际收入1,300.00万元，资金到位率100%。</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两馆及周边附属设施维修改造项目预算收入300.00万元,实际收入300.00万元</w:t>
      </w:r>
    </w:p>
    <w:p>
      <w:pPr>
        <w:pStyle w:val="style0"/>
        <w:widowControl/>
        <w:shd w:val="clear" w:color="auto" w:fill="ffffff"/>
        <w:spacing w:lineRule="atLeast" w:line="600"/>
        <w:ind w:firstLine="64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省级师培预算收入6.48万元,实际收入6.48万元</w:t>
      </w:r>
    </w:p>
    <w:p>
      <w:pPr>
        <w:pStyle w:val="style0"/>
        <w:widowControl/>
        <w:shd w:val="clear" w:color="auto" w:fill="ffffff"/>
        <w:spacing w:lineRule="atLeast" w:line="600"/>
        <w:ind w:firstLine="640"/>
        <w:rPr>
          <w:rFonts w:ascii="仿宋" w:cs="仿宋" w:eastAsia="仿宋" w:hAnsi="仿宋" w:hint="eastAsia"/>
          <w:b/>
          <w:spacing w:val="-2"/>
          <w:sz w:val="32"/>
          <w:szCs w:val="32"/>
          <w:highlight w:val="none"/>
          <w:lang w:val="en-US" w:eastAsia="zh-CN"/>
        </w:rPr>
      </w:pPr>
      <w:r>
        <w:rPr>
          <w:rFonts w:ascii="仿宋" w:cs="仿宋" w:eastAsia="仿宋" w:hAnsi="仿宋" w:hint="eastAsia"/>
          <w:b/>
          <w:spacing w:val="-2"/>
          <w:sz w:val="32"/>
          <w:szCs w:val="32"/>
          <w:highlight w:val="none"/>
        </w:rPr>
        <w:t>2、专项资金实际使用情况</w:t>
      </w:r>
      <w:r>
        <w:rPr>
          <w:rFonts w:ascii="仿宋" w:cs="仿宋" w:eastAsia="仿宋" w:hAnsi="仿宋" w:hint="eastAsia"/>
          <w:b/>
          <w:spacing w:val="-2"/>
          <w:sz w:val="32"/>
          <w:szCs w:val="32"/>
          <w:highlight w:val="none"/>
          <w:lang w:val="en-US" w:eastAsia="zh-CN"/>
        </w:rPr>
        <w:t>分析</w:t>
      </w:r>
    </w:p>
    <w:p>
      <w:pPr>
        <w:pStyle w:val="style0"/>
        <w:widowControl/>
        <w:spacing w:lineRule="exact" w:line="600"/>
        <w:ind w:firstLine="640" w:firstLineChars="200"/>
        <w:jc w:val="both"/>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lang w:val="en-US" w:eastAsia="zh-CN"/>
        </w:rPr>
        <w:t>2021年项目支出总合计593.41万元，其中：</w:t>
      </w:r>
    </w:p>
    <w:p>
      <w:pPr>
        <w:pStyle w:val="style0"/>
        <w:widowControl/>
        <w:spacing w:lineRule="exact" w:line="600"/>
        <w:ind w:firstLine="640" w:firstLineChars="200"/>
        <w:jc w:val="both"/>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lang w:val="en-US" w:eastAsia="zh-CN"/>
        </w:rPr>
        <w:t>（1）高考考点经费预算支出9.00万元，实际支出11.64万元,超预算2.64万元,超预算29.33%;</w:t>
      </w:r>
    </w:p>
    <w:p>
      <w:pPr>
        <w:pStyle w:val="style0"/>
        <w:widowControl/>
        <w:spacing w:lineRule="exact" w:line="600"/>
        <w:ind w:firstLine="640" w:firstLineChars="200"/>
        <w:jc w:val="both"/>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lang w:val="en-US" w:eastAsia="zh-CN"/>
        </w:rPr>
        <w:t>（2）校方责任险预算支出3.80万元，实际支出3.83万元,较预算超支0.03万元,超支率为0.79%;</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（3）校园保安费预算支出21.80万元，实际支出32.59万元,超预算10.79万元,超预算49.50%;</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（4）学生公寓建设预算支出106.11万元，实际支出106.11万元，完成率100%；</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（5）高压线路改迁2020结转和结余32.21万元(2019年预算支出59.00万元,2019年实际支出2.06万元,2020年实际支出24.73万元),2021年实际支出42.06万元；</w:t>
      </w:r>
    </w:p>
    <w:p>
      <w:pPr>
        <w:pStyle w:val="style0"/>
        <w:widowControl/>
        <w:spacing w:lineRule="exact" w:line="600"/>
        <w:ind w:firstLine="640" w:firstLineChars="200"/>
        <w:jc w:val="both"/>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lang w:val="en-US" w:eastAsia="zh-CN"/>
        </w:rPr>
        <w:t>（6）机器人实验室2020年结转和结余100.00万元(2019年预算100万元),2021实际支出93.03万元,预算结余6.97万元,预算节约率6.97%;</w:t>
      </w:r>
    </w:p>
    <w:p>
      <w:pPr>
        <w:pStyle w:val="style0"/>
        <w:widowControl/>
        <w:spacing w:lineRule="exact" w:line="600"/>
        <w:ind w:firstLine="640" w:firstLineChars="200"/>
        <w:jc w:val="both"/>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lang w:val="en-US" w:eastAsia="zh-CN"/>
        </w:rPr>
        <w:t>（7）食堂改造及设施购置项目2020年结转和结余100.00万元,2021年实际支出97.72万元,预算结余2.28万元,节约率2.28%;</w:t>
      </w:r>
    </w:p>
    <w:p>
      <w:pPr>
        <w:pStyle w:val="style0"/>
        <w:widowControl/>
        <w:spacing w:lineRule="exact" w:line="600"/>
        <w:ind w:firstLine="640" w:firstLineChars="200"/>
        <w:jc w:val="both"/>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（8）2021年省级师培预算支出6.48万元,2021年实际支出6.48万元</w:t>
      </w:r>
    </w:p>
    <w:p>
      <w:pPr>
        <w:pStyle w:val="style0"/>
        <w:widowControl/>
        <w:spacing w:lineRule="exact" w:line="600"/>
        <w:ind w:firstLine="640" w:firstLineChars="200"/>
        <w:jc w:val="both"/>
        <w:rPr>
          <w:rFonts w:ascii="仿宋" w:cs="仿宋" w:eastAsia="仿宋" w:hAnsi="仿宋" w:hint="default"/>
          <w:sz w:val="32"/>
          <w:szCs w:val="32"/>
          <w:highlight w:val="none"/>
          <w:lang w:val="en-US" w:eastAsia="zh-CN"/>
        </w:rPr>
      </w:pPr>
      <w:r>
        <w:rPr>
          <w:rFonts w:ascii="仿宋" w:cs="仿宋" w:eastAsia="仿宋" w:hAnsi="仿宋" w:hint="eastAsia"/>
          <w:sz w:val="32"/>
          <w:szCs w:val="32"/>
          <w:highlight w:val="none"/>
          <w:lang w:val="en-US" w:eastAsia="zh-CN"/>
        </w:rPr>
        <w:t>（9）两馆及周边附属设施维修改造项目预算支出228.91万元,实际支出228.91万元</w:t>
      </w:r>
    </w:p>
    <w:p>
      <w:pPr>
        <w:pStyle w:val="style0"/>
        <w:widowControl/>
        <w:shd w:val="clear" w:color="auto" w:fill="ffffff"/>
        <w:spacing w:lineRule="atLeast" w:line="600"/>
        <w:ind w:firstLine="640"/>
        <w:rPr>
          <w:rFonts w:ascii="仿宋" w:cs="仿宋" w:eastAsia="仿宋" w:hAnsi="仿宋" w:hint="eastAsia"/>
          <w:b/>
          <w:spacing w:val="-2"/>
          <w:sz w:val="32"/>
          <w:szCs w:val="32"/>
          <w:highlight w:val="none"/>
          <w:lang w:val="en-US" w:eastAsia="zh-CN"/>
        </w:rPr>
      </w:pPr>
      <w:r>
        <w:rPr>
          <w:rFonts w:ascii="仿宋" w:cs="仿宋" w:eastAsia="仿宋" w:hAnsi="仿宋" w:hint="eastAsia"/>
          <w:b/>
          <w:spacing w:val="-2"/>
          <w:sz w:val="32"/>
          <w:szCs w:val="32"/>
          <w:highlight w:val="none"/>
        </w:rPr>
        <w:t>3、专项资金管理情况</w:t>
      </w:r>
      <w:r>
        <w:rPr>
          <w:rFonts w:ascii="仿宋" w:cs="仿宋" w:eastAsia="仿宋" w:hAnsi="仿宋" w:hint="eastAsia"/>
          <w:b/>
          <w:spacing w:val="-2"/>
          <w:sz w:val="32"/>
          <w:szCs w:val="32"/>
          <w:highlight w:val="none"/>
          <w:lang w:val="en-US" w:eastAsia="zh-CN"/>
        </w:rPr>
        <w:t>分析</w:t>
      </w:r>
    </w:p>
    <w:p>
      <w:pPr>
        <w:pStyle w:val="style0"/>
        <w:widowControl/>
        <w:numPr>
          <w:ilvl w:val="0"/>
          <w:numId w:val="0"/>
        </w:numPr>
        <w:spacing w:lineRule="exact" w:line="600"/>
        <w:ind w:firstLine="632" w:firstLineChars="200"/>
        <w:rPr>
          <w:rFonts w:ascii="仿宋" w:cs="仿宋" w:eastAsia="仿宋" w:hAnsi="仿宋" w:hint="eastAsia"/>
          <w:b/>
          <w:spacing w:val="-2"/>
          <w:sz w:val="32"/>
          <w:szCs w:val="32"/>
          <w:highlight w:val="none"/>
        </w:rPr>
      </w:pPr>
      <w:r>
        <w:rPr>
          <w:rFonts w:ascii="仿宋" w:cs="仿宋" w:eastAsia="仿宋" w:hAnsi="仿宋" w:hint="eastAsia"/>
          <w:spacing w:val="-2"/>
          <w:sz w:val="32"/>
          <w:szCs w:val="32"/>
          <w:highlight w:val="none"/>
          <w:lang w:val="en-US" w:eastAsia="zh-CN"/>
        </w:rPr>
        <w:t>专项业务费由教务处、财务处按照《财政专项资金管理办法》执行，</w:t>
      </w:r>
      <w:r>
        <w:rPr>
          <w:rFonts w:ascii="仿宋" w:cs="仿宋" w:eastAsia="仿宋" w:hAnsi="仿宋" w:hint="eastAsia"/>
          <w:spacing w:val="-2"/>
          <w:sz w:val="32"/>
          <w:szCs w:val="32"/>
          <w:highlight w:val="none"/>
          <w:lang w:eastAsia="zh-CN"/>
        </w:rPr>
        <w:t>专项</w:t>
      </w:r>
      <w:r>
        <w:rPr>
          <w:rFonts w:ascii="仿宋" w:cs="仿宋" w:eastAsia="仿宋" w:hAnsi="仿宋" w:hint="eastAsia"/>
          <w:spacing w:val="-2"/>
          <w:sz w:val="32"/>
          <w:szCs w:val="32"/>
          <w:highlight w:val="none"/>
          <w:lang w:val="en-US" w:eastAsia="zh-CN"/>
        </w:rPr>
        <w:t>工程项目</w:t>
      </w:r>
      <w:r>
        <w:rPr>
          <w:rFonts w:ascii="仿宋" w:cs="仿宋" w:eastAsia="仿宋" w:hAnsi="仿宋" w:hint="eastAsia"/>
          <w:spacing w:val="-2"/>
          <w:sz w:val="32"/>
          <w:szCs w:val="32"/>
          <w:highlight w:val="none"/>
          <w:lang w:eastAsia="zh-CN"/>
        </w:rPr>
        <w:t>资金由财政根据工程结算单、工程验收报告及怀化市审计局的工程审计报告直接支付给工程施工单位。</w:t>
      </w:r>
    </w:p>
    <w:p>
      <w:pPr>
        <w:pStyle w:val="style0"/>
        <w:widowControl/>
        <w:numPr>
          <w:ilvl w:val="0"/>
          <w:numId w:val="2"/>
        </w:numPr>
        <w:spacing w:lineRule="exact" w:line="600"/>
        <w:ind w:firstLine="632" w:firstLineChars="200"/>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部门专项组织实施情况</w:t>
      </w:r>
    </w:p>
    <w:p>
      <w:pPr>
        <w:pStyle w:val="style0"/>
        <w:widowControl/>
        <w:numPr>
          <w:ilvl w:val="0"/>
          <w:numId w:val="3"/>
        </w:numPr>
        <w:spacing w:lineRule="exact" w:line="600"/>
        <w:ind w:left="469" w:leftChars="0" w:firstLine="0" w:firstLineChars="0"/>
        <w:rPr>
          <w:rFonts w:ascii="仿宋" w:cs="仿宋" w:eastAsia="仿宋" w:hAnsi="仿宋" w:hint="eastAsia"/>
          <w:b/>
          <w:spacing w:val="-2"/>
          <w:sz w:val="32"/>
          <w:szCs w:val="32"/>
          <w:highlight w:val="none"/>
          <w:lang w:val="en-US" w:eastAsia="zh-CN"/>
        </w:rPr>
      </w:pPr>
      <w:r>
        <w:rPr>
          <w:rFonts w:ascii="仿宋" w:cs="仿宋" w:eastAsia="仿宋" w:hAnsi="仿宋" w:hint="eastAsia"/>
          <w:b/>
          <w:spacing w:val="-2"/>
          <w:sz w:val="32"/>
          <w:szCs w:val="32"/>
          <w:highlight w:val="none"/>
          <w:lang w:val="en-US" w:eastAsia="zh-CN"/>
        </w:rPr>
        <w:t>专项组织情况分析</w:t>
      </w:r>
    </w:p>
    <w:p>
      <w:pPr>
        <w:pStyle w:val="style0"/>
        <w:widowControl/>
        <w:numPr>
          <w:ilvl w:val="0"/>
          <w:numId w:val="4"/>
        </w:numPr>
        <w:spacing w:lineRule="exact" w:line="600"/>
        <w:ind w:firstLine="640" w:firstLineChars="200"/>
        <w:rPr>
          <w:rFonts w:ascii="仿宋" w:cs="仿宋" w:eastAsia="仿宋" w:hAnsi="仿宋" w:hint="eastAsia"/>
          <w:sz w:val="32"/>
          <w:szCs w:val="32"/>
          <w:highlight w:val="none"/>
          <w:lang w:eastAsia="zh-CN"/>
        </w:rPr>
      </w:pPr>
      <w:r>
        <w:rPr>
          <w:rFonts w:ascii="仿宋" w:cs="仿宋" w:eastAsia="仿宋" w:hAnsi="仿宋" w:hint="eastAsia"/>
          <w:sz w:val="32"/>
          <w:szCs w:val="32"/>
          <w:highlight w:val="none"/>
          <w:lang w:val="en-US" w:eastAsia="zh-CN"/>
        </w:rPr>
        <w:t>我校对有助于教育质量提高的项目首先进行可行性研究，并向怀化市发展和改革委员会报送立项报告，取得怀化市发展和改革委员会批复。其次，由怀化市财政局投资评审管</w:t>
      </w:r>
      <w:r>
        <w:rPr>
          <w:rFonts w:ascii="仿宋" w:cs="仿宋" w:eastAsia="仿宋" w:hAnsi="仿宋" w:hint="eastAsia"/>
          <w:sz w:val="32"/>
          <w:szCs w:val="32"/>
          <w:highlight w:val="none"/>
        </w:rPr>
        <w:t>理办公室对工程进行预算，然后通过</w:t>
      </w:r>
      <w:r>
        <w:rPr>
          <w:rFonts w:ascii="仿宋" w:cs="仿宋" w:eastAsia="仿宋" w:hAnsi="仿宋" w:hint="eastAsia"/>
          <w:sz w:val="32"/>
          <w:szCs w:val="32"/>
          <w:highlight w:val="none"/>
          <w:lang w:eastAsia="zh-CN"/>
        </w:rPr>
        <w:t>代理</w:t>
      </w:r>
      <w:r>
        <w:rPr>
          <w:rFonts w:ascii="仿宋" w:cs="仿宋" w:eastAsia="仿宋" w:hAnsi="仿宋" w:hint="eastAsia"/>
          <w:sz w:val="32"/>
          <w:szCs w:val="32"/>
          <w:highlight w:val="none"/>
        </w:rPr>
        <w:t>招投标</w:t>
      </w:r>
      <w:r>
        <w:rPr>
          <w:rFonts w:ascii="仿宋" w:cs="仿宋" w:eastAsia="仿宋" w:hAnsi="仿宋" w:hint="eastAsia"/>
          <w:sz w:val="32"/>
          <w:szCs w:val="32"/>
          <w:highlight w:val="none"/>
          <w:lang w:eastAsia="zh-CN"/>
        </w:rPr>
        <w:t>的中介机构进行</w:t>
      </w:r>
      <w:r>
        <w:rPr>
          <w:rFonts w:ascii="仿宋" w:cs="仿宋" w:eastAsia="仿宋" w:hAnsi="仿宋" w:hint="eastAsia"/>
          <w:sz w:val="32"/>
          <w:szCs w:val="32"/>
          <w:highlight w:val="none"/>
        </w:rPr>
        <w:t>公开招标，</w:t>
      </w:r>
      <w:r>
        <w:rPr>
          <w:rFonts w:ascii="仿宋" w:cs="仿宋" w:eastAsia="仿宋" w:hAnsi="仿宋" w:hint="eastAsia"/>
          <w:sz w:val="32"/>
          <w:szCs w:val="32"/>
          <w:highlight w:val="none"/>
          <w:lang w:eastAsia="zh-CN"/>
        </w:rPr>
        <w:t>确定中标单位。</w:t>
      </w:r>
    </w:p>
    <w:p>
      <w:pPr>
        <w:pStyle w:val="style0"/>
        <w:widowControl/>
        <w:numPr>
          <w:ilvl w:val="0"/>
          <w:numId w:val="4"/>
        </w:numPr>
        <w:spacing w:lineRule="exact" w:line="600"/>
        <w:ind w:firstLine="640" w:firstLineChars="200"/>
        <w:rPr>
          <w:rFonts w:ascii="仿宋" w:cs="仿宋" w:eastAsia="仿宋" w:hAnsi="仿宋" w:hint="eastAsia"/>
          <w:sz w:val="32"/>
          <w:szCs w:val="32"/>
          <w:highlight w:val="none"/>
          <w:lang w:eastAsia="zh-CN"/>
        </w:rPr>
      </w:pPr>
      <w:r>
        <w:rPr>
          <w:rFonts w:ascii="仿宋" w:cs="仿宋" w:eastAsia="仿宋" w:hAnsi="仿宋" w:hint="eastAsia"/>
          <w:sz w:val="32"/>
          <w:szCs w:val="32"/>
          <w:highlight w:val="none"/>
          <w:lang w:eastAsia="zh-CN"/>
        </w:rPr>
        <w:t>在施工过程中，对因各种原因造成的设计和预算不合理，需要对原设计和预算进行变更调整的，按规定填写设计变更调整单，并由工程施工图纸设计方、工程监理方、施工方和我校在工程设计变更调整单上签字。</w:t>
      </w:r>
    </w:p>
    <w:p>
      <w:pPr>
        <w:pStyle w:val="style0"/>
        <w:widowControl/>
        <w:numPr>
          <w:ilvl w:val="0"/>
          <w:numId w:val="0"/>
        </w:numPr>
        <w:spacing w:lineRule="exact" w:line="600"/>
        <w:rPr>
          <w:rFonts w:ascii="仿宋" w:cs="仿宋" w:eastAsia="仿宋" w:hAnsi="仿宋" w:hint="eastAsia"/>
          <w:sz w:val="32"/>
          <w:szCs w:val="32"/>
          <w:highlight w:val="none"/>
          <w:lang w:val="en-US" w:eastAsia="zh-CN"/>
        </w:rPr>
      </w:pPr>
      <w:r>
        <w:rPr>
          <w:rFonts w:ascii="仿宋" w:cs="仿宋" w:eastAsia="仿宋" w:hAnsi="仿宋" w:hint="eastAsia"/>
          <w:sz w:val="32"/>
          <w:szCs w:val="32"/>
          <w:highlight w:val="none"/>
          <w:lang w:val="en-US" w:eastAsia="zh-CN"/>
        </w:rPr>
        <w:t xml:space="preserve">   3、工程竣工后，我校会同相关职能部门、</w:t>
      </w:r>
      <w:r>
        <w:rPr>
          <w:rFonts w:ascii="仿宋" w:cs="仿宋" w:eastAsia="仿宋" w:hAnsi="仿宋" w:hint="eastAsia"/>
          <w:sz w:val="32"/>
          <w:szCs w:val="32"/>
          <w:highlight w:val="none"/>
          <w:lang w:eastAsia="zh-CN"/>
        </w:rPr>
        <w:t>工程监理方、施工方对项目工程进行竣工验收，出具竣工验收报告。对竣工交付验收不合格的要求施工方进行整改，整改合格后交相关部门使用。</w:t>
      </w:r>
    </w:p>
    <w:p>
      <w:pPr>
        <w:pStyle w:val="style0"/>
        <w:widowControl/>
        <w:numPr>
          <w:ilvl w:val="0"/>
          <w:numId w:val="3"/>
        </w:numPr>
        <w:spacing w:lineRule="exact" w:line="600"/>
        <w:ind w:left="469" w:leftChars="0" w:firstLine="0" w:firstLineChars="0"/>
        <w:rPr>
          <w:rFonts w:ascii="仿宋" w:cs="仿宋" w:eastAsia="仿宋" w:hAnsi="仿宋" w:hint="eastAsia"/>
          <w:b/>
          <w:bCs/>
          <w:sz w:val="32"/>
          <w:szCs w:val="32"/>
          <w:highlight w:val="none"/>
          <w:lang w:val="en-US" w:eastAsia="zh-CN"/>
        </w:rPr>
      </w:pPr>
      <w:r>
        <w:rPr>
          <w:rFonts w:ascii="仿宋" w:cs="仿宋" w:eastAsia="仿宋" w:hAnsi="仿宋" w:hint="eastAsia"/>
          <w:b/>
          <w:bCs/>
          <w:sz w:val="32"/>
          <w:szCs w:val="32"/>
          <w:highlight w:val="none"/>
          <w:lang w:val="en-US" w:eastAsia="zh-CN"/>
        </w:rPr>
        <w:t>专项管理情况分析</w:t>
      </w:r>
    </w:p>
    <w:p>
      <w:pPr>
        <w:pStyle w:val="style0"/>
        <w:widowControl/>
        <w:shd w:val="clear" w:color="auto" w:fill="ffffff"/>
        <w:spacing w:lineRule="atLeast" w:line="600"/>
        <w:ind w:firstLine="640"/>
        <w:rPr>
          <w:rFonts w:ascii="仿宋" w:cs="仿宋" w:eastAsia="仿宋" w:hAnsi="仿宋" w:hint="eastAsia"/>
          <w:b/>
          <w:bCs/>
          <w:sz w:val="32"/>
          <w:szCs w:val="32"/>
          <w:highlight w:val="none"/>
          <w:lang w:val="en-US" w:eastAsia="zh-CN"/>
        </w:rPr>
      </w:pPr>
      <w:r>
        <w:rPr>
          <w:rFonts w:ascii="仿宋" w:cs="仿宋" w:eastAsia="仿宋" w:hAnsi="仿宋" w:hint="eastAsia"/>
          <w:spacing w:val="-2"/>
          <w:sz w:val="32"/>
          <w:szCs w:val="32"/>
          <w:highlight w:val="none"/>
        </w:rPr>
        <w:t>加强专项项目管理，</w:t>
      </w:r>
      <w:r>
        <w:rPr>
          <w:rFonts w:ascii="仿宋" w:cs="仿宋" w:eastAsia="仿宋" w:hAnsi="仿宋" w:hint="eastAsia"/>
          <w:sz w:val="32"/>
          <w:szCs w:val="32"/>
          <w:highlight w:val="none"/>
        </w:rPr>
        <w:t>我校专门成立基建办，制定了《科教楼建设工程管理办法》</w:t>
      </w:r>
      <w:r>
        <w:rPr>
          <w:rFonts w:ascii="仿宋" w:cs="仿宋" w:eastAsia="仿宋" w:hAnsi="仿宋" w:hint="eastAsia"/>
          <w:sz w:val="32"/>
          <w:szCs w:val="32"/>
          <w:highlight w:val="none"/>
          <w:lang w:eastAsia="zh-CN"/>
        </w:rPr>
        <w:t>、《</w:t>
      </w:r>
      <w:r>
        <w:rPr>
          <w:rFonts w:ascii="仿宋" w:cs="仿宋" w:eastAsia="仿宋" w:hAnsi="仿宋" w:hint="eastAsia"/>
          <w:spacing w:val="-2"/>
          <w:sz w:val="32"/>
          <w:szCs w:val="32"/>
          <w:highlight w:val="none"/>
        </w:rPr>
        <w:t>新建教学楼管理办法》、《大型修缮管理办法》等多项专项业务管理办法，各专项业务按照国家相关法律法规、主管部门相关文件精神、业务管理制度和专项资金管理办法实施，并按照相关质量控制体系要求实施专项项目。</w:t>
      </w:r>
    </w:p>
    <w:p>
      <w:pPr>
        <w:pStyle w:val="style0"/>
        <w:ind w:firstLine="640" w:firstLineChars="200"/>
        <w:rPr>
          <w:rFonts w:ascii="仿宋" w:cs="仿宋" w:eastAsia="仿宋" w:hAnsi="仿宋" w:hint="eastAsia"/>
          <w:sz w:val="32"/>
          <w:szCs w:val="32"/>
          <w:highlight w:val="none"/>
        </w:rPr>
      </w:pPr>
      <w:r>
        <w:rPr>
          <w:rFonts w:ascii="仿宋" w:cs="仿宋" w:eastAsia="仿宋" w:hAnsi="仿宋" w:hint="eastAsia"/>
          <w:sz w:val="32"/>
          <w:szCs w:val="32"/>
          <w:highlight w:val="none"/>
        </w:rPr>
        <w:t>为保证工程实施质量，校领导、办公室、基建办经常深入工地督导工作，</w:t>
      </w:r>
      <w:r>
        <w:rPr>
          <w:rFonts w:ascii="仿宋" w:cs="仿宋" w:eastAsia="仿宋" w:hAnsi="仿宋" w:hint="eastAsia"/>
          <w:sz w:val="32"/>
          <w:szCs w:val="32"/>
          <w:highlight w:val="none"/>
          <w:lang w:eastAsia="zh-CN"/>
        </w:rPr>
        <w:t>检查施工日志，</w:t>
      </w:r>
      <w:r>
        <w:rPr>
          <w:rFonts w:ascii="仿宋" w:cs="仿宋" w:eastAsia="仿宋" w:hAnsi="仿宋" w:hint="eastAsia"/>
          <w:sz w:val="32"/>
          <w:szCs w:val="32"/>
          <w:highlight w:val="none"/>
        </w:rPr>
        <w:t>认真履行职责，做好项目的管理。</w:t>
      </w:r>
    </w:p>
    <w:p>
      <w:pPr>
        <w:pStyle w:val="style0"/>
        <w:widowControl/>
        <w:spacing w:lineRule="exact" w:line="600"/>
        <w:ind w:firstLine="632" w:firstLineChars="200"/>
        <w:rPr>
          <w:rFonts w:ascii="仿宋" w:cs="仿宋" w:eastAsia="仿宋" w:hAnsi="仿宋" w:hint="eastAsia"/>
          <w:spacing w:val="-2"/>
          <w:sz w:val="32"/>
          <w:szCs w:val="32"/>
          <w:highlight w:val="none"/>
        </w:rPr>
      </w:pPr>
      <w:r>
        <w:rPr>
          <w:rFonts w:ascii="仿宋" w:cs="仿宋" w:eastAsia="仿宋" w:hAnsi="仿宋" w:hint="eastAsia"/>
          <w:b/>
          <w:spacing w:val="-2"/>
          <w:sz w:val="32"/>
          <w:szCs w:val="32"/>
          <w:highlight w:val="none"/>
        </w:rPr>
        <w:t>四、资产管理情况</w:t>
      </w:r>
    </w:p>
    <w:p>
      <w:pPr>
        <w:pStyle w:val="style0"/>
        <w:widowControl/>
        <w:spacing w:lineRule="exact" w:line="560"/>
        <w:ind w:firstLine="640" w:firstLineChars="200"/>
        <w:outlineLvl w:val="0"/>
        <w:rPr>
          <w:rFonts w:ascii="仿宋" w:cs="仿宋" w:eastAsia="仿宋" w:hAnsi="仿宋" w:hint="default"/>
          <w:bCs/>
          <w:color w:val="000000"/>
          <w:kern w:val="0"/>
          <w:sz w:val="32"/>
          <w:szCs w:val="32"/>
          <w:highlight w:val="none"/>
        </w:rPr>
      </w:pPr>
      <w:r>
        <w:rPr>
          <w:rFonts w:ascii="仿宋" w:cs="仿宋" w:eastAsia="仿宋" w:hAnsi="仿宋" w:hint="eastAsia"/>
          <w:bCs/>
          <w:color w:val="000000"/>
          <w:kern w:val="0"/>
          <w:sz w:val="32"/>
          <w:szCs w:val="32"/>
          <w:highlight w:val="none"/>
        </w:rPr>
        <w:t>根据《行政单位国有资产管理暂行办法》(财政部令第35号）的规定，</w:t>
      </w:r>
      <w:r>
        <w:rPr>
          <w:rFonts w:ascii="仿宋" w:cs="仿宋" w:eastAsia="仿宋" w:hAnsi="仿宋" w:hint="eastAsia"/>
          <w:bCs/>
          <w:color w:val="000000"/>
          <w:kern w:val="0"/>
          <w:sz w:val="32"/>
          <w:szCs w:val="32"/>
          <w:highlight w:val="none"/>
          <w:lang w:val="en-US" w:eastAsia="zh-CN"/>
        </w:rPr>
        <w:t>我校</w:t>
      </w:r>
      <w:r>
        <w:rPr>
          <w:rFonts w:ascii="仿宋" w:cs="仿宋" w:eastAsia="仿宋" w:hAnsi="仿宋" w:hint="eastAsia"/>
          <w:bCs/>
          <w:color w:val="000000"/>
          <w:kern w:val="0"/>
          <w:sz w:val="32"/>
          <w:szCs w:val="32"/>
          <w:highlight w:val="none"/>
        </w:rPr>
        <w:t>建立健全资产管理的各项规章制度，有购置、申领、使用、报废处置等内部控制制度，保障资产管理落实到位。在执行中按规定落实国有资产清查、登记、上报制度，设置固定资产卡片、总账及明细账簿，并定期进行了清查盘点，及时更新国有资产管理系统，并配备专项管理人员，明确责任并履行好职责，进一步加强国有资产管理，确保国有资产安全完整有效利用。</w:t>
      </w:r>
    </w:p>
    <w:p>
      <w:pPr>
        <w:pStyle w:val="style0"/>
        <w:widowControl/>
        <w:numPr>
          <w:ilvl w:val="0"/>
          <w:numId w:val="5"/>
        </w:numPr>
        <w:spacing w:lineRule="exact" w:line="600"/>
        <w:ind w:firstLine="632" w:firstLineChars="200"/>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部门整体支出绩效情况</w:t>
      </w:r>
    </w:p>
    <w:p>
      <w:pPr>
        <w:pStyle w:val="style0"/>
        <w:widowControl/>
        <w:numPr>
          <w:ilvl w:val="0"/>
          <w:numId w:val="0"/>
        </w:numPr>
        <w:spacing w:lineRule="exact" w:line="600"/>
        <w:rPr>
          <w:rFonts w:ascii="仿宋" w:cs="仿宋" w:eastAsia="仿宋" w:hAnsi="仿宋" w:hint="eastAsia"/>
          <w:b/>
          <w:spacing w:val="-2"/>
          <w:sz w:val="32"/>
          <w:szCs w:val="32"/>
          <w:highlight w:val="none"/>
          <w:lang w:val="en-US" w:eastAsia="zh-CN"/>
        </w:rPr>
      </w:pPr>
      <w:r>
        <w:rPr>
          <w:rFonts w:ascii="仿宋" w:cs="仿宋" w:eastAsia="仿宋" w:hAnsi="仿宋" w:hint="eastAsia"/>
          <w:b/>
          <w:spacing w:val="-2"/>
          <w:sz w:val="32"/>
          <w:szCs w:val="32"/>
          <w:highlight w:val="none"/>
          <w:lang w:val="en-US" w:eastAsia="zh-CN"/>
        </w:rPr>
        <w:t xml:space="preserve">    （一）成本（预算）控制、节约情况</w:t>
      </w:r>
    </w:p>
    <w:p>
      <w:pPr>
        <w:pStyle w:val="style0"/>
        <w:widowControl/>
        <w:spacing w:lineRule="exact" w:line="560"/>
        <w:ind w:firstLine="640" w:firstLineChars="200"/>
        <w:outlineLvl w:val="0"/>
        <w:rPr>
          <w:rFonts w:ascii="仿宋" w:cs="仿宋" w:eastAsia="仿宋" w:hAnsi="仿宋" w:hint="eastAsia"/>
          <w:color w:val="000000"/>
          <w:kern w:val="0"/>
          <w:sz w:val="32"/>
          <w:szCs w:val="32"/>
          <w:highlight w:val="none"/>
          <w:lang w:eastAsia="zh-CN"/>
        </w:rPr>
      </w:pPr>
      <w:r>
        <w:rPr>
          <w:rFonts w:ascii="仿宋" w:cs="仿宋" w:eastAsia="仿宋" w:hAnsi="仿宋" w:hint="eastAsia"/>
          <w:bCs/>
          <w:color w:val="000000"/>
          <w:kern w:val="0"/>
          <w:sz w:val="32"/>
          <w:szCs w:val="32"/>
          <w:highlight w:val="none"/>
        </w:rPr>
        <w:t>1、本年预算配置控制较好，</w:t>
      </w:r>
      <w:r>
        <w:rPr>
          <w:rFonts w:ascii="仿宋" w:cs="仿宋" w:eastAsia="仿宋" w:hAnsi="仿宋" w:hint="eastAsia"/>
          <w:color w:val="000000"/>
          <w:kern w:val="0"/>
          <w:sz w:val="32"/>
          <w:szCs w:val="32"/>
          <w:highlight w:val="none"/>
        </w:rPr>
        <w:t>财政供养人员控制在预算编制以内，编制内在职人员控制率100.00%</w:t>
      </w:r>
      <w:r>
        <w:rPr>
          <w:rFonts w:ascii="仿宋" w:cs="仿宋" w:eastAsia="仿宋" w:hAnsi="仿宋" w:hint="eastAsia"/>
          <w:color w:val="000000"/>
          <w:kern w:val="0"/>
          <w:sz w:val="32"/>
          <w:szCs w:val="32"/>
          <w:highlight w:val="none"/>
          <w:lang w:eastAsia="zh-CN"/>
        </w:rPr>
        <w:t>。</w:t>
      </w:r>
    </w:p>
    <w:p>
      <w:pPr>
        <w:pStyle w:val="style0"/>
        <w:widowControl/>
        <w:spacing w:lineRule="exact" w:line="560"/>
        <w:ind w:firstLine="640" w:firstLineChars="200"/>
        <w:outlineLvl w:val="0"/>
        <w:rPr>
          <w:rFonts w:ascii="仿宋" w:cs="仿宋" w:eastAsia="仿宋" w:hAnsi="仿宋" w:hint="eastAsia"/>
          <w:color w:val="000000"/>
          <w:kern w:val="0"/>
          <w:sz w:val="32"/>
          <w:szCs w:val="32"/>
          <w:highlight w:val="none"/>
        </w:rPr>
      </w:pPr>
      <w:r>
        <w:rPr>
          <w:rFonts w:ascii="仿宋" w:cs="仿宋" w:eastAsia="仿宋" w:hAnsi="仿宋" w:hint="eastAsia"/>
          <w:bCs/>
          <w:color w:val="000000"/>
          <w:kern w:val="0"/>
          <w:sz w:val="32"/>
          <w:szCs w:val="32"/>
          <w:highlight w:val="none"/>
        </w:rPr>
        <w:t>2、</w:t>
      </w:r>
      <w:r>
        <w:rPr>
          <w:rFonts w:ascii="仿宋" w:cs="仿宋" w:eastAsia="仿宋" w:hAnsi="仿宋" w:hint="eastAsia"/>
          <w:bCs/>
          <w:color w:val="000000"/>
          <w:kern w:val="0"/>
          <w:sz w:val="32"/>
          <w:szCs w:val="32"/>
          <w:highlight w:val="none"/>
          <w:lang w:eastAsia="zh-CN"/>
        </w:rPr>
        <w:t>基本支出</w:t>
      </w:r>
      <w:r>
        <w:rPr>
          <w:rFonts w:ascii="仿宋" w:cs="仿宋" w:eastAsia="仿宋" w:hAnsi="仿宋" w:hint="eastAsia"/>
          <w:bCs/>
          <w:color w:val="000000"/>
          <w:kern w:val="0"/>
          <w:sz w:val="32"/>
          <w:szCs w:val="32"/>
          <w:highlight w:val="none"/>
        </w:rPr>
        <w:t>严格按预算执行，</w:t>
      </w:r>
      <w:r>
        <w:rPr>
          <w:rFonts w:ascii="仿宋" w:cs="仿宋" w:eastAsia="仿宋" w:hAnsi="仿宋" w:hint="eastAsia"/>
          <w:color w:val="000000"/>
          <w:kern w:val="0"/>
          <w:sz w:val="32"/>
          <w:szCs w:val="32"/>
          <w:highlight w:val="none"/>
        </w:rPr>
        <w:t>支出总额控制在预算总额以内，本年部门预算未进行预算相关事项的调整。</w:t>
      </w:r>
    </w:p>
    <w:p>
      <w:pPr>
        <w:pStyle w:val="style0"/>
        <w:widowControl/>
        <w:spacing w:lineRule="exact" w:line="560"/>
        <w:ind w:firstLine="640" w:firstLineChars="200"/>
        <w:outlineLvl w:val="0"/>
        <w:rPr>
          <w:rFonts w:ascii="仿宋" w:cs="宋体" w:eastAsia="仿宋" w:hAnsi="仿宋" w:hint="eastAsia"/>
          <w:kern w:val="0"/>
          <w:sz w:val="32"/>
          <w:szCs w:val="32"/>
          <w:highlight w:val="none"/>
          <w:lang w:val="en-US" w:bidi="ar-SA" w:eastAsia="zh-CN"/>
        </w:rPr>
      </w:pPr>
      <w:r>
        <w:rPr>
          <w:rFonts w:ascii="仿宋" w:cs="宋体" w:eastAsia="仿宋" w:hAnsi="仿宋" w:hint="eastAsia"/>
          <w:kern w:val="0"/>
          <w:sz w:val="32"/>
          <w:szCs w:val="32"/>
          <w:highlight w:val="none"/>
          <w:lang w:val="en-US" w:bidi="ar-SA" w:eastAsia="zh-CN"/>
        </w:rPr>
        <w:t>（1）人员经费预算3,327.44万元（工资福利支出3,096.17万元，对个人和家庭的补助231.27万元），实际支出3,327.44万元，预算支出完成率100%。</w:t>
      </w:r>
    </w:p>
    <w:p>
      <w:pPr>
        <w:pStyle w:val="style0"/>
        <w:widowControl/>
        <w:spacing w:lineRule="exact" w:line="560"/>
        <w:ind w:firstLine="640" w:firstLineChars="200"/>
        <w:outlineLvl w:val="0"/>
        <w:rPr>
          <w:rFonts w:ascii="仿宋" w:cs="宋体" w:eastAsia="仿宋" w:hAnsi="仿宋" w:hint="eastAsia"/>
          <w:kern w:val="0"/>
          <w:sz w:val="32"/>
          <w:szCs w:val="32"/>
          <w:highlight w:val="none"/>
          <w:lang w:val="en-US" w:bidi="ar-SA" w:eastAsia="zh-CN"/>
        </w:rPr>
      </w:pPr>
      <w:r>
        <w:rPr>
          <w:rFonts w:ascii="仿宋" w:cs="宋体" w:eastAsia="仿宋" w:hAnsi="仿宋" w:hint="eastAsia"/>
          <w:kern w:val="0"/>
          <w:sz w:val="32"/>
          <w:szCs w:val="32"/>
          <w:highlight w:val="none"/>
          <w:lang w:val="en-US" w:bidi="ar-SA" w:eastAsia="zh-CN"/>
        </w:rPr>
        <w:t>（2）日常公用经费预算840.01万元（商品和服务支出764.49万元，其他资本性支出75.52万元），实际支出840.01万元，预算支出完成率100%。其中三公经费预算13.55万元,实际支出0万元，节约13.55 万元；较2020年决算数0.06万元下降0.06万元，降幅100%。</w:t>
      </w:r>
    </w:p>
    <w:p>
      <w:pPr>
        <w:pStyle w:val="style0"/>
        <w:widowControl/>
        <w:spacing w:lineRule="exact" w:line="560"/>
        <w:ind w:firstLine="640" w:firstLineChars="200"/>
        <w:outlineLvl w:val="0"/>
        <w:rPr>
          <w:rFonts w:ascii="仿宋" w:cs="宋体" w:eastAsia="仿宋" w:hAnsi="仿宋" w:hint="eastAsia"/>
          <w:kern w:val="0"/>
          <w:sz w:val="32"/>
          <w:szCs w:val="32"/>
          <w:highlight w:val="none"/>
          <w:lang w:val="en-US" w:bidi="ar-SA" w:eastAsia="zh-CN"/>
        </w:rPr>
      </w:pPr>
      <w:r>
        <w:rPr>
          <w:rFonts w:ascii="仿宋" w:cs="宋体" w:eastAsia="仿宋" w:hAnsi="仿宋" w:hint="eastAsia"/>
          <w:kern w:val="0"/>
          <w:sz w:val="32"/>
          <w:szCs w:val="32"/>
          <w:highlight w:val="none"/>
          <w:lang w:val="en-US" w:bidi="ar-SA" w:eastAsia="zh-CN"/>
        </w:rPr>
        <w:t>3、项目支出总体上严格按预算执行，支出总额控制在预算总额的一定范围内。但由于项目结算夸年度的问题，分</w:t>
      </w:r>
    </w:p>
    <w:p>
      <w:pPr>
        <w:pStyle w:val="style0"/>
        <w:widowControl/>
        <w:spacing w:lineRule="exact" w:line="560"/>
        <w:outlineLvl w:val="0"/>
        <w:rPr>
          <w:rFonts w:ascii="仿宋" w:cs="宋体" w:eastAsia="仿宋" w:hAnsi="仿宋" w:hint="eastAsia"/>
          <w:kern w:val="0"/>
          <w:sz w:val="32"/>
          <w:szCs w:val="32"/>
          <w:highlight w:val="none"/>
          <w:lang w:val="en-US" w:bidi="ar-SA" w:eastAsia="zh-CN"/>
        </w:rPr>
      </w:pPr>
      <w:r>
        <w:rPr>
          <w:rFonts w:ascii="仿宋" w:cs="宋体" w:eastAsia="仿宋" w:hAnsi="仿宋" w:hint="eastAsia"/>
          <w:kern w:val="0"/>
          <w:sz w:val="32"/>
          <w:szCs w:val="32"/>
          <w:highlight w:val="none"/>
          <w:lang w:val="en-US" w:bidi="ar-SA" w:eastAsia="zh-CN"/>
        </w:rPr>
        <w:t>年度的实际支出较预算支出波动较大。</w:t>
      </w:r>
    </w:p>
    <w:p>
      <w:pPr>
        <w:pStyle w:val="style0"/>
        <w:widowControl/>
        <w:shd w:val="clear" w:color="auto" w:fill="ffffff"/>
        <w:spacing w:lineRule="atLeast" w:line="600"/>
        <w:ind w:firstLine="316" w:firstLineChars="10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 xml:space="preserve">  </w:t>
      </w:r>
      <w:r>
        <w:rPr>
          <w:rFonts w:ascii="仿宋" w:cs="仿宋" w:eastAsia="仿宋" w:hAnsi="仿宋" w:hint="eastAsia"/>
          <w:b/>
          <w:bCs/>
          <w:spacing w:val="-2"/>
          <w:sz w:val="32"/>
          <w:szCs w:val="32"/>
          <w:highlight w:val="none"/>
          <w:lang w:val="en-US" w:eastAsia="zh-CN"/>
        </w:rPr>
        <w:t>（二）各项工作、专项完成的进度及质量情况</w:t>
      </w:r>
    </w:p>
    <w:p>
      <w:pPr>
        <w:pStyle w:val="style67"/>
        <w:spacing w:after="0" w:lineRule="auto" w:line="240"/>
        <w:ind w:firstLine="643"/>
        <w:rPr>
          <w:rFonts w:ascii="楷体" w:cs="Arial Unicode MS" w:eastAsia="楷体" w:hAnsi="楷体" w:hint="eastAsia"/>
          <w:b/>
          <w:sz w:val="32"/>
          <w:szCs w:val="32"/>
          <w:highlight w:val="none"/>
          <w:lang w:eastAsia="zh-CN"/>
        </w:rPr>
      </w:pPr>
      <w:r>
        <w:rPr>
          <w:rFonts w:ascii="楷体" w:cs="Arial Unicode MS" w:eastAsia="楷体" w:hAnsi="楷体" w:hint="eastAsia"/>
          <w:b/>
          <w:sz w:val="32"/>
          <w:szCs w:val="32"/>
          <w:highlight w:val="none"/>
          <w:lang w:eastAsia="zh-CN"/>
        </w:rPr>
        <w:t>（一）党建引领点燃学校高质量发展新引擎</w:t>
      </w:r>
    </w:p>
    <w:p>
      <w:pPr>
        <w:pStyle w:val="style67"/>
        <w:spacing w:after="0" w:lineRule="auto" w:line="240"/>
        <w:ind w:firstLine="643" w:firstLineChars="0"/>
        <w:rPr>
          <w:rFonts w:ascii="仿宋" w:eastAsia="仿宋" w:hAnsi="仿宋" w:hint="eastAsia"/>
          <w:sz w:val="32"/>
          <w:szCs w:val="32"/>
          <w:highlight w:val="none"/>
          <w:lang w:eastAsia="zh-CN"/>
        </w:rPr>
      </w:pPr>
      <w:r>
        <w:rPr>
          <w:rFonts w:ascii="仿宋" w:cs="仿宋" w:eastAsia="仿宋" w:hAnsi="仿宋" w:hint="eastAsia"/>
          <w:b/>
          <w:bCs/>
          <w:sz w:val="32"/>
          <w:szCs w:val="32"/>
          <w:highlight w:val="none"/>
          <w:lang w:eastAsia="zh-CN"/>
        </w:rPr>
        <w:t>1.</w:t>
      </w:r>
      <w:r>
        <w:rPr>
          <w:rFonts w:ascii="仿宋" w:eastAsia="仿宋" w:hAnsi="仿宋" w:hint="eastAsia"/>
          <w:b/>
          <w:sz w:val="32"/>
          <w:szCs w:val="32"/>
          <w:highlight w:val="none"/>
          <w:lang w:eastAsia="zh-CN"/>
        </w:rPr>
        <w:t xml:space="preserve"> 党建引领，明确教育根本任务。</w:t>
      </w:r>
      <w:r>
        <w:rPr>
          <w:rFonts w:ascii="仿宋" w:eastAsia="仿宋" w:hAnsi="仿宋" w:hint="eastAsia"/>
          <w:sz w:val="32"/>
          <w:szCs w:val="32"/>
          <w:highlight w:val="none"/>
          <w:lang w:eastAsia="zh-CN"/>
        </w:rPr>
        <w:t>为突破发展瓶颈，实现学校新时代转型升级，学校领导层形成共识：学校发展要从根本抓起，落实立德树人、把培养社会主义建设者和接班人作为根本任务。为此，学校加强党的全面领导，抓制度、强基础，抓学习、重实践，抓载体、务创新，力推学校向制度文化治校转型，注重内涵式发展。强力推进党史学习教育活动，</w:t>
      </w:r>
      <w:r>
        <w:rPr>
          <w:rFonts w:ascii="仿宋" w:cs="Arial Unicode MS" w:eastAsia="仿宋" w:hAnsi="仿宋" w:hint="eastAsia"/>
          <w:sz w:val="32"/>
          <w:szCs w:val="32"/>
          <w:highlight w:val="none"/>
          <w:lang w:eastAsia="zh-CN"/>
        </w:rPr>
        <w:t>精心组织“党课开讲啦”系列活动，让习近平新时代中国特色社会主义思想进课堂、进头脑，以培育和践行社会主义核心价值观为根本，加强思政课程建设，深化群众性精神文明创建活动，落实“五育”并举，全面育人。</w:t>
      </w:r>
    </w:p>
    <w:p>
      <w:pPr>
        <w:pStyle w:val="style67"/>
        <w:spacing w:after="0" w:lineRule="auto" w:line="240"/>
        <w:ind w:firstLine="643" w:firstLineChars="0"/>
        <w:rPr>
          <w:rFonts w:ascii="仿宋" w:eastAsia="仿宋" w:hAnsi="仿宋" w:hint="eastAsia"/>
          <w:sz w:val="32"/>
          <w:szCs w:val="32"/>
          <w:highlight w:val="none"/>
          <w:lang w:eastAsia="zh-CN"/>
        </w:rPr>
      </w:pPr>
      <w:r>
        <w:rPr>
          <w:rFonts w:ascii="仿宋" w:cs="仿宋" w:eastAsia="仿宋" w:hAnsi="仿宋" w:hint="eastAsia"/>
          <w:b/>
          <w:bCs/>
          <w:sz w:val="32"/>
          <w:szCs w:val="32"/>
          <w:highlight w:val="none"/>
          <w:lang w:eastAsia="zh-CN"/>
        </w:rPr>
        <w:t>2.</w:t>
      </w:r>
      <w:r>
        <w:rPr>
          <w:rFonts w:ascii="仿宋" w:eastAsia="仿宋" w:hAnsi="仿宋" w:hint="eastAsia"/>
          <w:b/>
          <w:sz w:val="32"/>
          <w:szCs w:val="32"/>
          <w:highlight w:val="none"/>
          <w:lang w:eastAsia="zh-CN"/>
        </w:rPr>
        <w:t xml:space="preserve"> 党建发力，激发校园办学活力。</w:t>
      </w:r>
      <w:r>
        <w:rPr>
          <w:rFonts w:ascii="仿宋" w:eastAsia="仿宋" w:hAnsi="仿宋" w:hint="eastAsia"/>
          <w:b w:val="false"/>
          <w:bCs/>
          <w:sz w:val="32"/>
          <w:szCs w:val="32"/>
          <w:highlight w:val="none"/>
          <w:lang w:eastAsia="zh-CN"/>
        </w:rPr>
        <w:t>突出党建主体责任，努力加强党建工作总体部署和常态化督查，围绕“政治坚定、组织健全、队伍过硬、机制完善、服务优良、保障有力”的总体目标，突出抓基层、打基础，强功能、补短板，重创新、求实效，深入开展党支部“五化”建设，确保6个支部全面达到“五化”标准。党委提出“三范引领四维评价”制，“三范”即“领导干部率先垂范、共产党员先锋模范、教师学生遵规守范”，“四维”即“底线+质量+特色+满意度”。针对性防止党建思想认识“淡化”、党建管理方法“老化”、党组织作用“弱化”等问题，积极探索了“党建+”模式：“党建+双师双带”“党建+示范课堂”“党建+三进四联”“党建+师德师风修养”等等。</w:t>
      </w:r>
      <w:r>
        <w:rPr>
          <w:rFonts w:ascii="仿宋" w:eastAsia="仿宋" w:hAnsi="仿宋" w:hint="eastAsia"/>
          <w:sz w:val="32"/>
          <w:szCs w:val="32"/>
          <w:highlight w:val="none"/>
          <w:lang w:eastAsia="zh-CN"/>
        </w:rPr>
        <w:t>完善党员积分量化管理，重视骨干教师入党工作，开展青年教师大讲坛助推青年教师成长，开展党员送教送研下乡（靖州）、为福利院儿童送温暖、走访慰问困难党员群众等活动，创新主题党日活动。</w:t>
      </w:r>
    </w:p>
    <w:p>
      <w:pPr>
        <w:pStyle w:val="style67"/>
        <w:spacing w:after="0" w:lineRule="auto" w:line="240"/>
        <w:ind w:firstLine="643"/>
        <w:rPr>
          <w:rFonts w:ascii="楷体" w:cs="Arial Unicode MS" w:eastAsia="楷体" w:hAnsi="楷体" w:hint="eastAsia"/>
          <w:b/>
          <w:sz w:val="32"/>
          <w:szCs w:val="32"/>
          <w:highlight w:val="none"/>
          <w:lang w:eastAsia="zh-CN"/>
        </w:rPr>
      </w:pPr>
      <w:r>
        <w:rPr>
          <w:rFonts w:ascii="楷体" w:cs="Arial Unicode MS" w:eastAsia="楷体" w:hAnsi="楷体" w:hint="eastAsia"/>
          <w:b/>
          <w:sz w:val="32"/>
          <w:szCs w:val="32"/>
          <w:highlight w:val="none"/>
          <w:lang w:eastAsia="zh-CN"/>
        </w:rPr>
        <w:t>（二）德育为先建设新时代德育精品工程</w:t>
      </w:r>
    </w:p>
    <w:p>
      <w:pPr>
        <w:pStyle w:val="style94"/>
        <w:widowControl/>
        <w:ind w:firstLine="640" w:firstLineChars="200"/>
        <w:rPr>
          <w:rFonts w:ascii="仿宋" w:cs="楷体" w:eastAsia="仿宋" w:hAnsi="仿宋" w:hint="eastAsia"/>
          <w:b w:val="false"/>
          <w:bCs/>
          <w:sz w:val="32"/>
          <w:szCs w:val="32"/>
          <w:highlight w:val="none"/>
          <w:shd w:val="clear" w:color="auto" w:fill="ffffff"/>
          <w:lang w:eastAsia="zh-CN"/>
        </w:rPr>
      </w:pPr>
      <w:r>
        <w:rPr>
          <w:rFonts w:ascii="仿宋" w:cs="楷体" w:eastAsia="仿宋" w:hAnsi="仿宋" w:hint="eastAsia"/>
          <w:b/>
          <w:sz w:val="32"/>
          <w:szCs w:val="32"/>
          <w:highlight w:val="none"/>
          <w:shd w:val="clear" w:color="auto" w:fill="ffffff"/>
        </w:rPr>
        <w:t>1.</w:t>
      </w:r>
      <w:r>
        <w:rPr>
          <w:rFonts w:ascii="仿宋" w:cs="楷体" w:eastAsia="仿宋" w:hAnsi="仿宋" w:hint="eastAsia"/>
          <w:b/>
          <w:sz w:val="32"/>
          <w:szCs w:val="32"/>
          <w:highlight w:val="none"/>
          <w:shd w:val="clear" w:color="auto" w:fill="ffffff"/>
          <w:lang w:eastAsia="zh-CN"/>
        </w:rPr>
        <w:t>注重德育队伍建设。</w:t>
      </w:r>
      <w:r>
        <w:rPr>
          <w:rFonts w:ascii="仿宋" w:cs="楷体" w:eastAsia="仿宋" w:hAnsi="仿宋" w:hint="eastAsia"/>
          <w:b w:val="false"/>
          <w:bCs/>
          <w:sz w:val="32"/>
          <w:szCs w:val="32"/>
          <w:highlight w:val="none"/>
          <w:shd w:val="clear" w:color="auto" w:fill="ffffff"/>
          <w:lang w:eastAsia="zh-CN"/>
        </w:rPr>
        <w:t>坚持每周一次主题班会，每月一次班主任例会，每学期一次班主任培训会，高度重视对班主任教师的培养、培训和管理，采取自主与集中相结合，实地培训与个体带动相结合的形式，对班主任老师进行专项培训，打造了一支具有一定班级管理能力和艺术的班主任队伍。怀化市覃丽兰名班主任工作室在我校挂牌，成功主办多场线上线下研修活动。全员导师制逐步成熟完善，</w:t>
      </w:r>
      <w:r>
        <w:rPr>
          <w:rFonts w:ascii="仿宋" w:cs="仿宋" w:eastAsia="仿宋" w:hAnsi="仿宋" w:hint="eastAsia"/>
          <w:bCs/>
          <w:sz w:val="32"/>
          <w:szCs w:val="32"/>
          <w:highlight w:val="none"/>
        </w:rPr>
        <w:t>教师人人担任导师，学生个个拥有导师。</w:t>
      </w:r>
    </w:p>
    <w:p>
      <w:pPr>
        <w:pStyle w:val="style94"/>
        <w:widowControl/>
        <w:ind w:firstLine="640" w:firstLineChars="200"/>
        <w:rPr>
          <w:rFonts w:ascii="仿宋" w:cs="楷体" w:eastAsia="仿宋" w:hAnsi="仿宋" w:hint="eastAsia"/>
          <w:b/>
          <w:sz w:val="32"/>
          <w:szCs w:val="32"/>
          <w:highlight w:val="none"/>
          <w:shd w:val="clear" w:color="auto" w:fill="ffffff"/>
          <w:lang w:val="en-US" w:eastAsia="zh-CN"/>
        </w:rPr>
      </w:pPr>
      <w:r>
        <w:rPr>
          <w:rFonts w:ascii="仿宋" w:cs="楷体" w:eastAsia="仿宋" w:hAnsi="仿宋" w:hint="eastAsia"/>
          <w:b/>
          <w:sz w:val="32"/>
          <w:szCs w:val="32"/>
          <w:highlight w:val="none"/>
          <w:shd w:val="clear" w:color="auto" w:fill="ffffff"/>
          <w:lang w:val="en-US" w:eastAsia="zh-CN"/>
        </w:rPr>
        <w:t>2.强化德育常规工作。</w:t>
      </w:r>
      <w:r>
        <w:rPr>
          <w:rFonts w:ascii="仿宋" w:cs="楷体" w:eastAsia="仿宋" w:hAnsi="仿宋" w:hint="eastAsia"/>
          <w:b w:val="false"/>
          <w:bCs/>
          <w:sz w:val="32"/>
          <w:szCs w:val="32"/>
          <w:highlight w:val="none"/>
          <w:shd w:val="clear" w:color="auto" w:fill="ffffff"/>
          <w:lang w:val="en-US" w:eastAsia="zh-CN"/>
        </w:rPr>
        <w:t>养成教育立足常规，抓学生文明习惯的养成，进一步优化学风、校风，具体措施有每月一次仪容仪表大检查、每周一次小检查、每天值班领导和学生会干部上学期间在门岗值勤检查，组建了校风校纪纠察队，成立网吧清查小组，成立志愿者服务队进行静校时间的校园清查和放学时间的校门安全执勤。积极加强新冠疫情及各项流行病的防控宣传，积极落实晨检、午检制度和各项预防措施，保证了学生身体健康。同时结合“安全活动月”“全国人防日”“国际禁毒日”“国际艾滋病防治日”“世界粮食日”“法制宣传日”“世界爱眼日”“关爱残疾人”“九一八国耻”“国际消防日”“学雷锋月”“传统节日”以讲座、文化外墙、校报、手抄报、演讲等形式进行安全教育工作，开展防震防火防空防食品中毒等安全演练。</w:t>
      </w:r>
    </w:p>
    <w:p>
      <w:pPr>
        <w:pStyle w:val="style94"/>
        <w:widowControl/>
        <w:ind w:firstLine="640" w:firstLineChars="200"/>
        <w:rPr>
          <w:rFonts w:ascii="仿宋" w:cs="Arial Unicode MS" w:eastAsia="仿宋" w:hAnsi="仿宋" w:hint="eastAsia"/>
          <w:sz w:val="32"/>
          <w:szCs w:val="32"/>
          <w:highlight w:val="none"/>
        </w:rPr>
      </w:pPr>
      <w:r>
        <w:rPr>
          <w:rFonts w:ascii="仿宋" w:cs="楷体" w:eastAsia="仿宋" w:hAnsi="仿宋" w:hint="eastAsia"/>
          <w:b/>
          <w:sz w:val="32"/>
          <w:szCs w:val="32"/>
          <w:highlight w:val="none"/>
        </w:rPr>
        <w:t>3.加强心理健康教育</w:t>
      </w:r>
      <w:r>
        <w:rPr>
          <w:rFonts w:ascii="仿宋" w:cs="楷体" w:eastAsia="仿宋" w:hAnsi="仿宋" w:hint="eastAsia"/>
          <w:b/>
          <w:sz w:val="32"/>
          <w:szCs w:val="32"/>
          <w:highlight w:val="none"/>
          <w:lang w:eastAsia="zh-CN"/>
        </w:rPr>
        <w:t>和生涯规划教育</w:t>
      </w:r>
      <w:r>
        <w:rPr>
          <w:rFonts w:ascii="仿宋" w:cs="楷体" w:eastAsia="仿宋" w:hAnsi="仿宋" w:hint="eastAsia"/>
          <w:b/>
          <w:sz w:val="32"/>
          <w:szCs w:val="32"/>
          <w:highlight w:val="none"/>
        </w:rPr>
        <w:t>。</w:t>
      </w:r>
      <w:r>
        <w:rPr>
          <w:rFonts w:ascii="仿宋" w:cs="楷体" w:eastAsia="仿宋" w:hAnsi="仿宋" w:hint="eastAsia"/>
          <w:sz w:val="32"/>
          <w:szCs w:val="32"/>
          <w:highlight w:val="none"/>
        </w:rPr>
        <w:t>配备</w:t>
      </w:r>
      <w:r>
        <w:rPr>
          <w:rFonts w:ascii="仿宋" w:cs="楷体" w:eastAsia="仿宋" w:hAnsi="仿宋" w:hint="eastAsia"/>
          <w:sz w:val="32"/>
          <w:szCs w:val="32"/>
          <w:highlight w:val="none"/>
          <w:lang w:val="en-US" w:eastAsia="zh-CN"/>
        </w:rPr>
        <w:t>3</w:t>
      </w:r>
      <w:r>
        <w:rPr>
          <w:rFonts w:ascii="仿宋" w:cs="楷体" w:eastAsia="仿宋" w:hAnsi="仿宋" w:hint="eastAsia"/>
          <w:sz w:val="32"/>
          <w:szCs w:val="32"/>
          <w:highlight w:val="none"/>
        </w:rPr>
        <w:t>名</w:t>
      </w:r>
      <w:r>
        <w:rPr>
          <w:rFonts w:ascii="仿宋" w:cs="仿宋" w:eastAsia="仿宋" w:hAnsi="仿宋" w:hint="eastAsia"/>
          <w:sz w:val="32"/>
          <w:szCs w:val="32"/>
          <w:highlight w:val="none"/>
        </w:rPr>
        <w:t>心理健康中心专业教师，开设心理健康课，心理健康中心配备沙盘、生涯一体机、音乐放松躺椅、VR等先进的设施设备，组建心理社团，开展心理健康周等丰富多彩的心理健康活动。高度重视学生的心理疏导工作，减缓学生心理压力</w:t>
      </w:r>
      <w:r>
        <w:rPr>
          <w:rFonts w:ascii="仿宋" w:cs="仿宋" w:eastAsia="仿宋" w:hAnsi="仿宋" w:hint="eastAsia"/>
          <w:sz w:val="32"/>
          <w:szCs w:val="32"/>
          <w:highlight w:val="none"/>
          <w:lang w:eastAsia="zh-CN"/>
        </w:rPr>
        <w:t>，</w:t>
      </w:r>
      <w:r>
        <w:rPr>
          <w:rFonts w:ascii="仿宋" w:cs="仿宋" w:eastAsia="仿宋" w:hAnsi="仿宋" w:hint="eastAsia"/>
          <w:sz w:val="32"/>
          <w:szCs w:val="32"/>
          <w:highlight w:val="none"/>
        </w:rPr>
        <w:t>帮助学生解决心理困惑和障碍</w:t>
      </w:r>
      <w:r>
        <w:rPr>
          <w:rFonts w:ascii="仿宋" w:cs="仿宋" w:eastAsia="仿宋" w:hAnsi="仿宋" w:hint="eastAsia"/>
          <w:bCs/>
          <w:sz w:val="32"/>
          <w:szCs w:val="32"/>
          <w:highlight w:val="none"/>
        </w:rPr>
        <w:t>。</w:t>
      </w:r>
      <w:r>
        <w:rPr>
          <w:rFonts w:ascii="仿宋" w:cs="仿宋" w:eastAsia="仿宋" w:hAnsi="仿宋" w:hint="eastAsia"/>
          <w:bCs/>
          <w:sz w:val="32"/>
          <w:szCs w:val="32"/>
          <w:highlight w:val="none"/>
          <w:lang w:eastAsia="zh-CN"/>
        </w:rPr>
        <w:t>同时，</w:t>
      </w:r>
      <w:r>
        <w:rPr>
          <w:rFonts w:ascii="仿宋" w:cs="Arial Unicode MS" w:eastAsia="仿宋" w:hAnsi="仿宋" w:hint="eastAsia"/>
          <w:sz w:val="32"/>
          <w:szCs w:val="32"/>
          <w:highlight w:val="none"/>
        </w:rPr>
        <w:t>探索编制生涯校本课程，在高一进行高中三年学业生涯规划的探索、高二年级主要探讨学生如何进行生涯管理、高三学生进行考试指导以及升学指导。</w:t>
      </w:r>
    </w:p>
    <w:p>
      <w:pPr>
        <w:pStyle w:val="style94"/>
        <w:widowControl/>
        <w:ind w:firstLine="640" w:firstLineChars="200"/>
        <w:rPr>
          <w:rFonts w:ascii="仿宋" w:cs="Arial Unicode MS" w:eastAsia="仿宋" w:hAnsi="仿宋" w:hint="eastAsia"/>
          <w:sz w:val="32"/>
          <w:szCs w:val="32"/>
          <w:highlight w:val="none"/>
        </w:rPr>
      </w:pPr>
      <w:r>
        <w:rPr>
          <w:rFonts w:ascii="仿宋" w:cs="Arial Unicode MS" w:eastAsia="仿宋" w:hAnsi="仿宋" w:hint="eastAsia"/>
          <w:b/>
          <w:sz w:val="32"/>
          <w:szCs w:val="32"/>
          <w:highlight w:val="none"/>
          <w:lang w:val="en-US" w:eastAsia="zh-CN"/>
        </w:rPr>
        <w:t>4</w:t>
      </w:r>
      <w:r>
        <w:rPr>
          <w:rFonts w:ascii="仿宋" w:cs="Arial Unicode MS" w:eastAsia="仿宋" w:hAnsi="仿宋" w:hint="eastAsia"/>
          <w:b/>
          <w:sz w:val="32"/>
          <w:szCs w:val="32"/>
          <w:highlight w:val="none"/>
        </w:rPr>
        <w:t>.推进家校一体化教育发展。</w:t>
      </w:r>
      <w:r>
        <w:rPr>
          <w:rFonts w:ascii="仿宋" w:cs="Arial Unicode MS" w:eastAsia="仿宋" w:hAnsi="仿宋" w:hint="eastAsia"/>
          <w:sz w:val="32"/>
          <w:szCs w:val="32"/>
          <w:highlight w:val="none"/>
        </w:rPr>
        <w:t>利用班级、年级组家委会及家长学校开展好家校共育工作</w:t>
      </w:r>
      <w:r>
        <w:rPr>
          <w:rFonts w:ascii="仿宋" w:cs="Arial Unicode MS" w:eastAsia="仿宋" w:hAnsi="仿宋" w:hint="eastAsia"/>
          <w:sz w:val="32"/>
          <w:szCs w:val="32"/>
          <w:highlight w:val="none"/>
          <w:lang w:eastAsia="zh-CN"/>
        </w:rPr>
        <w:t>，</w:t>
      </w:r>
      <w:r>
        <w:rPr>
          <w:rFonts w:ascii="仿宋" w:cs="Arial Unicode MS" w:eastAsia="仿宋" w:hAnsi="仿宋" w:hint="eastAsia"/>
          <w:sz w:val="32"/>
          <w:szCs w:val="32"/>
          <w:highlight w:val="none"/>
        </w:rPr>
        <w:t>开通知芯校园平台，稳步落实家访制度，成功组织“家校沟通”专题现场交流会，促进学校教育家庭教育、社会教育的联动互动，提高家长素质、争取家长支持，让教育更有成效。</w:t>
      </w:r>
    </w:p>
    <w:p>
      <w:pPr>
        <w:pStyle w:val="style67"/>
        <w:spacing w:after="0" w:lineRule="auto" w:line="240"/>
        <w:ind w:firstLine="643"/>
        <w:rPr>
          <w:rFonts w:ascii="楷体" w:cs="Arial Unicode MS" w:eastAsia="楷体" w:hAnsi="楷体" w:hint="eastAsia"/>
          <w:b/>
          <w:sz w:val="32"/>
          <w:szCs w:val="32"/>
          <w:highlight w:val="none"/>
          <w:lang w:eastAsia="zh-CN"/>
        </w:rPr>
      </w:pPr>
      <w:r>
        <w:rPr>
          <w:rFonts w:ascii="楷体" w:cs="Arial Unicode MS" w:eastAsia="楷体" w:hAnsi="楷体" w:hint="eastAsia"/>
          <w:b/>
          <w:sz w:val="32"/>
          <w:szCs w:val="32"/>
          <w:highlight w:val="none"/>
          <w:lang w:eastAsia="zh-CN"/>
        </w:rPr>
        <w:t>（三）强力推进“师德师风建设年”系统工作</w:t>
      </w:r>
    </w:p>
    <w:p>
      <w:pPr>
        <w:pStyle w:val="style67"/>
        <w:spacing w:after="0" w:lineRule="auto" w:line="240"/>
        <w:ind w:firstLine="643"/>
        <w:rPr>
          <w:rFonts w:ascii="仿宋" w:cs="Arial Unicode MS" w:eastAsia="仿宋" w:hAnsi="仿宋" w:hint="eastAsia"/>
          <w:b w:val="false"/>
          <w:bCs/>
          <w:sz w:val="32"/>
          <w:szCs w:val="32"/>
          <w:highlight w:val="none"/>
          <w:lang w:eastAsia="zh-CN"/>
        </w:rPr>
      </w:pPr>
      <w:r>
        <w:rPr>
          <w:rFonts w:ascii="仿宋" w:cs="Arial Unicode MS" w:eastAsia="仿宋" w:hAnsi="仿宋" w:hint="eastAsia"/>
          <w:b/>
          <w:sz w:val="32"/>
          <w:szCs w:val="32"/>
          <w:highlight w:val="none"/>
          <w:lang w:eastAsia="zh-CN"/>
        </w:rPr>
        <w:t>1.坚持党建领航，教育引导到位。</w:t>
      </w:r>
      <w:r>
        <w:rPr>
          <w:rFonts w:ascii="仿宋" w:cs="Arial Unicode MS" w:eastAsia="仿宋" w:hAnsi="仿宋" w:hint="eastAsia"/>
          <w:b w:val="false"/>
          <w:bCs/>
          <w:sz w:val="32"/>
          <w:szCs w:val="32"/>
          <w:highlight w:val="none"/>
          <w:lang w:eastAsia="zh-CN"/>
        </w:rPr>
        <w:t>学校党委把牢正确方向，坚持把师德师风建设和党史学习教育、“清廉学校”创建工作结合起来，全面贯彻党的教育思想，多方面加强教师的教育引导。以党史学习教育为载体，通过支部“三会一课”、主题党日活动和师德师风专题研讨会等活动，发挥党支部的战斗堡垒作用和党员的先锋模范作用，带动全校师德师风建设。深入学习领会十九届六中全会精神、中央八项规定、教育部师德专题教育总结交流暨师德师风建设重点工作落实推进会精神、湖南省第十二次党代会精神、怀化市第六次党代会精神，贯彻落实《中共怀化市关于建设清廉怀化的实施意见》和《怀化市清廉学校创建工作实施方案》，落实工作要求，签订《廉洁从教承诺书》，强化师德修养，营造清廉育人校风。结合党课开讲啦活动，开展党史学习专题党课和师德师风专项讲座，引导广大教师从百年党史中汲取智慧和力量，从讲座中学习先进经验，争做“四有”教师。</w:t>
      </w:r>
    </w:p>
    <w:p>
      <w:pPr>
        <w:pStyle w:val="style67"/>
        <w:spacing w:after="0" w:lineRule="auto" w:line="240"/>
        <w:ind w:firstLine="643"/>
        <w:rPr>
          <w:rFonts w:ascii="仿宋" w:cs="Arial Unicode MS" w:eastAsia="仿宋" w:hAnsi="仿宋" w:hint="eastAsia"/>
          <w:b w:val="false"/>
          <w:bCs/>
          <w:sz w:val="32"/>
          <w:szCs w:val="32"/>
          <w:highlight w:val="none"/>
          <w:lang w:val="en-US" w:eastAsia="zh-CN"/>
        </w:rPr>
      </w:pPr>
      <w:r>
        <w:rPr>
          <w:rFonts w:ascii="仿宋" w:cs="Arial Unicode MS" w:eastAsia="仿宋" w:hAnsi="仿宋" w:hint="eastAsia"/>
          <w:b/>
          <w:sz w:val="32"/>
          <w:szCs w:val="32"/>
          <w:highlight w:val="none"/>
          <w:lang w:val="en-US" w:eastAsia="zh-CN"/>
        </w:rPr>
        <w:t>2.完善顶层设计，制度建设到位。</w:t>
      </w:r>
      <w:r>
        <w:rPr>
          <w:rFonts w:ascii="仿宋" w:cs="Arial Unicode MS" w:eastAsia="仿宋" w:hAnsi="仿宋" w:hint="eastAsia"/>
          <w:b w:val="false"/>
          <w:bCs/>
          <w:sz w:val="32"/>
          <w:szCs w:val="32"/>
          <w:highlight w:val="none"/>
          <w:lang w:val="en-US" w:eastAsia="zh-CN"/>
        </w:rPr>
        <w:t>研究制定《“师德师风建设”工作方案》、《“师德师风”专项整治方案》、《党员示范岗创建方案》、《党史学习方案》和《“清廉学校”创建实施方案》，构建师德师风建设“没有完成时，只有进行时”的长久工作机制。通过全校教职工大会、支部专题学习、年级组大会和个人自习等方式，学习《怀化市师德师风“十严禁”》、《湖南省师德师风教育读本》和《教育系统违纪违法典型案例警示录》，全体教职工撰写师德师风学习心得。组织全体教职工开展自查自纠活动，填写《师德师风问题自我对照检查表》。强化师德师风监督，定期开展师德师风排查工作，不断完善师德师风诚信承诺制度和失信惩戒机制。</w:t>
      </w:r>
    </w:p>
    <w:p>
      <w:pPr>
        <w:pStyle w:val="style67"/>
        <w:spacing w:after="0" w:lineRule="auto" w:line="240"/>
        <w:ind w:firstLine="643"/>
        <w:rPr>
          <w:rFonts w:ascii="仿宋" w:cs="Arial Unicode MS" w:eastAsia="仿宋" w:hAnsi="仿宋" w:hint="default"/>
          <w:b w:val="false"/>
          <w:bCs/>
          <w:sz w:val="32"/>
          <w:szCs w:val="32"/>
          <w:highlight w:val="none"/>
          <w:lang w:val="en-US" w:eastAsia="zh-CN"/>
        </w:rPr>
      </w:pPr>
      <w:r>
        <w:rPr>
          <w:rFonts w:ascii="仿宋" w:cs="Arial Unicode MS" w:eastAsia="仿宋" w:hAnsi="仿宋" w:hint="eastAsia"/>
          <w:b/>
          <w:bCs w:val="false"/>
          <w:sz w:val="32"/>
          <w:szCs w:val="32"/>
          <w:highlight w:val="none"/>
          <w:lang w:val="en-US" w:eastAsia="zh-CN"/>
        </w:rPr>
        <w:t>3.强化榜样引领，氛围营造到位。</w:t>
      </w:r>
      <w:r>
        <w:rPr>
          <w:rFonts w:ascii="仿宋" w:cs="Arial Unicode MS" w:eastAsia="仿宋" w:hAnsi="仿宋" w:hint="eastAsia"/>
          <w:b w:val="false"/>
          <w:bCs/>
          <w:sz w:val="32"/>
          <w:szCs w:val="32"/>
          <w:highlight w:val="none"/>
          <w:lang w:val="en-US" w:eastAsia="zh-CN"/>
        </w:rPr>
        <w:t>学校注重师德典型的挖掘和推广工作，树立韩建生、覃丽兰、李慧、陈娟等一批师德师风先进典型，宣传其师德师风的先进事迹，邀请其开展专题讲座，分享其师德师风建设的好方法和好经验，发挥榜样的带动引领作用，引导学校教职工学习先进。通过宣传栏、公众号宣传中国各个时期优秀教师的先进事迹，营造出良好师德师风建设范围，推到师德师风建设走心走实，潜移默化中影响每一位教师，鼓舞全体教职工坚定理想信念、涵养高尚师德。开展校领导调研走访、谈话谈心、推门听课等活动，关注新进教师成长，提高广大教师的幸福感、成就感，切实解决师生关注的问题，营造良好的教育环境。定期开展评教活动，了解学校师德师风建设的基本情况，及时总结经验、监督改进，完善工作，推动师德师风建设纵深化发展，落实到每一处细节，不断走心走实，巩固师德师风建设成果。积极开展“我为群众办实事”系列活动，以支部为单位，开展“党建+心理”、送教送研下乡、定点帮扶等活动，以实际行动践行师德师风。</w:t>
      </w:r>
    </w:p>
    <w:p>
      <w:pPr>
        <w:pStyle w:val="style0"/>
        <w:widowControl/>
        <w:ind w:firstLine="640" w:firstLineChars="200"/>
        <w:jc w:val="left"/>
        <w:rPr>
          <w:rFonts w:ascii="楷体" w:cs="Arial Unicode MS" w:eastAsia="楷体" w:hAnsi="楷体" w:hint="eastAsia"/>
          <w:b/>
          <w:kern w:val="0"/>
          <w:sz w:val="32"/>
          <w:szCs w:val="32"/>
          <w:highlight w:val="none"/>
        </w:rPr>
      </w:pPr>
      <w:r>
        <w:rPr>
          <w:rFonts w:ascii="楷体" w:cs="Arial Unicode MS" w:eastAsia="楷体" w:hAnsi="楷体" w:hint="eastAsia"/>
          <w:b/>
          <w:kern w:val="0"/>
          <w:sz w:val="32"/>
          <w:szCs w:val="32"/>
          <w:highlight w:val="none"/>
        </w:rPr>
        <w:t>（</w:t>
      </w:r>
      <w:r>
        <w:rPr>
          <w:rFonts w:ascii="楷体" w:cs="Arial Unicode MS" w:eastAsia="楷体" w:hAnsi="楷体" w:hint="eastAsia"/>
          <w:b/>
          <w:kern w:val="0"/>
          <w:sz w:val="32"/>
          <w:szCs w:val="32"/>
          <w:highlight w:val="none"/>
          <w:lang w:eastAsia="zh-CN"/>
        </w:rPr>
        <w:t>四</w:t>
      </w:r>
      <w:r>
        <w:rPr>
          <w:rFonts w:ascii="楷体" w:cs="Arial Unicode MS" w:eastAsia="楷体" w:hAnsi="楷体" w:hint="eastAsia"/>
          <w:b/>
          <w:kern w:val="0"/>
          <w:sz w:val="32"/>
          <w:szCs w:val="32"/>
          <w:highlight w:val="none"/>
        </w:rPr>
        <w:t>）深化新高考背景下“</w:t>
      </w:r>
      <w:r>
        <w:rPr>
          <w:rFonts w:ascii="楷体" w:cs="Arial Unicode MS" w:eastAsia="楷体" w:hAnsi="楷体" w:hint="eastAsia"/>
          <w:b/>
          <w:kern w:val="0"/>
          <w:sz w:val="32"/>
          <w:szCs w:val="32"/>
          <w:highlight w:val="none"/>
          <w:lang w:eastAsia="zh-CN"/>
        </w:rPr>
        <w:t>教育质量提升</w:t>
      </w:r>
      <w:r>
        <w:rPr>
          <w:rFonts w:ascii="楷体" w:cs="Arial Unicode MS" w:eastAsia="楷体" w:hAnsi="楷体" w:hint="eastAsia"/>
          <w:b/>
          <w:kern w:val="0"/>
          <w:sz w:val="32"/>
          <w:szCs w:val="32"/>
          <w:highlight w:val="none"/>
        </w:rPr>
        <w:t>工程”</w:t>
      </w:r>
    </w:p>
    <w:p>
      <w:pPr>
        <w:pStyle w:val="style0"/>
        <w:ind w:firstLine="640" w:firstLineChars="200"/>
        <w:rPr>
          <w:rFonts w:ascii="仿宋" w:eastAsia="仿宋" w:hAnsi="仿宋"/>
          <w:sz w:val="32"/>
          <w:szCs w:val="32"/>
          <w:highlight w:val="none"/>
        </w:rPr>
      </w:pPr>
      <w:r>
        <w:rPr>
          <w:rFonts w:ascii="仿宋" w:eastAsia="仿宋" w:hAnsi="仿宋" w:hint="eastAsia"/>
          <w:b/>
          <w:sz w:val="32"/>
          <w:szCs w:val="32"/>
          <w:highlight w:val="none"/>
        </w:rPr>
        <w:t>1. 加强新高考研究提质量。</w:t>
      </w:r>
      <w:r>
        <w:rPr>
          <w:rFonts w:ascii="仿宋" w:eastAsia="仿宋" w:hAnsi="仿宋" w:hint="eastAsia"/>
          <w:sz w:val="32"/>
          <w:szCs w:val="32"/>
          <w:highlight w:val="none"/>
        </w:rPr>
        <w:t>抢占高考改革的制高点和主动权，努力领会新高考政策，努力摸索适应新高考的思路、策略和举措，与之相适应的选课走班、师资调配、课程安排、教学管理等机制基本建立。全面深化课程体系建设和课堂教学改革，抓好新课改样本校建设，切实加强学科核心素养培育和学生生涯规划指导，科学实施分层教育、分类指导、个别辅导等教学组织形式，真正创造和实施适合学生多元选择和个性发展的教育。</w:t>
      </w:r>
    </w:p>
    <w:p>
      <w:pPr>
        <w:pStyle w:val="style0"/>
        <w:ind w:firstLine="640" w:firstLineChars="200"/>
        <w:rPr>
          <w:rFonts w:ascii="仿宋" w:eastAsia="仿宋" w:hAnsi="仿宋" w:hint="eastAsia"/>
          <w:b w:val="false"/>
          <w:bCs/>
          <w:sz w:val="32"/>
          <w:szCs w:val="32"/>
          <w:highlight w:val="none"/>
        </w:rPr>
      </w:pPr>
      <w:r>
        <w:rPr>
          <w:rFonts w:ascii="仿宋" w:eastAsia="仿宋" w:hAnsi="仿宋" w:hint="eastAsia"/>
          <w:b/>
          <w:sz w:val="32"/>
          <w:szCs w:val="32"/>
          <w:highlight w:val="none"/>
        </w:rPr>
        <w:t>2.</w:t>
      </w:r>
      <w:r>
        <w:rPr>
          <w:rFonts w:ascii="仿宋" w:eastAsia="仿宋" w:hAnsi="仿宋" w:hint="eastAsia"/>
          <w:b/>
          <w:sz w:val="32"/>
          <w:szCs w:val="32"/>
          <w:highlight w:val="none"/>
          <w:lang w:eastAsia="zh-CN"/>
        </w:rPr>
        <w:t>落实“双减”政策</w:t>
      </w:r>
      <w:r>
        <w:rPr>
          <w:rFonts w:ascii="仿宋" w:eastAsia="仿宋" w:hAnsi="仿宋" w:hint="eastAsia"/>
          <w:b/>
          <w:sz w:val="32"/>
          <w:szCs w:val="32"/>
          <w:highlight w:val="none"/>
        </w:rPr>
        <w:t>提质量。</w:t>
      </w:r>
      <w:r>
        <w:rPr>
          <w:rFonts w:ascii="仿宋" w:eastAsia="仿宋" w:hAnsi="仿宋" w:hint="eastAsia"/>
          <w:b w:val="false"/>
          <w:bCs/>
          <w:sz w:val="32"/>
          <w:szCs w:val="32"/>
          <w:highlight w:val="none"/>
          <w:lang w:eastAsia="zh-CN"/>
        </w:rPr>
        <w:t>一是</w:t>
      </w:r>
      <w:r>
        <w:rPr>
          <w:rFonts w:ascii="仿宋" w:eastAsia="仿宋" w:hAnsi="仿宋" w:hint="eastAsia"/>
          <w:b w:val="false"/>
          <w:bCs/>
          <w:sz w:val="32"/>
          <w:szCs w:val="32"/>
          <w:highlight w:val="none"/>
        </w:rPr>
        <w:t>统一思想，全体教师深刻认识“双减”工作的重大意义，主动对标“双减”工作各项要求，不折不扣执行</w:t>
      </w:r>
      <w:r>
        <w:rPr>
          <w:rFonts w:ascii="仿宋" w:eastAsia="仿宋" w:hAnsi="仿宋" w:hint="eastAsia"/>
          <w:b w:val="false"/>
          <w:bCs/>
          <w:sz w:val="32"/>
          <w:szCs w:val="32"/>
          <w:highlight w:val="none"/>
          <w:lang w:eastAsia="zh-CN"/>
        </w:rPr>
        <w:t>“双减”文件精神</w:t>
      </w:r>
      <w:r>
        <w:rPr>
          <w:rFonts w:ascii="仿宋" w:eastAsia="仿宋" w:hAnsi="仿宋" w:hint="eastAsia"/>
          <w:b w:val="false"/>
          <w:bCs/>
          <w:sz w:val="32"/>
          <w:szCs w:val="32"/>
          <w:highlight w:val="none"/>
        </w:rPr>
        <w:t>。</w:t>
      </w:r>
      <w:r>
        <w:rPr>
          <w:rFonts w:ascii="仿宋" w:eastAsia="仿宋" w:hAnsi="仿宋" w:hint="eastAsia"/>
          <w:b w:val="false"/>
          <w:bCs/>
          <w:sz w:val="32"/>
          <w:szCs w:val="32"/>
          <w:highlight w:val="none"/>
          <w:lang w:eastAsia="zh-CN"/>
        </w:rPr>
        <w:t>二是</w:t>
      </w:r>
      <w:r>
        <w:rPr>
          <w:rFonts w:ascii="仿宋" w:eastAsia="仿宋" w:hAnsi="仿宋" w:hint="eastAsia"/>
          <w:b w:val="false"/>
          <w:bCs/>
          <w:sz w:val="32"/>
          <w:szCs w:val="32"/>
          <w:highlight w:val="none"/>
        </w:rPr>
        <w:t>向课堂教学要质量，精心备好上好每一节课，实施高效课堂，压减作业总量和时长，布置分层、弹性和个性化作业，坚决克服机械、无效作业，杜绝重复性、惩罚性作业。</w:t>
      </w:r>
      <w:r>
        <w:rPr>
          <w:rFonts w:ascii="仿宋" w:eastAsia="仿宋" w:hAnsi="仿宋" w:hint="eastAsia"/>
          <w:b w:val="false"/>
          <w:bCs/>
          <w:sz w:val="32"/>
          <w:szCs w:val="32"/>
          <w:highlight w:val="none"/>
          <w:lang w:eastAsia="zh-CN"/>
        </w:rPr>
        <w:t>同时</w:t>
      </w:r>
      <w:r>
        <w:rPr>
          <w:rFonts w:ascii="仿宋" w:eastAsia="仿宋" w:hAnsi="仿宋" w:hint="eastAsia"/>
          <w:b w:val="false"/>
          <w:bCs/>
          <w:sz w:val="32"/>
          <w:szCs w:val="32"/>
          <w:highlight w:val="none"/>
        </w:rPr>
        <w:t>认真批改作业，及时做好反馈，加强面批讲解，认真分析学情，做好答疑辅导。</w:t>
      </w:r>
      <w:r>
        <w:rPr>
          <w:rFonts w:ascii="仿宋" w:eastAsia="仿宋" w:hAnsi="仿宋" w:hint="eastAsia"/>
          <w:b w:val="false"/>
          <w:bCs/>
          <w:sz w:val="32"/>
          <w:szCs w:val="32"/>
          <w:highlight w:val="none"/>
          <w:lang w:eastAsia="zh-CN"/>
        </w:rPr>
        <w:t>三是</w:t>
      </w:r>
      <w:r>
        <w:rPr>
          <w:rFonts w:ascii="仿宋" w:eastAsia="仿宋" w:hAnsi="仿宋" w:hint="eastAsia"/>
          <w:b w:val="false"/>
          <w:bCs/>
          <w:sz w:val="32"/>
          <w:szCs w:val="32"/>
          <w:highlight w:val="none"/>
        </w:rPr>
        <w:t>规范职业行为，严格按课程标准零起点教学，以精湛的专业技能，高尚的师德师风，潜心立德树人，坚守为党育人、为国育才的初心使命</w:t>
      </w:r>
      <w:r>
        <w:rPr>
          <w:rFonts w:ascii="仿宋" w:eastAsia="仿宋" w:hAnsi="仿宋" w:hint="eastAsia"/>
          <w:b w:val="false"/>
          <w:bCs/>
          <w:sz w:val="32"/>
          <w:szCs w:val="32"/>
          <w:highlight w:val="none"/>
          <w:lang w:eastAsia="zh-CN"/>
        </w:rPr>
        <w:t>，</w:t>
      </w:r>
      <w:r>
        <w:rPr>
          <w:rFonts w:ascii="仿宋" w:eastAsia="仿宋" w:hAnsi="仿宋" w:hint="eastAsia"/>
          <w:b w:val="false"/>
          <w:bCs/>
          <w:sz w:val="32"/>
          <w:szCs w:val="32"/>
          <w:highlight w:val="none"/>
        </w:rPr>
        <w:t>严守师德底线，提升依法执教、规范执教能力。</w:t>
      </w:r>
      <w:r>
        <w:rPr>
          <w:rFonts w:ascii="仿宋" w:eastAsia="仿宋" w:hAnsi="仿宋" w:hint="eastAsia"/>
          <w:b w:val="false"/>
          <w:bCs/>
          <w:sz w:val="32"/>
          <w:szCs w:val="32"/>
          <w:highlight w:val="none"/>
          <w:lang w:eastAsia="zh-CN"/>
        </w:rPr>
        <w:t>四是</w:t>
      </w:r>
      <w:r>
        <w:rPr>
          <w:rFonts w:ascii="仿宋" w:eastAsia="仿宋" w:hAnsi="仿宋" w:hint="eastAsia"/>
          <w:b w:val="false"/>
          <w:bCs/>
          <w:sz w:val="32"/>
          <w:szCs w:val="32"/>
          <w:highlight w:val="none"/>
        </w:rPr>
        <w:t>强化服务意识</w:t>
      </w:r>
      <w:r>
        <w:rPr>
          <w:rFonts w:ascii="仿宋" w:eastAsia="仿宋" w:hAnsi="仿宋" w:hint="eastAsia"/>
          <w:b w:val="false"/>
          <w:bCs/>
          <w:sz w:val="32"/>
          <w:szCs w:val="32"/>
          <w:highlight w:val="none"/>
          <w:lang w:eastAsia="zh-CN"/>
        </w:rPr>
        <w:t>，</w:t>
      </w:r>
      <w:r>
        <w:rPr>
          <w:rFonts w:ascii="仿宋" w:eastAsia="仿宋" w:hAnsi="仿宋" w:hint="eastAsia"/>
          <w:b w:val="false"/>
          <w:bCs/>
          <w:sz w:val="32"/>
          <w:szCs w:val="32"/>
          <w:highlight w:val="none"/>
        </w:rPr>
        <w:t>坚持学生为本，关爱学生身心健康成长，积极配合学校做好课后服务工作，提升学校课后服务水平。对学习有困难的学生进行补习辅导与答疑，为学有余力的学生拓展学习空间，开展丰富多彩的科普、文体、艺术、劳动、阅读、兴趣小组及社团活动。</w:t>
      </w:r>
      <w:r>
        <w:rPr>
          <w:rFonts w:ascii="仿宋" w:eastAsia="仿宋" w:hAnsi="仿宋" w:hint="eastAsia"/>
          <w:b w:val="false"/>
          <w:bCs/>
          <w:sz w:val="32"/>
          <w:szCs w:val="32"/>
          <w:highlight w:val="none"/>
          <w:lang w:eastAsia="zh-CN"/>
        </w:rPr>
        <w:t>五是</w:t>
      </w:r>
      <w:r>
        <w:rPr>
          <w:rFonts w:ascii="仿宋" w:eastAsia="仿宋" w:hAnsi="仿宋" w:hint="eastAsia"/>
          <w:b w:val="false"/>
          <w:bCs/>
          <w:sz w:val="32"/>
          <w:szCs w:val="32"/>
          <w:highlight w:val="none"/>
        </w:rPr>
        <w:t>密切家校沟通，明晰家校育人责任，提升与家长沟通能力水平和技巧，引导家长树立科学育儿观念，理性确定孩子成长预期，努力形成减负共识。</w:t>
      </w:r>
    </w:p>
    <w:p>
      <w:pPr>
        <w:pStyle w:val="style0"/>
        <w:ind w:firstLine="640" w:firstLineChars="200"/>
        <w:rPr>
          <w:rFonts w:ascii="仿宋" w:eastAsia="仿宋" w:hAnsi="仿宋"/>
          <w:sz w:val="32"/>
          <w:szCs w:val="32"/>
          <w:highlight w:val="none"/>
        </w:rPr>
      </w:pPr>
      <w:r>
        <w:rPr>
          <w:rFonts w:ascii="仿宋" w:eastAsia="仿宋" w:hAnsi="仿宋" w:hint="eastAsia"/>
          <w:b/>
          <w:bCs w:val="false"/>
          <w:sz w:val="32"/>
          <w:szCs w:val="32"/>
          <w:highlight w:val="none"/>
          <w:lang w:val="en-US" w:eastAsia="zh-CN"/>
        </w:rPr>
        <w:t>3.遵守教学常规提质量。</w:t>
      </w:r>
      <w:r>
        <w:rPr>
          <w:rFonts w:ascii="仿宋" w:eastAsia="仿宋" w:hAnsi="仿宋" w:hint="eastAsia"/>
          <w:sz w:val="32"/>
          <w:szCs w:val="32"/>
          <w:highlight w:val="none"/>
        </w:rPr>
        <w:t>认真贯彻落实《怀化市中小学教学工作常规》《怀化市高三年级教学工作常规》《怀化市教育局关于进一步强化中小学实验教学工作的意见》文件精神，结合学校实际制定了“怀铁一中教学常规管理办法”、“怀铁一中关于进一步落实《怀化市中小学教学工作常规》的措施” ，加强教学常规管理，增强管理的规范性、科学性和有效性，提高教学质量。做到“三级”、“四查”、“五必须”。</w:t>
      </w:r>
    </w:p>
    <w:p>
      <w:pPr>
        <w:pStyle w:val="style67"/>
        <w:spacing w:after="0" w:lineRule="auto" w:line="240"/>
        <w:ind w:firstLine="643"/>
        <w:rPr>
          <w:rFonts w:ascii="楷体" w:cs="Arial Unicode MS" w:eastAsia="楷体" w:hAnsi="楷体" w:hint="eastAsia"/>
          <w:b/>
          <w:sz w:val="32"/>
          <w:szCs w:val="32"/>
          <w:highlight w:val="none"/>
          <w:lang w:eastAsia="zh-CN"/>
        </w:rPr>
      </w:pPr>
      <w:r>
        <w:rPr>
          <w:rFonts w:ascii="楷体" w:cs="Arial Unicode MS" w:eastAsia="楷体" w:hAnsi="楷体" w:hint="eastAsia"/>
          <w:b/>
          <w:sz w:val="32"/>
          <w:szCs w:val="32"/>
          <w:highlight w:val="none"/>
          <w:lang w:eastAsia="zh-CN"/>
        </w:rPr>
        <w:t>（五）纵深推进 “校园文化建设工程”</w:t>
      </w:r>
    </w:p>
    <w:p>
      <w:pPr>
        <w:pStyle w:val="style0"/>
        <w:ind w:firstLine="640" w:firstLineChars="200"/>
        <w:rPr>
          <w:rFonts w:ascii="仿宋" w:cs="仿宋" w:eastAsia="仿宋" w:hAnsi="仿宋" w:hint="eastAsia"/>
          <w:sz w:val="32"/>
          <w:szCs w:val="32"/>
          <w:highlight w:val="none"/>
          <w:shd w:val="clear" w:color="auto" w:fill="ffffff"/>
        </w:rPr>
      </w:pPr>
      <w:r>
        <w:rPr>
          <w:rFonts w:ascii="仿宋" w:cs="楷体" w:eastAsia="仿宋" w:hAnsi="仿宋" w:hint="eastAsia"/>
          <w:b/>
          <w:sz w:val="32"/>
          <w:szCs w:val="32"/>
          <w:highlight w:val="none"/>
        </w:rPr>
        <w:t>1.精神文明创建引领人。</w:t>
      </w:r>
      <w:r>
        <w:rPr>
          <w:rFonts w:ascii="仿宋" w:eastAsia="仿宋" w:hAnsi="仿宋" w:hint="eastAsia"/>
          <w:sz w:val="32"/>
          <w:szCs w:val="32"/>
          <w:highlight w:val="none"/>
        </w:rPr>
        <w:t>高举习近平新时代中国特色社会主义伟大旗帜，增强“四个意识”，以培育和践行社会主义核心价值观为根本，加强思想道德建设，深化群众性精神文明创建活动。</w:t>
      </w:r>
      <w:r>
        <w:rPr>
          <w:rFonts w:ascii="仿宋" w:eastAsia="仿宋" w:hAnsi="仿宋" w:hint="eastAsia"/>
          <w:sz w:val="32"/>
          <w:szCs w:val="32"/>
          <w:highlight w:val="none"/>
          <w:lang w:eastAsia="zh-CN"/>
        </w:rPr>
        <w:t>通过师德师风整治活动努力践行市教育局党委提出的“四家”“三心”“三同”理念；通过创建“清廉学校”学习清廉文化、打造清朗校园、培育清茂学子；通过创建“绿色学校”开展生态文明教育、加强绿色规划管理、建设绿色环保校园、建设绿色校园文化；</w:t>
      </w:r>
      <w:r>
        <w:rPr>
          <w:rFonts w:ascii="仿宋" w:eastAsia="仿宋" w:hAnsi="仿宋" w:hint="eastAsia"/>
          <w:sz w:val="32"/>
          <w:szCs w:val="32"/>
          <w:highlight w:val="none"/>
        </w:rPr>
        <w:t>通过开展学雷锋活动、志愿者行动、师德模范评选、优秀教师示范课，唱响“主旋律”。通过设立道德讲堂、青年大讲坛、文明监督员、疫情防控值班岗，种好“责任田”。通过建设校园文化走廊、校园网、班级文化外墙，培育“文明花”。</w:t>
      </w:r>
    </w:p>
    <w:p>
      <w:pPr>
        <w:pStyle w:val="style67"/>
        <w:spacing w:after="0" w:lineRule="auto" w:line="240"/>
        <w:ind w:firstLine="643"/>
        <w:rPr>
          <w:rFonts w:ascii="楷体" w:cs="Arial Unicode MS" w:eastAsia="楷体" w:hAnsi="楷体" w:hint="eastAsia"/>
          <w:b/>
          <w:sz w:val="32"/>
          <w:szCs w:val="32"/>
          <w:highlight w:val="none"/>
          <w:lang w:eastAsia="zh-CN"/>
        </w:rPr>
      </w:pPr>
      <w:r>
        <w:rPr>
          <w:rFonts w:ascii="仿宋" w:cs="楷体" w:eastAsia="仿宋" w:hAnsi="仿宋" w:hint="eastAsia"/>
          <w:b/>
          <w:sz w:val="32"/>
          <w:szCs w:val="32"/>
          <w:highlight w:val="none"/>
        </w:rPr>
        <w:t>2.</w:t>
      </w:r>
      <w:r>
        <w:rPr>
          <w:rFonts w:ascii="仿宋" w:eastAsia="仿宋" w:hAnsi="仿宋" w:hint="eastAsia"/>
          <w:b/>
          <w:sz w:val="32"/>
          <w:szCs w:val="32"/>
          <w:highlight w:val="none"/>
          <w:lang w:eastAsia="zh-CN"/>
        </w:rPr>
        <w:t>校园环境建设熏陶人</w:t>
      </w:r>
      <w:r>
        <w:rPr>
          <w:rFonts w:ascii="仿宋" w:eastAsia="仿宋" w:hAnsi="仿宋" w:hint="eastAsia"/>
          <w:sz w:val="32"/>
          <w:szCs w:val="32"/>
          <w:highlight w:val="none"/>
          <w:lang w:eastAsia="zh-CN"/>
        </w:rPr>
        <w:t>。一方面加强维修改造和基础设施建设。食堂改造投入100万已完工，改造后建筑面积增加了328平方米；科技馆、活动馆投入300万已全部投入使用；校史馆和红色教育基地正在建设中；新建学生宿舍总投资4496.26万元，现已正式开工，工期一年，共计284间宿舍，可满足1800名学生寄宿。另一方面加大校园环境综合整治力度，合理规划停车场，启动校园绿化美化工程，对校园及周边环境和秩序进行了集中整治，以“创文明城市” 为契机，进一步改善校园整体面貌，浓厚校园文化氛围，创建平安校园、节能环保绿色校园、平安校园。校园布局日趋协调，功能区划合理，各项建筑安全、适用、环保、美观，绿树红楼，花木环绕，碧草茵茵，鸟语花香，墙能说话，花草赋诗，师生获得感、幸福感不断增强。</w:t>
      </w:r>
    </w:p>
    <w:p>
      <w:pPr>
        <w:pStyle w:val="style0"/>
        <w:spacing w:lineRule="exact" w:line="600"/>
        <w:ind w:firstLine="640" w:firstLineChars="200"/>
        <w:rPr>
          <w:rFonts w:ascii="仿宋" w:cs="仿宋" w:eastAsia="仿宋" w:hAnsi="仿宋" w:hint="eastAsia"/>
          <w:b/>
          <w:bCs/>
          <w:sz w:val="32"/>
          <w:szCs w:val="32"/>
          <w:highlight w:val="none"/>
          <w:lang w:eastAsia="zh-CN"/>
        </w:rPr>
      </w:pPr>
      <w:r>
        <w:rPr>
          <w:rFonts w:ascii="仿宋" w:cs="仿宋" w:eastAsia="仿宋" w:hAnsi="仿宋" w:hint="eastAsia"/>
          <w:b/>
          <w:bCs/>
          <w:sz w:val="32"/>
          <w:szCs w:val="32"/>
          <w:highlight w:val="none"/>
          <w:lang w:eastAsia="zh-CN"/>
        </w:rPr>
        <w:t>（三）部门整体支出使用效果情况</w:t>
      </w:r>
    </w:p>
    <w:p>
      <w:pPr>
        <w:pStyle w:val="style0"/>
        <w:spacing w:lineRule="exact" w:line="600"/>
        <w:ind w:firstLine="640" w:firstLineChars="200"/>
        <w:rPr>
          <w:rFonts w:ascii="仿宋" w:cs="仿宋" w:eastAsia="仿宋" w:hAnsi="仿宋" w:hint="eastAsia"/>
          <w:b/>
          <w:bCs/>
          <w:sz w:val="32"/>
          <w:szCs w:val="32"/>
          <w:highlight w:val="none"/>
          <w:lang w:eastAsia="zh-CN"/>
        </w:rPr>
      </w:pPr>
      <w:r>
        <w:rPr>
          <w:rFonts w:ascii="仿宋" w:eastAsia="仿宋" w:hAnsi="仿宋" w:hint="eastAsia"/>
          <w:sz w:val="32"/>
          <w:szCs w:val="32"/>
          <w:highlight w:val="none"/>
          <w:lang w:eastAsia="zh-CN"/>
        </w:rPr>
        <w:t>坚持以习近平新时代中国特色社会主义思想为指导，深入贯彻党的十九大及历次全会精神，坚持和加强党对教育工作的全面领导，落实立德树人根本任务，提高教育质量和教育治理水平，办人民满意教育，圆满完成各项工作任务</w:t>
      </w:r>
    </w:p>
    <w:p>
      <w:pPr>
        <w:pStyle w:val="style0"/>
        <w:widowControl/>
        <w:spacing w:lineRule="exact" w:line="600"/>
        <w:ind w:firstLine="632" w:firstLineChars="200"/>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六、存在的主要问题</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eastAsia="zh-CN"/>
        </w:rPr>
        <w:t>专项工程时间跨度长，工程款金额大，并且工程款存在跨年度结算和支付的问题，导致专项工程分年度的实际支出与预算支出的差额较大，缺乏可比较性，资金存在跨年度结转的情况。</w:t>
      </w:r>
    </w:p>
    <w:p>
      <w:pPr>
        <w:pStyle w:val="style0"/>
        <w:widowControl/>
        <w:spacing w:lineRule="exact" w:line="600"/>
        <w:ind w:firstLine="632" w:firstLineChars="200"/>
        <w:rPr>
          <w:rFonts w:ascii="仿宋" w:cs="仿宋" w:eastAsia="仿宋" w:hAnsi="仿宋" w:hint="eastAsia"/>
          <w:b/>
          <w:spacing w:val="-2"/>
          <w:sz w:val="32"/>
          <w:szCs w:val="32"/>
          <w:highlight w:val="none"/>
        </w:rPr>
      </w:pPr>
      <w:r>
        <w:rPr>
          <w:rFonts w:ascii="仿宋" w:cs="仿宋" w:eastAsia="仿宋" w:hAnsi="仿宋" w:hint="eastAsia"/>
          <w:b/>
          <w:spacing w:val="-2"/>
          <w:sz w:val="32"/>
          <w:szCs w:val="32"/>
          <w:highlight w:val="none"/>
        </w:rPr>
        <w:t>七、改进措施和有关建议</w:t>
      </w:r>
    </w:p>
    <w:p>
      <w:pPr>
        <w:pStyle w:val="style0"/>
        <w:spacing w:lineRule="exact" w:line="600"/>
        <w:ind w:firstLine="640" w:firstLineChars="200"/>
        <w:rPr>
          <w:rFonts w:ascii="仿宋" w:cs="仿宋" w:eastAsia="仿宋" w:hAnsi="仿宋" w:hint="eastAsia"/>
          <w:sz w:val="32"/>
          <w:szCs w:val="32"/>
          <w:highlight w:val="none"/>
        </w:rPr>
      </w:pPr>
      <w:r>
        <w:rPr>
          <w:rFonts w:ascii="仿宋" w:cs="仿宋" w:eastAsia="仿宋" w:hAnsi="仿宋" w:hint="eastAsia"/>
          <w:sz w:val="32"/>
          <w:szCs w:val="32"/>
          <w:highlight w:val="none"/>
        </w:rPr>
        <w:t xml:space="preserve">1、遵循先有预算、后有支出的原则，加强财务管理和内部控制监督制度。严禁超预算和无预算安排支出，严格开支范围和标准，严格支出报销审核，不报销任何超范围、超标准的费用。 </w:t>
      </w:r>
    </w:p>
    <w:p>
      <w:pPr>
        <w:pStyle w:val="style0"/>
        <w:ind w:firstLine="640" w:firstLineChars="200"/>
        <w:jc w:val="left"/>
        <w:rPr>
          <w:rFonts w:ascii="仿宋" w:cs="仿宋" w:eastAsia="仿宋" w:hAnsi="仿宋" w:hint="eastAsia"/>
          <w:spacing w:val="-2"/>
          <w:sz w:val="32"/>
          <w:szCs w:val="32"/>
          <w:highlight w:val="none"/>
          <w:lang w:val="en-US" w:eastAsia="zh-CN"/>
        </w:rPr>
      </w:pPr>
      <w:r>
        <w:rPr>
          <w:rFonts w:ascii="仿宋" w:cs="仿宋" w:eastAsia="仿宋" w:hAnsi="仿宋" w:hint="eastAsia"/>
          <w:sz w:val="32"/>
          <w:szCs w:val="32"/>
          <w:highlight w:val="none"/>
          <w:lang w:val="en-US" w:eastAsia="zh-CN"/>
        </w:rPr>
        <w:t>2</w:t>
      </w:r>
      <w:r>
        <w:rPr>
          <w:rFonts w:ascii="仿宋" w:cs="仿宋" w:eastAsia="仿宋" w:hAnsi="仿宋" w:hint="eastAsia"/>
          <w:sz w:val="32"/>
          <w:szCs w:val="32"/>
          <w:highlight w:val="none"/>
        </w:rPr>
        <w:t>、</w:t>
      </w:r>
      <w:r>
        <w:rPr>
          <w:rFonts w:ascii="仿宋" w:cs="仿宋" w:eastAsia="仿宋" w:hAnsi="仿宋" w:hint="eastAsia"/>
          <w:spacing w:val="-2"/>
          <w:sz w:val="32"/>
          <w:szCs w:val="32"/>
          <w:highlight w:val="none"/>
          <w:lang w:eastAsia="zh-CN"/>
        </w:rPr>
        <w:t>加强对专项工程的动态管理并进行动态的绩效评价</w:t>
      </w:r>
      <w:r>
        <w:rPr>
          <w:rFonts w:ascii="仿宋" w:cs="仿宋" w:eastAsia="仿宋" w:hAnsi="仿宋" w:hint="eastAsia"/>
          <w:spacing w:val="-2"/>
          <w:sz w:val="32"/>
          <w:szCs w:val="32"/>
          <w:highlight w:val="none"/>
          <w:lang w:val="en-US" w:eastAsia="zh-CN"/>
        </w:rPr>
        <w:t>。</w:t>
      </w:r>
    </w:p>
    <w:p>
      <w:pPr>
        <w:pStyle w:val="style0"/>
        <w:ind w:firstLine="632" w:firstLineChars="200"/>
        <w:jc w:val="left"/>
        <w:rPr>
          <w:rFonts w:ascii="仿宋" w:cs="仿宋" w:eastAsia="仿宋" w:hAnsi="仿宋" w:hint="eastAsia"/>
          <w:spacing w:val="-2"/>
          <w:sz w:val="32"/>
          <w:szCs w:val="32"/>
          <w:highlight w:val="none"/>
          <w:lang w:val="en-US" w:eastAsia="zh-CN"/>
        </w:rPr>
      </w:pPr>
    </w:p>
    <w:p>
      <w:pPr>
        <w:pStyle w:val="style0"/>
        <w:ind w:firstLine="632" w:firstLineChars="200"/>
        <w:jc w:val="left"/>
        <w:rPr>
          <w:rFonts w:ascii="仿宋" w:cs="仿宋" w:eastAsia="仿宋" w:hAnsi="仿宋" w:hint="eastAsia"/>
          <w:spacing w:val="-2"/>
          <w:sz w:val="32"/>
          <w:szCs w:val="32"/>
          <w:highlight w:val="none"/>
          <w:lang w:val="en-US" w:eastAsia="zh-CN"/>
        </w:rPr>
      </w:pPr>
    </w:p>
    <w:p>
      <w:pPr>
        <w:pStyle w:val="style0"/>
        <w:ind w:firstLine="632" w:firstLineChars="200"/>
        <w:jc w:val="left"/>
        <w:rPr>
          <w:rFonts w:ascii="仿宋" w:cs="仿宋" w:eastAsia="仿宋" w:hAnsi="仿宋" w:hint="eastAsia"/>
          <w:spacing w:val="-2"/>
          <w:sz w:val="32"/>
          <w:szCs w:val="32"/>
          <w:highlight w:val="none"/>
          <w:lang w:val="en-US" w:eastAsia="zh-CN"/>
        </w:rPr>
      </w:pPr>
    </w:p>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eastAsia"/>
          <w:kern w:val="0"/>
          <w:sz w:val="32"/>
          <w:szCs w:val="32"/>
        </w:rPr>
      </w:pPr>
      <w:r>
        <w:rPr>
          <w:rFonts w:ascii="黑体" w:cs="宋体" w:eastAsia="黑体" w:hAnsi="宋体" w:hint="eastAsia"/>
          <w:kern w:val="0"/>
          <w:sz w:val="32"/>
          <w:szCs w:val="32"/>
        </w:rPr>
        <w:t>附件</w:t>
      </w:r>
      <w:r>
        <w:rPr>
          <w:rFonts w:ascii="黑体" w:cs="宋体" w:eastAsia="黑体" w:hAnsi="宋体" w:hint="eastAsia"/>
          <w:kern w:val="0"/>
          <w:sz w:val="32"/>
          <w:szCs w:val="32"/>
          <w:lang w:val="en-US" w:eastAsia="zh-CN"/>
        </w:rPr>
        <w:t>1</w:t>
      </w:r>
    </w:p>
    <w:p>
      <w:pPr>
        <w:pStyle w:val="style0"/>
        <w:spacing w:lineRule="exact" w:line="560"/>
        <w:jc w:val="center"/>
        <w:rPr>
          <w:rFonts w:ascii="宋体" w:cs="宋体" w:hAnsi="宋体"/>
          <w:kern w:val="0"/>
          <w:sz w:val="24"/>
        </w:rPr>
      </w:pPr>
      <w:r>
        <w:rPr>
          <w:rFonts w:ascii="方正小标宋_GBK" w:cs="宋体" w:eastAsia="方正小标宋_GBK" w:hAnsi="宋体" w:hint="eastAsia"/>
          <w:kern w:val="0"/>
          <w:sz w:val="36"/>
          <w:szCs w:val="36"/>
        </w:rPr>
        <w:t>部门整体支出绩效评价</w:t>
      </w:r>
      <w:r>
        <w:rPr>
          <w:rFonts w:ascii="方正小标宋_GBK" w:cs="宋体" w:eastAsia="方正小标宋_GBK" w:hAnsi="宋体" w:hint="eastAsia"/>
          <w:kern w:val="0"/>
          <w:sz w:val="36"/>
          <w:szCs w:val="36"/>
          <w:lang w:eastAsia="zh-CN"/>
        </w:rPr>
        <w:t>共性</w:t>
      </w:r>
      <w:r>
        <w:rPr>
          <w:rFonts w:ascii="方正小标宋_GBK" w:cs="宋体" w:eastAsia="方正小标宋_GBK" w:hAnsi="宋体" w:hint="eastAsia"/>
          <w:kern w:val="0"/>
          <w:sz w:val="36"/>
          <w:szCs w:val="36"/>
        </w:rPr>
        <w:t>指标表</w:t>
      </w:r>
    </w:p>
    <w:tbl>
      <w:tblPr>
        <w:tblStyle w:val="style105"/>
        <w:tblW w:w="10600" w:type="dxa"/>
        <w:jc w:val="center"/>
        <w:tblLayout w:type="fixed"/>
        <w:tblCellMar>
          <w:top w:w="0" w:type="dxa"/>
          <w:left w:w="108" w:type="dxa"/>
          <w:bottom w:w="0" w:type="dxa"/>
          <w:right w:w="108" w:type="dxa"/>
        </w:tblCellMar>
      </w:tblPr>
      <w:tblGrid>
        <w:gridCol w:w="518"/>
        <w:gridCol w:w="470"/>
        <w:gridCol w:w="623"/>
        <w:gridCol w:w="416"/>
        <w:gridCol w:w="1015"/>
        <w:gridCol w:w="416"/>
        <w:gridCol w:w="3016"/>
        <w:gridCol w:w="3489"/>
        <w:gridCol w:w="637"/>
      </w:tblGrid>
      <w:tr>
        <w:trPr>
          <w:tblHeader/>
          <w:jc w:val="center"/>
        </w:trPr>
        <w:tc>
          <w:tcPr>
            <w:tcW w:w="518" w:type="dxa"/>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一级指标</w:t>
            </w:r>
          </w:p>
        </w:tc>
        <w:tc>
          <w:tcPr>
            <w:tcW w:w="470"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分值</w:t>
            </w:r>
          </w:p>
        </w:tc>
        <w:tc>
          <w:tcPr>
            <w:tcW w:w="623"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二级指标</w:t>
            </w:r>
          </w:p>
        </w:tc>
        <w:tc>
          <w:tcPr>
            <w:tcW w:w="4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分值</w:t>
            </w:r>
          </w:p>
        </w:tc>
        <w:tc>
          <w:tcPr>
            <w:tcW w:w="1015"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kern w:val="0"/>
                <w:sz w:val="20"/>
                <w:szCs w:val="20"/>
              </w:rPr>
            </w:pPr>
            <w:r>
              <w:rPr>
                <w:rFonts w:ascii="仿宋_GB2312" w:cs="宋体" w:eastAsia="仿宋_GB2312" w:hAnsi="宋体" w:hint="eastAsia"/>
                <w:kern w:val="0"/>
                <w:sz w:val="20"/>
                <w:szCs w:val="20"/>
              </w:rPr>
              <w:t>三级</w:t>
            </w:r>
          </w:p>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指标</w:t>
            </w:r>
          </w:p>
        </w:tc>
        <w:tc>
          <w:tcPr>
            <w:tcW w:w="4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分值</w:t>
            </w:r>
          </w:p>
        </w:tc>
        <w:tc>
          <w:tcPr>
            <w:tcW w:w="30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评价标准</w:t>
            </w:r>
          </w:p>
        </w:tc>
        <w:tc>
          <w:tcPr>
            <w:tcW w:w="3489"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指标说明</w:t>
            </w:r>
          </w:p>
        </w:tc>
        <w:tc>
          <w:tcPr>
            <w:tcW w:w="637"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得分</w:t>
            </w:r>
          </w:p>
        </w:tc>
      </w:tr>
      <w:tr>
        <w:tblPrEx/>
        <w:trPr>
          <w:trHeight w:val="1814" w:hRule="atLeast"/>
          <w:jc w:val="center"/>
        </w:trPr>
        <w:tc>
          <w:tcPr>
            <w:tcW w:w="518" w:type="dxa"/>
            <w:vMerge w:val="restart"/>
            <w:tcBorders>
              <w:top w:val="nil"/>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投入</w:t>
            </w:r>
          </w:p>
        </w:tc>
        <w:tc>
          <w:tcPr>
            <w:tcW w:w="470"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hint="eastAsia"/>
                <w:kern w:val="0"/>
                <w:sz w:val="20"/>
                <w:szCs w:val="20"/>
                <w:lang w:eastAsia="zh-CN"/>
              </w:rPr>
            </w:pPr>
            <w:r>
              <w:rPr>
                <w:rFonts w:ascii="仿宋_GB2312" w:cs="宋体" w:eastAsia="仿宋_GB2312" w:hAnsi="宋体" w:hint="eastAsia"/>
                <w:kern w:val="0"/>
                <w:sz w:val="20"/>
                <w:szCs w:val="20"/>
              </w:rPr>
              <w:t>1</w:t>
            </w:r>
            <w:r>
              <w:rPr>
                <w:rFonts w:ascii="仿宋_GB2312" w:cs="宋体" w:eastAsia="仿宋_GB2312" w:hAnsi="宋体" w:hint="eastAsia"/>
                <w:kern w:val="0"/>
                <w:sz w:val="20"/>
                <w:szCs w:val="20"/>
                <w:lang w:val="en-US" w:eastAsia="zh-CN"/>
              </w:rPr>
              <w:t>0</w:t>
            </w:r>
          </w:p>
        </w:tc>
        <w:tc>
          <w:tcPr>
            <w:tcW w:w="623" w:type="dxa"/>
            <w:vMerge w:val="restart"/>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预算配置</w:t>
            </w:r>
          </w:p>
        </w:tc>
        <w:tc>
          <w:tcPr>
            <w:tcW w:w="416"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hint="eastAsia"/>
                <w:kern w:val="0"/>
                <w:sz w:val="20"/>
                <w:szCs w:val="20"/>
                <w:lang w:eastAsia="zh-CN"/>
              </w:rPr>
            </w:pPr>
            <w:r>
              <w:rPr>
                <w:rFonts w:ascii="仿宋_GB2312" w:cs="宋体" w:eastAsia="仿宋_GB2312" w:hAnsi="宋体" w:hint="eastAsia"/>
                <w:kern w:val="0"/>
                <w:sz w:val="20"/>
                <w:szCs w:val="20"/>
              </w:rPr>
              <w:t>1</w:t>
            </w:r>
            <w:r>
              <w:rPr>
                <w:rFonts w:ascii="仿宋_GB2312" w:cs="宋体" w:eastAsia="仿宋_GB2312" w:hAnsi="宋体" w:hint="eastAsia"/>
                <w:kern w:val="0"/>
                <w:sz w:val="20"/>
                <w:szCs w:val="20"/>
                <w:lang w:val="en-US" w:eastAsia="zh-CN"/>
              </w:rPr>
              <w:t>0</w:t>
            </w: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在职人员控制率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5</w:t>
            </w:r>
          </w:p>
        </w:tc>
        <w:tc>
          <w:tcPr>
            <w:tcW w:w="3016" w:type="dxa"/>
            <w:tcBorders>
              <w:top w:val="nil"/>
              <w:left w:val="nil"/>
              <w:bottom w:val="nil"/>
              <w:right w:val="nil"/>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以100%为标准。在职人员控制率</w:t>
            </w:r>
            <w:r>
              <w:rPr>
                <w:rFonts w:ascii="宋体" w:cs="宋体" w:hAnsi="宋体" w:hint="eastAsia"/>
                <w:kern w:val="0"/>
                <w:sz w:val="20"/>
                <w:szCs w:val="20"/>
              </w:rPr>
              <w:t>≦</w:t>
            </w:r>
            <w:r>
              <w:rPr>
                <w:rFonts w:ascii="仿宋_GB2312" w:cs="宋体" w:eastAsia="仿宋_GB2312" w:hAnsi="宋体" w:hint="eastAsia"/>
                <w:kern w:val="0"/>
                <w:sz w:val="20"/>
                <w:szCs w:val="20"/>
              </w:rPr>
              <w:t>100%，计5分；每超过一个百分点扣0.5分，扣完为止。</w:t>
            </w:r>
          </w:p>
        </w:tc>
        <w:tc>
          <w:tcPr>
            <w:tcW w:w="3489" w:type="dxa"/>
            <w:tcBorders>
              <w:top w:val="nil"/>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在职人员控制率=（在职人员数/编制数）×100%，在职人员数：部门（单位）实际在职人数，以财政确定的部门决算编制口径为准。</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编制数：机构编制部门核定批复的部门（单位）的人员编制数。</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5</w:t>
            </w:r>
          </w:p>
        </w:tc>
      </w:tr>
      <w:tr>
        <w:tblPrEx/>
        <w:trPr>
          <w:jc w:val="center"/>
        </w:trPr>
        <w:tc>
          <w:tcPr>
            <w:tcW w:w="518" w:type="dxa"/>
            <w:vMerge w:val="continue"/>
            <w:tcBorders>
              <w:top w:val="nil"/>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“三公经费”变动率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kern w:val="0"/>
                <w:sz w:val="20"/>
                <w:szCs w:val="20"/>
                <w:lang w:eastAsia="zh-CN"/>
              </w:rPr>
            </w:pPr>
            <w:r>
              <w:rPr>
                <w:rFonts w:ascii="仿宋_GB2312" w:cs="宋体" w:eastAsia="仿宋_GB2312" w:hAnsi="宋体" w:hint="eastAsia"/>
                <w:kern w:val="0"/>
                <w:sz w:val="20"/>
                <w:szCs w:val="20"/>
                <w:lang w:val="en-US" w:eastAsia="zh-CN"/>
              </w:rPr>
              <w:t>5</w:t>
            </w:r>
          </w:p>
        </w:tc>
        <w:tc>
          <w:tcPr>
            <w:tcW w:w="3016" w:type="dxa"/>
            <w:tcBorders>
              <w:top w:val="single" w:sz="4" w:space="0" w:color="auto"/>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“三公经费”变动率</w:t>
            </w:r>
            <w:r>
              <w:rPr>
                <w:rFonts w:ascii="宋体" w:cs="宋体" w:hAnsi="宋体" w:hint="eastAsia"/>
                <w:kern w:val="0"/>
                <w:sz w:val="20"/>
                <w:szCs w:val="20"/>
              </w:rPr>
              <w:t>≦</w:t>
            </w:r>
            <w:r>
              <w:rPr>
                <w:rFonts w:ascii="仿宋_GB2312" w:cs="宋体" w:eastAsia="仿宋_GB2312" w:hAnsi="宋体" w:hint="eastAsia"/>
                <w:kern w:val="0"/>
                <w:sz w:val="20"/>
                <w:szCs w:val="20"/>
              </w:rPr>
              <w:t>0,计</w:t>
            </w:r>
            <w:r>
              <w:rPr>
                <w:rFonts w:ascii="仿宋_GB2312" w:cs="宋体" w:eastAsia="仿宋_GB2312" w:hAnsi="宋体" w:hint="eastAsia"/>
                <w:kern w:val="0"/>
                <w:sz w:val="20"/>
                <w:szCs w:val="20"/>
                <w:lang w:val="en-US" w:eastAsia="zh-CN"/>
              </w:rPr>
              <w:t>5</w:t>
            </w:r>
            <w:r>
              <w:rPr>
                <w:rFonts w:ascii="仿宋_GB2312" w:cs="宋体" w:eastAsia="仿宋_GB2312" w:hAnsi="宋体" w:hint="eastAsia"/>
                <w:kern w:val="0"/>
                <w:sz w:val="20"/>
                <w:szCs w:val="20"/>
              </w:rPr>
              <w:t>分；“三公经费”＞0，每超过一个百分点扣0.</w:t>
            </w:r>
            <w:r>
              <w:rPr>
                <w:rFonts w:ascii="仿宋_GB2312" w:cs="宋体" w:eastAsia="仿宋_GB2312" w:hAnsi="宋体" w:hint="eastAsia"/>
                <w:kern w:val="0"/>
                <w:sz w:val="20"/>
                <w:szCs w:val="20"/>
                <w:lang w:val="en-US" w:eastAsia="zh-CN"/>
              </w:rPr>
              <w:t>5</w:t>
            </w:r>
            <w:r>
              <w:rPr>
                <w:rFonts w:ascii="仿宋_GB2312" w:cs="宋体" w:eastAsia="仿宋_GB2312" w:hAnsi="宋体" w:hint="eastAsia"/>
                <w:kern w:val="0"/>
                <w:sz w:val="20"/>
                <w:szCs w:val="20"/>
              </w:rPr>
              <w:t>分，扣完为止。</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“三公经费”变动率=[（本年度“三公经费”预算数-上年度“三公经费”预算数）/上年度“三公经费”预算数]×100%</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5</w:t>
            </w:r>
          </w:p>
        </w:tc>
      </w:tr>
      <w:tr>
        <w:tblPrEx/>
        <w:trPr>
          <w:jc w:val="center"/>
        </w:trPr>
        <w:tc>
          <w:tcPr>
            <w:tcW w:w="518"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过                                                                                                                                       程</w:t>
            </w:r>
          </w:p>
        </w:tc>
        <w:tc>
          <w:tcPr>
            <w:tcW w:w="470"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hint="eastAsia"/>
                <w:kern w:val="0"/>
                <w:sz w:val="20"/>
                <w:szCs w:val="20"/>
                <w:lang w:eastAsia="zh-CN"/>
              </w:rPr>
            </w:pPr>
            <w:r>
              <w:rPr>
                <w:rFonts w:ascii="仿宋_GB2312" w:cs="宋体" w:eastAsia="仿宋_GB2312" w:hAnsi="宋体" w:hint="eastAsia"/>
                <w:kern w:val="0"/>
                <w:sz w:val="20"/>
                <w:szCs w:val="20"/>
              </w:rPr>
              <w:t>6</w:t>
            </w:r>
            <w:r>
              <w:rPr>
                <w:rFonts w:ascii="仿宋_GB2312" w:cs="宋体" w:eastAsia="仿宋_GB2312" w:hAnsi="宋体" w:hint="eastAsia"/>
                <w:kern w:val="0"/>
                <w:sz w:val="20"/>
                <w:szCs w:val="20"/>
                <w:lang w:val="en-US" w:eastAsia="zh-CN"/>
              </w:rPr>
              <w:t>0</w:t>
            </w:r>
          </w:p>
        </w:tc>
        <w:tc>
          <w:tcPr>
            <w:tcW w:w="623"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预算执行</w:t>
            </w:r>
          </w:p>
        </w:tc>
        <w:tc>
          <w:tcPr>
            <w:tcW w:w="416"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20</w:t>
            </w: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预算完成率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5</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100%计满分，每低于5%扣2分，扣完为止。</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预算完成率=（上年结转+年初预算+本年追加预算-年末结余）/（上年结转+年初预算+本年追加预算）×100%。</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5</w:t>
            </w:r>
          </w:p>
        </w:tc>
      </w:tr>
      <w:tr>
        <w:tblPrEx/>
        <w:trPr>
          <w:trHeight w:val="1273" w:hRule="atLeast"/>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预算控制率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5</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预算控制率=0，计5分；0-10%（含），计4分；10-20%（含），计3分；20-30%（含），计2分；大于30%不得分。</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预算控制率=（本年追加预算/年初预算）×100%。</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0</w:t>
            </w:r>
          </w:p>
        </w:tc>
      </w:tr>
      <w:tr>
        <w:tblPrEx/>
        <w:trPr>
          <w:trHeight w:val="1160" w:hRule="atLeast"/>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新建楼堂馆所面积控制率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5</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100%以下（含）计满分，每超出5%扣2分，扣完为止。没有楼堂馆所项目的部门按满分计算。</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楼堂馆所面积控制率=实际建设面积/批准建设面积×100% 。</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该指标以</w:t>
            </w:r>
            <w:r>
              <w:rPr>
                <w:rFonts w:ascii="仿宋_GB2312" w:cs="宋体" w:eastAsia="仿宋_GB2312" w:hAnsi="宋体" w:hint="eastAsia"/>
                <w:kern w:val="0"/>
                <w:sz w:val="20"/>
                <w:szCs w:val="20"/>
                <w:lang w:val="en-US" w:eastAsia="zh-CN"/>
              </w:rPr>
              <w:t>2021</w:t>
            </w:r>
            <w:r>
              <w:rPr>
                <w:rFonts w:ascii="仿宋_GB2312" w:cs="宋体" w:eastAsia="仿宋_GB2312" w:hAnsi="宋体" w:hint="eastAsia"/>
                <w:kern w:val="0"/>
                <w:sz w:val="20"/>
                <w:szCs w:val="20"/>
              </w:rPr>
              <w:t>年完工的新建楼堂馆所为评价内容。</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5</w:t>
            </w:r>
          </w:p>
        </w:tc>
      </w:tr>
      <w:tr>
        <w:tblPrEx/>
        <w:trPr>
          <w:trHeight w:val="1543" w:hRule="atLeast"/>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新建楼堂馆所投资概算控制率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5</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100%以下（含）计满分，每超出5%扣2分，扣完为止。</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楼堂馆所投资预算控制率=实际投资金额/批准投资金额×100% 。</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该指标以2</w:t>
            </w:r>
            <w:r>
              <w:rPr>
                <w:rFonts w:ascii="仿宋_GB2312" w:cs="宋体" w:eastAsia="仿宋_GB2312" w:hAnsi="宋体" w:hint="eastAsia"/>
                <w:kern w:val="0"/>
                <w:sz w:val="20"/>
                <w:szCs w:val="20"/>
                <w:lang w:val="en-US" w:eastAsia="zh-CN"/>
              </w:rPr>
              <w:t>021</w:t>
            </w:r>
            <w:r>
              <w:rPr>
                <w:rFonts w:ascii="仿宋_GB2312" w:cs="宋体" w:eastAsia="仿宋_GB2312" w:hAnsi="宋体" w:hint="eastAsia"/>
                <w:kern w:val="0"/>
                <w:sz w:val="20"/>
                <w:szCs w:val="20"/>
              </w:rPr>
              <w:t>年完工的新建楼堂馆所为评价内容。</w:t>
            </w:r>
          </w:p>
        </w:tc>
        <w:tc>
          <w:tcPr>
            <w:tcW w:w="637" w:type="dxa"/>
            <w:tcBorders>
              <w:top w:val="nil"/>
              <w:left w:val="nil"/>
              <w:bottom w:val="single" w:sz="4" w:space="0" w:color="auto"/>
              <w:right w:val="single" w:sz="4" w:space="0" w:color="auto"/>
            </w:tcBorders>
            <w:vAlign w:val="center"/>
          </w:tcPr>
          <w:p>
            <w:pPr>
              <w:pStyle w:val="style0"/>
              <w:widowControl/>
              <w:ind w:firstLine="240" w:firstLineChars="100"/>
              <w:jc w:val="left"/>
              <w:rPr>
                <w:rFonts w:ascii="宋体" w:cs="宋体" w:hAnsi="宋体"/>
                <w:kern w:val="0"/>
                <w:sz w:val="24"/>
              </w:rPr>
            </w:pPr>
            <w:r>
              <w:rPr>
                <w:rFonts w:ascii="宋体" w:cs="宋体" w:hAnsi="宋体" w:hint="eastAsia"/>
                <w:kern w:val="0"/>
                <w:sz w:val="24"/>
                <w:lang w:val="en-US" w:eastAsia="zh-CN"/>
              </w:rPr>
              <w:t>5</w:t>
            </w:r>
            <w:r>
              <w:rPr>
                <w:rFonts w:ascii="宋体" w:cs="宋体" w:hAnsi="宋体" w:hint="eastAsia"/>
                <w:kern w:val="0"/>
                <w:sz w:val="24"/>
              </w:rPr>
              <w:t>　</w:t>
            </w:r>
          </w:p>
        </w:tc>
      </w:tr>
      <w:tr>
        <w:tblPrEx/>
        <w:trPr>
          <w:trHeight w:val="1562" w:hRule="atLeast"/>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预算管理</w:t>
            </w:r>
          </w:p>
        </w:tc>
        <w:tc>
          <w:tcPr>
            <w:tcW w:w="416"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hint="default"/>
                <w:kern w:val="0"/>
                <w:sz w:val="20"/>
                <w:szCs w:val="20"/>
                <w:lang w:val="en-US" w:eastAsia="zh-CN"/>
              </w:rPr>
            </w:pPr>
            <w:r>
              <w:rPr>
                <w:rFonts w:ascii="仿宋_GB2312" w:cs="宋体" w:eastAsia="仿宋_GB2312" w:hAnsi="宋体" w:hint="eastAsia"/>
                <w:kern w:val="0"/>
                <w:sz w:val="20"/>
                <w:szCs w:val="20"/>
                <w:lang w:val="en-US" w:eastAsia="zh-CN"/>
              </w:rPr>
              <w:t>40</w:t>
            </w: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公用经费控制率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8</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100%以下（含）计满分，每超出1%扣1分，扣完为止。</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公用经费控制率=（实际支出公用经费总额/预算安排公用经费总额）×100%。</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公用经费支出是指部门基本支出中的一般商品和服务支出。</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8</w:t>
            </w:r>
          </w:p>
        </w:tc>
      </w:tr>
      <w:tr>
        <w:tblPrEx/>
        <w:trPr>
          <w:trHeight w:val="1073" w:hRule="atLeast"/>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“三公经费”控制率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kern w:val="0"/>
                <w:sz w:val="20"/>
                <w:szCs w:val="20"/>
                <w:lang w:eastAsia="zh-CN"/>
              </w:rPr>
            </w:pPr>
            <w:r>
              <w:rPr>
                <w:rFonts w:ascii="仿宋_GB2312" w:cs="宋体" w:eastAsia="仿宋_GB2312" w:hAnsi="宋体" w:hint="eastAsia"/>
                <w:kern w:val="0"/>
                <w:sz w:val="20"/>
                <w:szCs w:val="20"/>
                <w:lang w:val="en-US" w:eastAsia="zh-CN"/>
              </w:rPr>
              <w:t>7</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100%以下（含）计满分，每超出1%扣1分，扣完为止。</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“三公经费”控制率-（“三公经费”实际支出数/“三公经费”预算安排数）×100%。</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7</w:t>
            </w:r>
          </w:p>
        </w:tc>
      </w:tr>
      <w:tr>
        <w:tblPrEx/>
        <w:trPr>
          <w:trHeight w:val="918" w:hRule="atLeast"/>
          <w:jc w:val="center"/>
        </w:trPr>
        <w:tc>
          <w:tcPr>
            <w:tcW w:w="518" w:type="dxa"/>
            <w:vMerge w:val="continue"/>
            <w:tcBorders>
              <w:top w:val="nil"/>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政府采购执行率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6</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100%计满分，每超过（降低）5%扣2分。扣完为止。</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政府采购执行率=（实际政府采购金额/政府采购预算数）×100%</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6</w:t>
            </w:r>
          </w:p>
        </w:tc>
      </w:tr>
      <w:tr>
        <w:tblPrEx/>
        <w:trPr>
          <w:jc w:val="center"/>
        </w:trPr>
        <w:tc>
          <w:tcPr>
            <w:tcW w:w="518" w:type="dxa"/>
            <w:vMerge w:val="restart"/>
            <w:tcBorders>
              <w:top w:val="single" w:sz="4" w:space="0" w:color="auto"/>
              <w:left w:val="single" w:sz="4" w:space="0" w:color="auto"/>
              <w:bottom w:val="single" w:sz="4" w:space="0" w:color="000000"/>
              <w:right w:val="single" w:sz="4" w:space="0" w:color="auto"/>
            </w:tcBorders>
            <w:vAlign w:val="center"/>
          </w:tcPr>
          <w:p>
            <w:pPr>
              <w:pStyle w:val="style0"/>
              <w:jc w:val="left"/>
              <w:rPr>
                <w:rFonts w:ascii="仿宋_GB2312" w:cs="宋体" w:eastAsia="仿宋_GB2312" w:hAnsi="宋体"/>
                <w:kern w:val="0"/>
                <w:sz w:val="20"/>
                <w:szCs w:val="20"/>
              </w:rPr>
            </w:pPr>
            <w:r>
              <w:rPr>
                <w:rFonts w:ascii="仿宋_GB2312" w:cs="宋体" w:eastAsia="仿宋_GB2312" w:hAnsi="宋体" w:hint="eastAsia"/>
                <w:kern w:val="0"/>
                <w:sz w:val="20"/>
                <w:szCs w:val="20"/>
              </w:rPr>
              <w:t>过                                                                                                                                       程</w:t>
            </w:r>
          </w:p>
        </w:tc>
        <w:tc>
          <w:tcPr>
            <w:tcW w:w="470" w:type="dxa"/>
            <w:vMerge w:val="restart"/>
            <w:tcBorders>
              <w:top w:val="single" w:sz="4" w:space="0" w:color="auto"/>
              <w:left w:val="single" w:sz="4" w:space="0" w:color="auto"/>
              <w:bottom w:val="single" w:sz="4" w:space="0" w:color="000000"/>
              <w:right w:val="single" w:sz="4" w:space="0" w:color="auto"/>
            </w:tcBorders>
            <w:vAlign w:val="center"/>
          </w:tcPr>
          <w:p>
            <w:pPr>
              <w:pStyle w:val="style0"/>
              <w:jc w:val="left"/>
              <w:rPr>
                <w:rFonts w:ascii="仿宋_GB2312" w:cs="宋体" w:eastAsia="仿宋_GB2312" w:hAnsi="宋体" w:hint="eastAsia"/>
                <w:kern w:val="0"/>
                <w:sz w:val="20"/>
                <w:szCs w:val="20"/>
                <w:lang w:eastAsia="zh-CN"/>
              </w:rPr>
            </w:pPr>
            <w:r>
              <w:rPr>
                <w:rFonts w:ascii="仿宋_GB2312" w:cs="宋体" w:eastAsia="仿宋_GB2312" w:hAnsi="宋体" w:hint="eastAsia"/>
                <w:kern w:val="0"/>
                <w:sz w:val="20"/>
                <w:szCs w:val="20"/>
              </w:rPr>
              <w:t>6</w:t>
            </w:r>
            <w:r>
              <w:rPr>
                <w:rFonts w:ascii="仿宋_GB2312" w:cs="宋体" w:eastAsia="仿宋_GB2312" w:hAnsi="宋体" w:hint="eastAsia"/>
                <w:kern w:val="0"/>
                <w:sz w:val="20"/>
                <w:szCs w:val="20"/>
                <w:lang w:val="en-US" w:eastAsia="zh-CN"/>
              </w:rPr>
              <w:t>0</w:t>
            </w:r>
          </w:p>
        </w:tc>
        <w:tc>
          <w:tcPr>
            <w:tcW w:w="623" w:type="dxa"/>
            <w:vMerge w:val="restart"/>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预算管理</w:t>
            </w: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管理制度健全性</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8</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①有内部财务管理制度、会计核算制度等管理制度，2分；</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②有本部门厉行节约制度,2分；</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③相关管理制度合法、合规、完整，2分；④相关管理制度得到有效执行，2分。</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　</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8</w:t>
            </w:r>
          </w:p>
        </w:tc>
      </w:tr>
      <w:tr>
        <w:tblPrEx/>
        <w:trPr>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资金使用合规性</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6</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以上情况每出现一例不符合要求的扣1分，扣完为止。</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　</w:t>
            </w:r>
          </w:p>
        </w:tc>
        <w:tc>
          <w:tcPr>
            <w:tcW w:w="637" w:type="dxa"/>
            <w:tcBorders>
              <w:top w:val="nil"/>
              <w:left w:val="nil"/>
              <w:bottom w:val="single" w:sz="4" w:space="0" w:color="auto"/>
              <w:right w:val="single" w:sz="4" w:space="0" w:color="auto"/>
            </w:tcBorders>
            <w:vAlign w:val="center"/>
          </w:tcPr>
          <w:p>
            <w:pPr>
              <w:pStyle w:val="style0"/>
              <w:widowControl/>
              <w:ind w:firstLine="240" w:firstLineChars="100"/>
              <w:jc w:val="left"/>
              <w:rPr>
                <w:rFonts w:ascii="宋体" w:cs="宋体" w:hAnsi="宋体"/>
                <w:kern w:val="0"/>
                <w:sz w:val="24"/>
              </w:rPr>
            </w:pPr>
            <w:r>
              <w:rPr>
                <w:rFonts w:ascii="宋体" w:cs="宋体" w:hAnsi="宋体" w:hint="eastAsia"/>
                <w:kern w:val="0"/>
                <w:sz w:val="24"/>
                <w:lang w:val="en-US" w:eastAsia="zh-CN"/>
              </w:rPr>
              <w:t>6</w:t>
            </w:r>
            <w:r>
              <w:rPr>
                <w:rFonts w:ascii="宋体" w:cs="宋体" w:hAnsi="宋体" w:hint="eastAsia"/>
                <w:kern w:val="0"/>
                <w:sz w:val="24"/>
              </w:rPr>
              <w:t>　</w:t>
            </w:r>
          </w:p>
        </w:tc>
      </w:tr>
      <w:tr>
        <w:tblPrEx/>
        <w:trPr>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预决算信息公开性</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5</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预决算信息是指与部门预算、执行、决算、监督、绩效等管理相关的信息。</w:t>
            </w:r>
          </w:p>
        </w:tc>
        <w:tc>
          <w:tcPr>
            <w:tcW w:w="637" w:type="dxa"/>
            <w:tcBorders>
              <w:top w:val="nil"/>
              <w:left w:val="nil"/>
              <w:bottom w:val="single" w:sz="4" w:space="0" w:color="auto"/>
              <w:right w:val="single" w:sz="4" w:space="0" w:color="auto"/>
            </w:tcBorders>
            <w:vAlign w:val="center"/>
          </w:tcPr>
          <w:p>
            <w:pPr>
              <w:pStyle w:val="style0"/>
              <w:widowControl/>
              <w:ind w:firstLine="240" w:firstLineChars="100"/>
              <w:jc w:val="left"/>
              <w:rPr>
                <w:rFonts w:ascii="宋体" w:cs="宋体" w:eastAsia="宋体" w:hAnsi="宋体" w:hint="eastAsia"/>
                <w:kern w:val="0"/>
                <w:sz w:val="24"/>
                <w:lang w:val="en-US" w:eastAsia="zh-CN"/>
              </w:rPr>
            </w:pPr>
            <w:r>
              <w:rPr>
                <w:rFonts w:ascii="宋体" w:cs="宋体" w:hAnsi="宋体" w:hint="eastAsia"/>
                <w:kern w:val="0"/>
                <w:sz w:val="24"/>
                <w:lang w:val="en-US" w:eastAsia="zh-CN"/>
              </w:rPr>
              <w:t>5</w:t>
            </w:r>
          </w:p>
        </w:tc>
      </w:tr>
      <w:tr>
        <w:tblPrEx/>
        <w:trPr>
          <w:jc w:val="center"/>
        </w:trPr>
        <w:tc>
          <w:tcPr>
            <w:tcW w:w="518"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产出及效率</w:t>
            </w:r>
          </w:p>
        </w:tc>
        <w:tc>
          <w:tcPr>
            <w:tcW w:w="470"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hint="default"/>
                <w:kern w:val="0"/>
                <w:sz w:val="20"/>
                <w:szCs w:val="20"/>
                <w:lang w:val="en-US" w:eastAsia="zh-CN"/>
              </w:rPr>
            </w:pPr>
            <w:r>
              <w:rPr>
                <w:rFonts w:ascii="仿宋_GB2312" w:cs="宋体" w:eastAsia="仿宋_GB2312" w:hAnsi="宋体" w:hint="eastAsia"/>
                <w:kern w:val="0"/>
                <w:sz w:val="20"/>
                <w:szCs w:val="20"/>
                <w:lang w:val="en-US" w:eastAsia="zh-CN"/>
              </w:rPr>
              <w:t>30</w:t>
            </w:r>
          </w:p>
        </w:tc>
        <w:tc>
          <w:tcPr>
            <w:tcW w:w="623"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职责履行</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8</w:t>
            </w:r>
          </w:p>
        </w:tc>
        <w:tc>
          <w:tcPr>
            <w:tcW w:w="1015" w:type="dxa"/>
            <w:tcBorders>
              <w:top w:val="nil"/>
              <w:left w:val="nil"/>
              <w:bottom w:val="nil"/>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重点工作实际完成率</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8</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根据绩效办20</w:t>
            </w:r>
            <w:r>
              <w:rPr>
                <w:rFonts w:ascii="仿宋_GB2312" w:cs="宋体" w:eastAsia="仿宋_GB2312" w:hAnsi="宋体" w:hint="eastAsia"/>
                <w:kern w:val="0"/>
                <w:sz w:val="20"/>
                <w:szCs w:val="20"/>
                <w:lang w:val="en-US" w:eastAsia="zh-CN"/>
              </w:rPr>
              <w:t>21</w:t>
            </w:r>
            <w:r>
              <w:rPr>
                <w:rFonts w:ascii="仿宋_GB2312" w:cs="宋体" w:eastAsia="仿宋_GB2312" w:hAnsi="宋体" w:hint="eastAsia"/>
                <w:kern w:val="0"/>
                <w:sz w:val="20"/>
                <w:szCs w:val="20"/>
              </w:rPr>
              <w:t>年对各部门为民办实事和部门重点工程与重点工作考核分数折算。</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该项得分=（绩效办对应部分考核得分/</w:t>
            </w:r>
            <w:r>
              <w:rPr>
                <w:rFonts w:ascii="仿宋_GB2312" w:cs="宋体" w:eastAsia="仿宋_GB2312" w:hAnsi="宋体" w:hint="eastAsia"/>
                <w:kern w:val="0"/>
                <w:sz w:val="20"/>
                <w:szCs w:val="20"/>
                <w:lang w:eastAsia="zh-CN"/>
              </w:rPr>
              <w:t>该部分总分</w:t>
            </w:r>
            <w:r>
              <w:rPr>
                <w:rFonts w:ascii="仿宋_GB2312" w:cs="宋体" w:eastAsia="仿宋_GB2312" w:hAnsi="宋体" w:hint="eastAsia"/>
                <w:kern w:val="0"/>
                <w:sz w:val="20"/>
                <w:szCs w:val="20"/>
              </w:rPr>
              <w:t>）*8</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　</w:t>
            </w:r>
          </w:p>
        </w:tc>
        <w:tc>
          <w:tcPr>
            <w:tcW w:w="637" w:type="dxa"/>
            <w:tcBorders>
              <w:top w:val="nil"/>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8</w:t>
            </w:r>
          </w:p>
        </w:tc>
      </w:tr>
      <w:tr>
        <w:tblPrEx/>
        <w:trPr>
          <w:trHeight w:val="90" w:hRule="atLeast"/>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履职 效益</w:t>
            </w:r>
          </w:p>
        </w:tc>
        <w:tc>
          <w:tcPr>
            <w:tcW w:w="416"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hint="default"/>
                <w:kern w:val="0"/>
                <w:sz w:val="20"/>
                <w:szCs w:val="20"/>
                <w:lang w:val="en-US" w:eastAsia="zh-CN"/>
              </w:rPr>
            </w:pPr>
            <w:r>
              <w:rPr>
                <w:rFonts w:ascii="仿宋_GB2312" w:cs="宋体" w:eastAsia="仿宋_GB2312" w:hAnsi="宋体" w:hint="eastAsia"/>
                <w:kern w:val="0"/>
                <w:sz w:val="20"/>
                <w:szCs w:val="20"/>
                <w:lang w:val="en-US" w:eastAsia="zh-CN"/>
              </w:rPr>
              <w:t>10</w:t>
            </w:r>
          </w:p>
        </w:tc>
        <w:tc>
          <w:tcPr>
            <w:tcW w:w="1015"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经济效益</w:t>
            </w:r>
          </w:p>
        </w:tc>
        <w:tc>
          <w:tcPr>
            <w:tcW w:w="416" w:type="dxa"/>
            <w:vMerge w:val="restart"/>
            <w:tcBorders>
              <w:top w:val="nil"/>
              <w:left w:val="single" w:sz="4" w:space="0" w:color="auto"/>
              <w:bottom w:val="nil"/>
              <w:right w:val="single" w:sz="4" w:space="0" w:color="auto"/>
            </w:tcBorders>
            <w:vAlign w:val="center"/>
          </w:tcPr>
          <w:p>
            <w:pPr>
              <w:pStyle w:val="style0"/>
              <w:widowControl/>
              <w:jc w:val="center"/>
              <w:rPr>
                <w:rFonts w:ascii="仿宋_GB2312" w:cs="宋体" w:eastAsia="仿宋_GB2312" w:hAnsi="宋体" w:hint="default"/>
                <w:kern w:val="0"/>
                <w:sz w:val="20"/>
                <w:szCs w:val="20"/>
                <w:lang w:val="en-US" w:eastAsia="zh-CN"/>
              </w:rPr>
            </w:pPr>
            <w:r>
              <w:rPr>
                <w:rFonts w:ascii="仿宋_GB2312" w:cs="宋体" w:eastAsia="仿宋_GB2312" w:hAnsi="宋体" w:hint="eastAsia"/>
                <w:kern w:val="0"/>
                <w:sz w:val="20"/>
                <w:szCs w:val="20"/>
                <w:lang w:val="en-US" w:eastAsia="zh-CN"/>
              </w:rPr>
              <w:t>10</w:t>
            </w:r>
          </w:p>
        </w:tc>
        <w:tc>
          <w:tcPr>
            <w:tcW w:w="6505" w:type="dxa"/>
            <w:gridSpan w:val="2"/>
            <w:vMerge w:val="restart"/>
            <w:tcBorders>
              <w:top w:val="single" w:sz="4" w:space="0" w:color="auto"/>
              <w:left w:val="single" w:sz="4" w:space="0" w:color="auto"/>
              <w:bottom w:val="nil"/>
              <w:right w:val="single" w:sz="4" w:space="0" w:color="000000"/>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此两项指标为设置部门整体支出绩效评价指标时必须考虑的共性要素，可根据部门实际情况有选择的进行设置，并将其细化为相应的个性化指标。</w:t>
            </w:r>
          </w:p>
        </w:tc>
        <w:tc>
          <w:tcPr>
            <w:tcW w:w="637" w:type="dxa"/>
            <w:tcBorders>
              <w:top w:val="nil"/>
              <w:left w:val="nil"/>
              <w:bottom w:val="nil"/>
              <w:right w:val="single" w:sz="4" w:space="0" w:color="auto"/>
            </w:tcBorders>
            <w:vAlign w:val="center"/>
          </w:tcPr>
          <w:p>
            <w:pPr>
              <w:pStyle w:val="style0"/>
              <w:widowControl/>
              <w:ind w:left="240" w:hanging="240" w:hangingChars="100"/>
              <w:jc w:val="left"/>
              <w:rPr>
                <w:rFonts w:ascii="宋体" w:cs="宋体" w:eastAsia="宋体" w:hAnsi="宋体" w:hint="default"/>
                <w:kern w:val="0"/>
                <w:sz w:val="24"/>
                <w:lang w:val="en-US" w:eastAsia="zh-CN"/>
              </w:rPr>
            </w:pPr>
            <w:r>
              <w:rPr>
                <w:rFonts w:ascii="宋体" w:cs="宋体" w:hAnsi="宋体" w:hint="eastAsia"/>
                <w:kern w:val="0"/>
                <w:sz w:val="24"/>
                <w:lang w:val="en-US" w:eastAsia="zh-CN"/>
              </w:rPr>
              <w:t>10</w:t>
            </w:r>
          </w:p>
        </w:tc>
      </w:tr>
      <w:tr>
        <w:tblPrEx/>
        <w:trPr>
          <w:trHeight w:val="286" w:hRule="atLeast"/>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社会效益</w:t>
            </w:r>
          </w:p>
        </w:tc>
        <w:tc>
          <w:tcPr>
            <w:tcW w:w="416" w:type="dxa"/>
            <w:vMerge w:val="continue"/>
            <w:tcBorders>
              <w:top w:val="nil"/>
              <w:left w:val="single" w:sz="4" w:space="0" w:color="auto"/>
              <w:bottom w:val="nil"/>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505" w:type="dxa"/>
            <w:gridSpan w:val="2"/>
            <w:vMerge w:val="continue"/>
            <w:tcBorders>
              <w:top w:val="single" w:sz="4" w:space="0" w:color="auto"/>
              <w:left w:val="single" w:sz="4" w:space="0" w:color="auto"/>
              <w:bottom w:val="nil"/>
              <w:right w:val="single" w:sz="4" w:space="0" w:color="000000"/>
            </w:tcBorders>
            <w:vAlign w:val="center"/>
          </w:tcPr>
          <w:p>
            <w:pPr>
              <w:pStyle w:val="style0"/>
              <w:widowControl/>
              <w:jc w:val="left"/>
              <w:rPr>
                <w:rFonts w:ascii="仿宋_GB2312" w:cs="宋体" w:eastAsia="仿宋_GB2312" w:hAnsi="宋体"/>
                <w:kern w:val="0"/>
                <w:sz w:val="20"/>
                <w:szCs w:val="20"/>
              </w:rPr>
            </w:pPr>
          </w:p>
        </w:tc>
        <w:tc>
          <w:tcPr>
            <w:tcW w:w="637" w:type="dxa"/>
            <w:tcBorders>
              <w:top w:val="nil"/>
              <w:left w:val="nil"/>
              <w:bottom w:val="nil"/>
              <w:right w:val="single" w:sz="4" w:space="0" w:color="auto"/>
            </w:tcBorders>
            <w:vAlign w:val="center"/>
          </w:tcPr>
          <w:p>
            <w:pPr>
              <w:pStyle w:val="style0"/>
              <w:widowControl/>
              <w:jc w:val="left"/>
              <w:rPr>
                <w:rFonts w:ascii="宋体" w:cs="宋体" w:hAnsi="宋体"/>
                <w:kern w:val="0"/>
                <w:sz w:val="24"/>
              </w:rPr>
            </w:pPr>
            <w:r>
              <w:rPr>
                <w:rFonts w:ascii="宋体" w:cs="宋体" w:hAnsi="宋体" w:hint="eastAsia"/>
                <w:kern w:val="0"/>
                <w:sz w:val="24"/>
              </w:rPr>
              <w:t>　</w:t>
            </w:r>
          </w:p>
        </w:tc>
      </w:tr>
      <w:tr>
        <w:tblPrEx/>
        <w:trPr>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restart"/>
            <w:tcBorders>
              <w:top w:val="nil"/>
              <w:left w:val="single" w:sz="4" w:space="0" w:color="auto"/>
              <w:bottom w:val="single" w:sz="4" w:space="0" w:color="000000"/>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12</w:t>
            </w: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行政效能</w:t>
            </w:r>
          </w:p>
        </w:tc>
        <w:tc>
          <w:tcPr>
            <w:tcW w:w="4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6</w:t>
            </w:r>
          </w:p>
        </w:tc>
        <w:tc>
          <w:tcPr>
            <w:tcW w:w="3016" w:type="dxa"/>
            <w:tcBorders>
              <w:top w:val="single" w:sz="4" w:space="0" w:color="auto"/>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促进部门改进文风会风，加强经费及资产管理，推动网上办事，提高行政效率，降低行政成本效果较好的计6分；一般3分；无效果或者效果不明显0分。</w:t>
            </w:r>
          </w:p>
        </w:tc>
        <w:tc>
          <w:tcPr>
            <w:tcW w:w="3489" w:type="dxa"/>
            <w:tcBorders>
              <w:top w:val="single" w:sz="4" w:space="0" w:color="auto"/>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根据部门自评材料评定。</w:t>
            </w:r>
          </w:p>
        </w:tc>
        <w:tc>
          <w:tcPr>
            <w:tcW w:w="637" w:type="dxa"/>
            <w:tcBorders>
              <w:top w:val="single" w:sz="4" w:space="0" w:color="auto"/>
              <w:left w:val="nil"/>
              <w:bottom w:val="single" w:sz="4" w:space="0" w:color="auto"/>
              <w:right w:val="single" w:sz="4" w:space="0" w:color="auto"/>
            </w:tcBorders>
            <w:vAlign w:val="center"/>
          </w:tcPr>
          <w:p>
            <w:pPr>
              <w:pStyle w:val="style0"/>
              <w:widowControl/>
              <w:jc w:val="left"/>
              <w:rPr>
                <w:rFonts w:ascii="宋体" w:cs="宋体" w:eastAsia="宋体" w:hAnsi="宋体" w:hint="eastAsia"/>
                <w:kern w:val="0"/>
                <w:sz w:val="24"/>
                <w:lang w:val="en-US" w:eastAsia="zh-CN"/>
              </w:rPr>
            </w:pPr>
            <w:r>
              <w:rPr>
                <w:rFonts w:ascii="宋体" w:cs="宋体" w:hAnsi="宋体" w:hint="eastAsia"/>
                <w:kern w:val="0"/>
                <w:sz w:val="24"/>
              </w:rPr>
              <w:t>　</w:t>
            </w:r>
            <w:r>
              <w:rPr>
                <w:rFonts w:ascii="宋体" w:cs="宋体" w:hAnsi="宋体" w:hint="eastAsia"/>
                <w:kern w:val="0"/>
                <w:sz w:val="24"/>
                <w:lang w:val="en-US" w:eastAsia="zh-CN"/>
              </w:rPr>
              <w:t>6</w:t>
            </w:r>
          </w:p>
        </w:tc>
      </w:tr>
      <w:tr>
        <w:tblPrEx/>
        <w:trPr>
          <w:jc w:val="center"/>
        </w:trPr>
        <w:tc>
          <w:tcPr>
            <w:tcW w:w="518"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70"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623"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416" w:type="dxa"/>
            <w:vMerge w:val="continue"/>
            <w:tcBorders>
              <w:top w:val="nil"/>
              <w:left w:val="single" w:sz="4" w:space="0" w:color="auto"/>
              <w:bottom w:val="single" w:sz="4" w:space="0" w:color="000000"/>
              <w:right w:val="single" w:sz="4" w:space="0" w:color="auto"/>
            </w:tcBorders>
            <w:vAlign w:val="center"/>
          </w:tcPr>
          <w:p>
            <w:pPr>
              <w:pStyle w:val="style0"/>
              <w:widowControl/>
              <w:jc w:val="left"/>
              <w:rPr>
                <w:rFonts w:ascii="仿宋_GB2312" w:cs="宋体" w:eastAsia="仿宋_GB2312" w:hAnsi="宋体"/>
                <w:kern w:val="0"/>
                <w:sz w:val="20"/>
                <w:szCs w:val="20"/>
              </w:rPr>
            </w:pPr>
          </w:p>
        </w:tc>
        <w:tc>
          <w:tcPr>
            <w:tcW w:w="1015"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社会公众或服务对象满意度</w:t>
            </w:r>
          </w:p>
        </w:tc>
        <w:tc>
          <w:tcPr>
            <w:tcW w:w="416" w:type="dxa"/>
            <w:tcBorders>
              <w:top w:val="nil"/>
              <w:left w:val="nil"/>
              <w:bottom w:val="single" w:sz="4" w:space="0" w:color="auto"/>
              <w:right w:val="single" w:sz="4" w:space="0" w:color="auto"/>
            </w:tcBorders>
            <w:vAlign w:val="center"/>
          </w:tcPr>
          <w:p>
            <w:pPr>
              <w:pStyle w:val="style0"/>
              <w:widowControl/>
              <w:jc w:val="center"/>
              <w:rPr>
                <w:rFonts w:ascii="仿宋_GB2312" w:cs="宋体" w:eastAsia="仿宋_GB2312" w:hAnsi="宋体"/>
                <w:kern w:val="0"/>
                <w:sz w:val="20"/>
                <w:szCs w:val="20"/>
              </w:rPr>
            </w:pPr>
            <w:r>
              <w:rPr>
                <w:rFonts w:ascii="仿宋_GB2312" w:cs="宋体" w:eastAsia="仿宋_GB2312" w:hAnsi="宋体" w:hint="eastAsia"/>
                <w:kern w:val="0"/>
                <w:sz w:val="20"/>
                <w:szCs w:val="20"/>
              </w:rPr>
              <w:t>6</w:t>
            </w:r>
          </w:p>
        </w:tc>
        <w:tc>
          <w:tcPr>
            <w:tcW w:w="3016"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90%（含）以上计6分；</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80%（含）-90%，计4分；</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70%（含）-80%，计2分；</w:t>
            </w:r>
            <w:r>
              <w:rPr>
                <w:rFonts w:ascii="仿宋_GB2312" w:cs="宋体" w:eastAsia="仿宋_GB2312" w:hAnsi="宋体" w:hint="eastAsia"/>
                <w:kern w:val="0"/>
                <w:sz w:val="20"/>
                <w:szCs w:val="20"/>
              </w:rPr>
              <w:br/>
            </w:r>
            <w:r>
              <w:rPr>
                <w:rFonts w:ascii="仿宋_GB2312" w:cs="宋体" w:eastAsia="仿宋_GB2312" w:hAnsi="宋体" w:hint="eastAsia"/>
                <w:kern w:val="0"/>
                <w:sz w:val="20"/>
                <w:szCs w:val="20"/>
              </w:rPr>
              <w:t>低于70%计0分。</w:t>
            </w:r>
          </w:p>
        </w:tc>
        <w:tc>
          <w:tcPr>
            <w:tcW w:w="3489" w:type="dxa"/>
            <w:tcBorders>
              <w:top w:val="nil"/>
              <w:left w:val="nil"/>
              <w:bottom w:val="single" w:sz="4" w:space="0" w:color="auto"/>
              <w:right w:val="single" w:sz="4" w:space="0" w:color="auto"/>
            </w:tcBorders>
            <w:vAlign w:val="center"/>
          </w:tcPr>
          <w:p>
            <w:pPr>
              <w:pStyle w:val="style0"/>
              <w:widowControl/>
              <w:jc w:val="left"/>
              <w:rPr>
                <w:rFonts w:ascii="仿宋_GB2312" w:cs="宋体" w:eastAsia="仿宋_GB2312" w:hAnsi="宋体"/>
                <w:kern w:val="0"/>
                <w:sz w:val="20"/>
                <w:szCs w:val="20"/>
              </w:rPr>
            </w:pPr>
            <w:r>
              <w:rPr>
                <w:rFonts w:ascii="仿宋_GB2312" w:cs="宋体" w:eastAsia="仿宋_GB2312" w:hAnsi="宋体" w:hint="eastAsia"/>
                <w:kern w:val="0"/>
                <w:sz w:val="20"/>
                <w:szCs w:val="20"/>
              </w:rPr>
              <w:t>社会公众或服务对象是指部门（单位）履行职责而影响到的部门、群体或个人，一般采取社会调查的方式。</w:t>
            </w:r>
          </w:p>
        </w:tc>
        <w:tc>
          <w:tcPr>
            <w:tcW w:w="637" w:type="dxa"/>
            <w:tcBorders>
              <w:top w:val="nil"/>
              <w:left w:val="nil"/>
              <w:bottom w:val="single" w:sz="4" w:space="0" w:color="auto"/>
              <w:right w:val="single" w:sz="4" w:space="0" w:color="auto"/>
            </w:tcBorders>
            <w:vAlign w:val="center"/>
          </w:tcPr>
          <w:p>
            <w:pPr>
              <w:pStyle w:val="style0"/>
              <w:widowControl/>
              <w:ind w:firstLine="240" w:firstLineChars="100"/>
              <w:jc w:val="left"/>
              <w:rPr>
                <w:rFonts w:ascii="宋体" w:cs="宋体" w:hAnsi="宋体"/>
                <w:kern w:val="0"/>
                <w:sz w:val="24"/>
              </w:rPr>
            </w:pPr>
            <w:r>
              <w:rPr>
                <w:rFonts w:ascii="宋体" w:cs="宋体" w:hAnsi="宋体" w:hint="eastAsia"/>
                <w:kern w:val="0"/>
                <w:sz w:val="24"/>
                <w:lang w:val="en-US" w:eastAsia="zh-CN"/>
              </w:rPr>
              <w:t>4</w:t>
            </w:r>
            <w:r>
              <w:rPr>
                <w:rFonts w:ascii="宋体" w:cs="宋体" w:hAnsi="宋体" w:hint="eastAsia"/>
                <w:kern w:val="0"/>
                <w:sz w:val="24"/>
              </w:rPr>
              <w:t>　</w:t>
            </w:r>
          </w:p>
        </w:tc>
      </w:tr>
    </w:tbl>
    <w:p>
      <w:pPr>
        <w:pStyle w:val="style0"/>
        <w:spacing w:lineRule="exact" w:line="560"/>
        <w:ind w:left="8120" w:hanging="8120" w:hangingChars="2900"/>
        <w:rPr>
          <w:rFonts w:ascii="黑体" w:eastAsia="黑体" w:hint="default"/>
          <w:sz w:val="28"/>
          <w:szCs w:val="28"/>
          <w:lang w:val="en-US" w:eastAsia="zh-CN"/>
        </w:rPr>
      </w:pPr>
      <w:r>
        <w:rPr>
          <w:rFonts w:ascii="黑体" w:eastAsia="黑体" w:hint="eastAsia"/>
          <w:sz w:val="28"/>
          <w:szCs w:val="28"/>
          <w:lang w:val="en-US" w:eastAsia="zh-CN"/>
        </w:rPr>
        <w:t xml:space="preserve">                                                 </w:t>
      </w:r>
      <w:r>
        <w:rPr>
          <w:rFonts w:ascii="宋体" w:cs="宋体" w:eastAsia="宋体" w:hAnsi="宋体" w:hint="eastAsia"/>
          <w:sz w:val="28"/>
          <w:szCs w:val="28"/>
          <w:lang w:val="en-US" w:eastAsia="zh-CN"/>
        </w:rPr>
        <w:t xml:space="preserve"> 合计93分</w:t>
      </w:r>
    </w:p>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after="120" w:afterLines="50" w:lineRule="exact" w:line="600"/>
        <w:rPr>
          <w:rFonts w:ascii="仿宋" w:cs="仿宋" w:eastAsia="仿宋" w:hAnsi="仿宋" w:hint="eastAsia"/>
          <w:sz w:val="32"/>
          <w:szCs w:val="32"/>
          <w:lang w:eastAsia="zh-CN"/>
        </w:rPr>
      </w:pPr>
      <w:r>
        <w:rPr>
          <w:rFonts w:ascii="仿宋" w:cs="仿宋" w:eastAsia="仿宋" w:hAnsi="仿宋" w:hint="eastAsia"/>
          <w:sz w:val="32"/>
          <w:szCs w:val="32"/>
        </w:rPr>
        <w:t>附件</w:t>
      </w:r>
      <w:r>
        <w:rPr>
          <w:rFonts w:ascii="仿宋" w:cs="仿宋" w:eastAsia="仿宋" w:hAnsi="仿宋" w:hint="eastAsia"/>
          <w:sz w:val="32"/>
          <w:szCs w:val="32"/>
          <w:lang w:val="en-US" w:eastAsia="zh-CN"/>
        </w:rPr>
        <w:t>2</w:t>
      </w:r>
    </w:p>
    <w:p>
      <w:pPr>
        <w:pStyle w:val="style0"/>
        <w:spacing w:after="120" w:afterLines="50" w:lineRule="exact" w:line="600"/>
        <w:jc w:val="center"/>
        <w:rPr>
          <w:rFonts w:ascii="仿宋" w:cs="仿宋" w:eastAsia="仿宋" w:hAnsi="仿宋" w:hint="eastAsia"/>
          <w:sz w:val="24"/>
        </w:rPr>
      </w:pPr>
      <w:r>
        <w:rPr>
          <w:rFonts w:ascii="仿宋" w:cs="仿宋" w:eastAsia="仿宋" w:hAnsi="仿宋" w:hint="eastAsia"/>
          <w:sz w:val="36"/>
          <w:szCs w:val="36"/>
        </w:rPr>
        <w:t>部门整体支出绩效评价基础数据表</w:t>
      </w:r>
    </w:p>
    <w:tbl>
      <w:tblPr>
        <w:tblStyle w:val="style105"/>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rPr>
          <w:trHeight w:val="397" w:hRule="atLeast"/>
          <w:jc w:val="center"/>
        </w:trPr>
        <w:tc>
          <w:tcPr>
            <w:tcW w:w="3354"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 w:cs="仿宋" w:eastAsia="仿宋" w:hAnsi="仿宋" w:hint="eastAsia"/>
                <w:sz w:val="20"/>
                <w:szCs w:val="20"/>
              </w:rPr>
            </w:pPr>
            <w:r>
              <w:rPr>
                <w:rFonts w:ascii="仿宋" w:cs="仿宋" w:eastAsia="仿宋" w:hAnsi="仿宋" w:hint="eastAsia"/>
                <w:sz w:val="20"/>
                <w:szCs w:val="20"/>
              </w:rPr>
              <w:t>财政供养人员情况（人）</w:t>
            </w:r>
          </w:p>
        </w:tc>
        <w:tc>
          <w:tcPr>
            <w:tcW w:w="2038" w:type="dxa"/>
            <w:gridSpan w:val="2"/>
            <w:tcBorders>
              <w:top w:val="single" w:sz="4" w:space="0" w:color="auto"/>
              <w:left w:val="nil"/>
              <w:bottom w:val="single" w:sz="4" w:space="0" w:color="auto"/>
              <w:right w:val="single" w:sz="4" w:space="0" w:color="auto"/>
            </w:tcBorders>
            <w:vAlign w:val="center"/>
          </w:tcPr>
          <w:p>
            <w:pPr>
              <w:pStyle w:val="style0"/>
              <w:widowControl/>
              <w:jc w:val="center"/>
              <w:rPr>
                <w:rFonts w:ascii="仿宋" w:cs="仿宋" w:eastAsia="仿宋" w:hAnsi="仿宋" w:hint="eastAsia"/>
                <w:b/>
                <w:bCs/>
                <w:sz w:val="20"/>
                <w:szCs w:val="20"/>
              </w:rPr>
            </w:pPr>
            <w:r>
              <w:rPr>
                <w:rFonts w:ascii="仿宋" w:cs="仿宋" w:eastAsia="仿宋" w:hAnsi="仿宋" w:hint="eastAsia"/>
                <w:b/>
                <w:bCs/>
                <w:sz w:val="20"/>
                <w:szCs w:val="20"/>
              </w:rPr>
              <w:t>编制数</w:t>
            </w:r>
          </w:p>
        </w:tc>
        <w:tc>
          <w:tcPr>
            <w:tcW w:w="2240" w:type="dxa"/>
            <w:gridSpan w:val="2"/>
            <w:tcBorders>
              <w:top w:val="single" w:sz="4" w:space="0" w:color="auto"/>
              <w:left w:val="nil"/>
              <w:bottom w:val="single" w:sz="4" w:space="0" w:color="auto"/>
              <w:right w:val="single" w:sz="4" w:space="0" w:color="auto"/>
            </w:tcBorders>
            <w:vAlign w:val="center"/>
          </w:tcPr>
          <w:p>
            <w:pPr>
              <w:pStyle w:val="style0"/>
              <w:widowControl/>
              <w:jc w:val="center"/>
              <w:rPr>
                <w:rFonts w:ascii="仿宋" w:cs="仿宋" w:eastAsia="仿宋" w:hAnsi="仿宋" w:hint="eastAsia"/>
                <w:b/>
                <w:bCs/>
                <w:sz w:val="20"/>
                <w:szCs w:val="20"/>
              </w:rPr>
            </w:pPr>
            <w:r>
              <w:rPr>
                <w:rFonts w:ascii="仿宋" w:cs="仿宋" w:eastAsia="仿宋" w:hAnsi="仿宋" w:hint="eastAsia"/>
                <w:b/>
                <w:bCs/>
                <w:sz w:val="20"/>
                <w:szCs w:val="20"/>
              </w:rPr>
              <w:t>2021年实际在职人数</w:t>
            </w:r>
          </w:p>
        </w:tc>
        <w:tc>
          <w:tcPr>
            <w:tcW w:w="2041" w:type="dxa"/>
            <w:gridSpan w:val="2"/>
            <w:tcBorders>
              <w:top w:val="single" w:sz="4" w:space="0" w:color="auto"/>
              <w:left w:val="nil"/>
              <w:bottom w:val="single" w:sz="4" w:space="0" w:color="auto"/>
              <w:right w:val="single" w:sz="4" w:space="0" w:color="auto"/>
            </w:tcBorders>
            <w:vAlign w:val="center"/>
          </w:tcPr>
          <w:p>
            <w:pPr>
              <w:pStyle w:val="style0"/>
              <w:widowControl/>
              <w:jc w:val="center"/>
              <w:rPr>
                <w:rFonts w:ascii="仿宋" w:cs="仿宋" w:eastAsia="仿宋" w:hAnsi="仿宋" w:hint="eastAsia"/>
                <w:b/>
                <w:bCs/>
                <w:sz w:val="20"/>
                <w:szCs w:val="20"/>
              </w:rPr>
            </w:pPr>
            <w:r>
              <w:rPr>
                <w:rFonts w:ascii="仿宋" w:cs="仿宋" w:eastAsia="仿宋" w:hAnsi="仿宋" w:hint="eastAsia"/>
                <w:b/>
                <w:bCs/>
                <w:sz w:val="20"/>
                <w:szCs w:val="20"/>
              </w:rPr>
              <w:t>控制率</w:t>
            </w:r>
          </w:p>
        </w:tc>
      </w:tr>
      <w:tr>
        <w:tblPrEx/>
        <w:trPr>
          <w:trHeight w:val="207" w:hRule="atLeast"/>
          <w:jc w:val="center"/>
        </w:trPr>
        <w:tc>
          <w:tcPr>
            <w:tcW w:w="3354"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0"/>
                <w:szCs w:val="20"/>
              </w:rPr>
            </w:pPr>
          </w:p>
        </w:tc>
        <w:tc>
          <w:tcPr>
            <w:tcW w:w="2038" w:type="dxa"/>
            <w:gridSpan w:val="2"/>
            <w:tcBorders>
              <w:top w:val="single" w:sz="4" w:space="0" w:color="auto"/>
              <w:left w:val="nil"/>
              <w:bottom w:val="single" w:sz="4" w:space="0" w:color="auto"/>
              <w:right w:val="single" w:sz="4" w:space="0" w:color="auto"/>
            </w:tcBorders>
            <w:vAlign w:val="center"/>
          </w:tcPr>
          <w:p>
            <w:pPr>
              <w:pStyle w:val="style0"/>
              <w:widowControl/>
              <w:jc w:val="center"/>
              <w:rPr>
                <w:rFonts w:ascii="仿宋" w:cs="仿宋" w:eastAsia="仿宋" w:hAnsi="仿宋" w:hint="eastAsia"/>
                <w:sz w:val="20"/>
                <w:szCs w:val="20"/>
              </w:rPr>
            </w:pPr>
            <w:r>
              <w:rPr>
                <w:rFonts w:cs="仿宋" w:eastAsia="仿宋" w:hint="eastAsia"/>
                <w:sz w:val="20"/>
                <w:szCs w:val="20"/>
                <w:lang w:val="en-US" w:eastAsia="zh-CN"/>
              </w:rPr>
              <w:t>203</w:t>
            </w:r>
            <w:r>
              <w:rPr>
                <w:rFonts w:ascii="仿宋" w:cs="仿宋" w:eastAsia="仿宋" w:hAnsi="仿宋" w:hint="eastAsia"/>
                <w:sz w:val="20"/>
                <w:szCs w:val="20"/>
              </w:rPr>
              <w:t>　</w:t>
            </w:r>
          </w:p>
        </w:tc>
        <w:tc>
          <w:tcPr>
            <w:tcW w:w="2240" w:type="dxa"/>
            <w:gridSpan w:val="2"/>
            <w:tcBorders>
              <w:top w:val="single" w:sz="4" w:space="0" w:color="auto"/>
              <w:left w:val="nil"/>
              <w:bottom w:val="single" w:sz="4" w:space="0" w:color="auto"/>
              <w:right w:val="single" w:sz="4" w:space="0" w:color="auto"/>
            </w:tcBorders>
            <w:vAlign w:val="center"/>
          </w:tcPr>
          <w:p>
            <w:pPr>
              <w:pStyle w:val="style0"/>
              <w:widowControl/>
              <w:jc w:val="center"/>
              <w:rPr>
                <w:rFonts w:ascii="仿宋" w:cs="仿宋" w:eastAsia="仿宋" w:hAnsi="仿宋" w:hint="default"/>
                <w:sz w:val="20"/>
                <w:szCs w:val="20"/>
                <w:lang w:val="en-US" w:eastAsia="zh-CN"/>
              </w:rPr>
            </w:pPr>
            <w:r>
              <w:rPr>
                <w:rFonts w:ascii="仿宋" w:cs="仿宋" w:eastAsia="仿宋" w:hAnsi="仿宋" w:hint="eastAsia"/>
                <w:sz w:val="20"/>
                <w:szCs w:val="20"/>
              </w:rPr>
              <w:t>　</w:t>
            </w:r>
            <w:r>
              <w:rPr>
                <w:rFonts w:cs="仿宋" w:eastAsia="仿宋" w:hint="eastAsia"/>
                <w:sz w:val="20"/>
                <w:szCs w:val="20"/>
                <w:lang w:val="en-US" w:eastAsia="zh-CN"/>
              </w:rPr>
              <w:t>203</w:t>
            </w:r>
          </w:p>
        </w:tc>
        <w:tc>
          <w:tcPr>
            <w:tcW w:w="2041" w:type="dxa"/>
            <w:gridSpan w:val="2"/>
            <w:tcBorders>
              <w:top w:val="single" w:sz="4" w:space="0" w:color="auto"/>
              <w:left w:val="nil"/>
              <w:bottom w:val="single" w:sz="4" w:space="0" w:color="auto"/>
              <w:right w:val="single" w:sz="4" w:space="0" w:color="auto"/>
            </w:tcBorders>
            <w:vAlign w:val="center"/>
          </w:tcPr>
          <w:p>
            <w:pPr>
              <w:pStyle w:val="style0"/>
              <w:widowControl/>
              <w:jc w:val="center"/>
              <w:rPr>
                <w:rFonts w:ascii="仿宋" w:cs="仿宋" w:eastAsia="仿宋" w:hAnsi="仿宋" w:hint="eastAsia"/>
                <w:sz w:val="20"/>
                <w:szCs w:val="20"/>
                <w:lang w:val="en-US" w:eastAsia="zh-CN"/>
              </w:rPr>
            </w:pPr>
            <w:r>
              <w:rPr>
                <w:rFonts w:ascii="仿宋" w:cs="仿宋" w:eastAsia="仿宋" w:hAnsi="仿宋" w:hint="eastAsia"/>
                <w:sz w:val="20"/>
                <w:szCs w:val="20"/>
              </w:rPr>
              <w:t>　</w:t>
            </w:r>
            <w:r>
              <w:rPr>
                <w:rFonts w:ascii="仿宋" w:cs="仿宋" w:eastAsia="仿宋" w:hAnsi="仿宋" w:hint="eastAsia"/>
                <w:sz w:val="20"/>
                <w:szCs w:val="20"/>
                <w:lang w:val="en-US" w:eastAsia="zh-CN"/>
              </w:rPr>
              <w:t>100%</w:t>
            </w:r>
          </w:p>
        </w:tc>
      </w:tr>
      <w:tr>
        <w:tblPrEx/>
        <w:trPr>
          <w:trHeight w:val="27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center"/>
              <w:rPr>
                <w:rFonts w:ascii="仿宋" w:cs="仿宋" w:eastAsia="仿宋" w:hAnsi="仿宋" w:hint="eastAsia"/>
                <w:sz w:val="20"/>
                <w:szCs w:val="20"/>
              </w:rPr>
            </w:pPr>
            <w:r>
              <w:rPr>
                <w:rFonts w:ascii="仿宋" w:cs="仿宋" w:eastAsia="仿宋" w:hAnsi="仿宋" w:hint="eastAsia"/>
                <w:sz w:val="20"/>
                <w:szCs w:val="20"/>
              </w:rPr>
              <w:t>经费控制情况（万元）</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center"/>
              <w:rPr>
                <w:rFonts w:ascii="仿宋" w:cs="仿宋" w:eastAsia="仿宋" w:hAnsi="仿宋" w:hint="eastAsia"/>
                <w:b/>
                <w:bCs/>
                <w:sz w:val="20"/>
                <w:szCs w:val="20"/>
              </w:rPr>
            </w:pPr>
            <w:r>
              <w:rPr>
                <w:rFonts w:ascii="仿宋" w:cs="仿宋" w:eastAsia="仿宋" w:hAnsi="仿宋" w:hint="eastAsia"/>
                <w:b/>
                <w:bCs/>
                <w:sz w:val="20"/>
                <w:szCs w:val="20"/>
              </w:rPr>
              <w:t>2020年决算数</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center"/>
              <w:rPr>
                <w:rFonts w:ascii="仿宋" w:cs="仿宋" w:eastAsia="仿宋" w:hAnsi="仿宋" w:hint="eastAsia"/>
                <w:b/>
                <w:bCs/>
                <w:sz w:val="20"/>
                <w:szCs w:val="20"/>
              </w:rPr>
            </w:pPr>
            <w:r>
              <w:rPr>
                <w:rFonts w:ascii="仿宋" w:cs="仿宋" w:eastAsia="仿宋" w:hAnsi="仿宋" w:hint="eastAsia"/>
                <w:b/>
                <w:bCs/>
                <w:sz w:val="20"/>
                <w:szCs w:val="20"/>
              </w:rPr>
              <w:t>2021年预算数</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center"/>
              <w:rPr>
                <w:rFonts w:ascii="仿宋" w:cs="仿宋" w:eastAsia="仿宋" w:hAnsi="仿宋" w:hint="eastAsia"/>
                <w:b/>
                <w:bCs/>
                <w:sz w:val="20"/>
                <w:szCs w:val="20"/>
              </w:rPr>
            </w:pPr>
            <w:r>
              <w:rPr>
                <w:rFonts w:ascii="仿宋" w:cs="仿宋" w:eastAsia="仿宋" w:hAnsi="仿宋" w:hint="eastAsia"/>
                <w:b/>
                <w:bCs/>
                <w:sz w:val="20"/>
                <w:szCs w:val="20"/>
              </w:rPr>
              <w:t>2021年决算数</w:t>
            </w:r>
          </w:p>
        </w:tc>
      </w:tr>
      <w:tr>
        <w:tblPrEx/>
        <w:trPr>
          <w:trHeight w:val="385"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0"/>
                <w:szCs w:val="20"/>
              </w:rPr>
            </w:pPr>
            <w:r>
              <w:rPr>
                <w:rFonts w:ascii="仿宋" w:cs="仿宋" w:eastAsia="仿宋" w:hAnsi="仿宋" w:hint="eastAsia"/>
                <w:sz w:val="20"/>
                <w:szCs w:val="20"/>
              </w:rPr>
              <w:t>三公经费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0"/>
                <w:szCs w:val="20"/>
                <w:lang w:val="en-US" w:eastAsia="zh-CN"/>
              </w:rPr>
            </w:pPr>
            <w:r>
              <w:rPr>
                <w:rFonts w:cs="仿宋" w:eastAsia="仿宋" w:hint="eastAsia"/>
                <w:sz w:val="20"/>
                <w:szCs w:val="20"/>
                <w:lang w:val="en-US" w:eastAsia="zh-CN"/>
              </w:rPr>
              <w:t>0.06</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0"/>
                <w:szCs w:val="20"/>
              </w:rPr>
            </w:pPr>
            <w:r>
              <w:rPr>
                <w:rFonts w:cs="仿宋" w:eastAsia="仿宋" w:hint="eastAsia"/>
                <w:sz w:val="20"/>
                <w:szCs w:val="20"/>
                <w:lang w:val="en-US" w:eastAsia="zh-CN"/>
              </w:rPr>
              <w:t>13.55</w:t>
            </w:r>
            <w:r>
              <w:rPr>
                <w:rFonts w:ascii="仿宋" w:cs="仿宋" w:eastAsia="仿宋" w:hAnsi="仿宋" w:hint="eastAsia"/>
                <w:sz w:val="20"/>
                <w:szCs w:val="20"/>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0"/>
                <w:szCs w:val="20"/>
              </w:rPr>
            </w:pPr>
            <w:r>
              <w:rPr>
                <w:rFonts w:cs="仿宋" w:eastAsia="仿宋" w:hint="eastAsia"/>
                <w:sz w:val="20"/>
                <w:szCs w:val="20"/>
                <w:lang w:val="en-US" w:eastAsia="zh-CN"/>
              </w:rPr>
              <w:t>0</w:t>
            </w:r>
            <w:r>
              <w:rPr>
                <w:rFonts w:ascii="仿宋" w:cs="仿宋" w:eastAsia="仿宋" w:hAnsi="仿宋" w:hint="eastAsia"/>
                <w:sz w:val="20"/>
                <w:szCs w:val="20"/>
              </w:rPr>
              <w:t>　</w:t>
            </w:r>
          </w:p>
        </w:tc>
      </w:tr>
      <w:tr>
        <w:tblPrEx/>
        <w:trPr>
          <w:trHeight w:val="292"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0"/>
                <w:szCs w:val="20"/>
              </w:rPr>
            </w:pPr>
            <w:r>
              <w:rPr>
                <w:rFonts w:ascii="仿宋" w:cs="仿宋" w:eastAsia="仿宋" w:hAnsi="仿宋" w:hint="eastAsia"/>
                <w:sz w:val="20"/>
                <w:szCs w:val="20"/>
              </w:rPr>
              <w:t xml:space="preserve">   1、公务用车购置和维护经费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0"/>
                <w:szCs w:val="20"/>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0"/>
                <w:szCs w:val="20"/>
              </w:rPr>
            </w:pPr>
            <w:r>
              <w:rPr>
                <w:rFonts w:cs="仿宋" w:eastAsia="仿宋" w:hint="eastAsia"/>
                <w:sz w:val="20"/>
                <w:szCs w:val="20"/>
                <w:lang w:val="en-US" w:eastAsia="zh-CN"/>
              </w:rPr>
              <w:t>2.84</w:t>
            </w:r>
            <w:r>
              <w:rPr>
                <w:rFonts w:ascii="仿宋" w:cs="仿宋" w:eastAsia="仿宋" w:hAnsi="仿宋" w:hint="eastAsia"/>
                <w:sz w:val="20"/>
                <w:szCs w:val="20"/>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0"/>
                <w:szCs w:val="20"/>
              </w:rPr>
            </w:pPr>
            <w:r>
              <w:rPr>
                <w:rFonts w:cs="仿宋" w:eastAsia="仿宋" w:hint="eastAsia"/>
                <w:sz w:val="20"/>
                <w:szCs w:val="20"/>
                <w:lang w:val="en-US" w:eastAsia="zh-CN"/>
              </w:rPr>
              <w:t>0</w:t>
            </w:r>
            <w:r>
              <w:rPr>
                <w:rFonts w:ascii="仿宋" w:cs="仿宋" w:eastAsia="仿宋" w:hAnsi="仿宋" w:hint="eastAsia"/>
                <w:sz w:val="20"/>
                <w:szCs w:val="20"/>
              </w:rPr>
              <w:t>　</w:t>
            </w:r>
          </w:p>
        </w:tc>
      </w:tr>
      <w:tr>
        <w:tblPrEx/>
        <w:trPr>
          <w:trHeight w:val="292"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其中：公车购置</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r>
      <w:tr>
        <w:tblPrEx/>
        <w:trPr>
          <w:trHeight w:val="385"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公车运行维护</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cs="仿宋" w:eastAsia="仿宋" w:hint="eastAsia"/>
                <w:sz w:val="22"/>
                <w:szCs w:val="22"/>
                <w:lang w:val="en-US" w:eastAsia="zh-CN"/>
              </w:rPr>
              <w:t>2.84</w:t>
            </w:r>
            <w:r>
              <w:rPr>
                <w:rFonts w:ascii="仿宋" w:cs="仿宋" w:eastAsia="仿宋" w:hAnsi="仿宋" w:hint="eastAsia"/>
                <w:sz w:val="22"/>
                <w:szCs w:val="22"/>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cs="仿宋" w:eastAsia="仿宋" w:hint="eastAsia"/>
                <w:sz w:val="22"/>
                <w:szCs w:val="22"/>
                <w:lang w:val="en-US" w:eastAsia="zh-CN"/>
              </w:rPr>
              <w:t>0</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2、出国经费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3、公务接待</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cs="仿宋" w:eastAsia="仿宋" w:hint="eastAsia"/>
                <w:sz w:val="22"/>
                <w:szCs w:val="22"/>
                <w:lang w:val="en-US" w:eastAsia="zh-CN"/>
              </w:rPr>
              <w:t>0.06</w:t>
            </w:r>
            <w:r>
              <w:rPr>
                <w:rFonts w:ascii="仿宋" w:cs="仿宋" w:eastAsia="仿宋" w:hAnsi="仿宋" w:hint="eastAsia"/>
                <w:sz w:val="22"/>
                <w:szCs w:val="22"/>
              </w:rPr>
              <w:t>　</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cs="仿宋" w:eastAsia="仿宋" w:hint="eastAsia"/>
                <w:sz w:val="22"/>
                <w:szCs w:val="22"/>
                <w:lang w:val="en-US" w:eastAsia="zh-CN"/>
              </w:rPr>
              <w:t>10.71</w:t>
            </w:r>
            <w:r>
              <w:rPr>
                <w:rFonts w:ascii="仿宋" w:cs="仿宋" w:eastAsia="仿宋" w:hAnsi="仿宋" w:hint="eastAsia"/>
                <w:sz w:val="22"/>
                <w:szCs w:val="22"/>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cs="仿宋" w:eastAsia="仿宋" w:hint="eastAsia"/>
                <w:sz w:val="22"/>
                <w:szCs w:val="22"/>
                <w:lang w:val="en-US" w:eastAsia="zh-CN"/>
              </w:rPr>
              <w:t>0</w:t>
            </w:r>
            <w:r>
              <w:rPr>
                <w:rFonts w:ascii="仿宋" w:cs="仿宋" w:eastAsia="仿宋" w:hAnsi="仿宋" w:hint="eastAsia"/>
                <w:sz w:val="22"/>
                <w:szCs w:val="22"/>
              </w:rPr>
              <w:t>　</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项目支出：</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593.41</w:t>
            </w:r>
          </w:p>
        </w:tc>
      </w:tr>
      <w:tr>
        <w:tblPrEx/>
        <w:trPr>
          <w:trHeight w:val="445"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1、业务工作经费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333.79</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333.79</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2、运行维护经费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259.62</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259.62</w:t>
            </w:r>
          </w:p>
        </w:tc>
      </w:tr>
      <w:tr>
        <w:tblPrEx/>
        <w:trPr>
          <w:trHeight w:val="385"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3、专项资金</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cs="仿宋" w:eastAsia="仿宋" w:hint="eastAsia"/>
                <w:sz w:val="22"/>
                <w:szCs w:val="22"/>
                <w:lang w:val="en-US" w:eastAsia="zh-CN"/>
              </w:rPr>
              <w:t>593.41</w:t>
            </w:r>
            <w:r>
              <w:rPr>
                <w:rFonts w:ascii="仿宋" w:cs="仿宋" w:eastAsia="仿宋" w:hAnsi="仿宋" w:hint="eastAsia"/>
                <w:sz w:val="22"/>
                <w:szCs w:val="22"/>
              </w:rPr>
              <w:t>　</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 xml:space="preserve">    </w:t>
            </w:r>
            <w:r>
              <w:rPr>
                <w:rFonts w:cs="仿宋" w:eastAsia="仿宋" w:hint="eastAsia"/>
                <w:sz w:val="22"/>
                <w:szCs w:val="22"/>
                <w:lang w:val="en-US" w:eastAsia="zh-CN"/>
              </w:rPr>
              <w:t>其中：</w:t>
            </w:r>
            <w:r>
              <w:rPr>
                <w:rFonts w:ascii="仿宋" w:cs="仿宋" w:eastAsia="仿宋" w:hAnsi="仿宋" w:hint="eastAsia"/>
                <w:sz w:val="22"/>
                <w:szCs w:val="22"/>
                <w:lang w:val="en-US" w:eastAsia="zh-CN"/>
              </w:rPr>
              <w:t>高考考点经费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9</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11.64</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ind w:firstLine="1100" w:firstLineChars="500"/>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校方责任险</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3.80</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3.83</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ind w:firstLine="1100" w:firstLineChars="500"/>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校园保安费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21.80</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32.59</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ind w:firstLine="1100" w:firstLineChars="500"/>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食堂改造及设施购置</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100</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97.72</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ind w:firstLine="1100" w:firstLineChars="500"/>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学生公寓建设</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106.11</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106.11</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ind w:firstLine="1100" w:firstLineChars="500"/>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高压线搬迁</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lang w:val="en-US" w:eastAsia="zh-CN"/>
              </w:rPr>
            </w:pP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42.06</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ind w:firstLine="1100" w:firstLineChars="500"/>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机器人实验室</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ind w:firstLine="440" w:firstLineChars="200"/>
              <w:jc w:val="lef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93.03</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ind w:firstLine="1100" w:firstLineChars="500"/>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2021年省级师培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ind w:firstLine="440" w:firstLineChars="200"/>
              <w:jc w:val="lef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ind w:firstLine="440" w:firstLineChars="200"/>
              <w:jc w:val="right"/>
              <w:rPr>
                <w:rFonts w:ascii="仿宋" w:cs="仿宋" w:eastAsia="仿宋" w:hAnsi="仿宋" w:hint="default"/>
                <w:sz w:val="22"/>
                <w:szCs w:val="22"/>
                <w:lang w:val="en-US" w:eastAsia="zh-CN"/>
              </w:rPr>
            </w:pPr>
            <w:r>
              <w:rPr>
                <w:rFonts w:ascii="仿宋" w:cs="仿宋" w:eastAsia="仿宋" w:hAnsi="仿宋" w:hint="eastAsia"/>
                <w:sz w:val="22"/>
                <w:szCs w:val="22"/>
                <w:lang w:val="en-US" w:eastAsia="zh-CN"/>
              </w:rPr>
              <w:t>6.48</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ind w:firstLine="440" w:firstLineChars="200"/>
              <w:jc w:val="right"/>
              <w:rPr>
                <w:rFonts w:ascii="仿宋" w:cs="仿宋" w:eastAsia="仿宋" w:hAnsi="仿宋" w:hint="default"/>
                <w:sz w:val="22"/>
                <w:szCs w:val="22"/>
                <w:lang w:val="en-US" w:eastAsia="zh-CN"/>
              </w:rPr>
            </w:pPr>
            <w:r>
              <w:rPr>
                <w:rFonts w:ascii="仿宋" w:cs="仿宋" w:eastAsia="仿宋" w:hAnsi="仿宋" w:hint="eastAsia"/>
                <w:sz w:val="22"/>
                <w:szCs w:val="22"/>
                <w:lang w:val="en-US" w:eastAsia="zh-CN"/>
              </w:rPr>
              <w:t>6.48</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ind w:firstLine="1100" w:firstLineChars="500"/>
              <w:jc w:val="left"/>
              <w:rPr>
                <w:rFonts w:ascii="仿宋" w:cs="仿宋" w:eastAsia="仿宋" w:hAnsi="仿宋" w:hint="eastAsia"/>
                <w:sz w:val="22"/>
                <w:szCs w:val="22"/>
                <w:lang w:val="en-US" w:eastAsia="zh-CN"/>
              </w:rPr>
            </w:pPr>
            <w:r>
              <w:rPr>
                <w:rFonts w:ascii="仿宋" w:cs="仿宋" w:eastAsia="仿宋" w:hAnsi="仿宋" w:hint="eastAsia"/>
                <w:sz w:val="22"/>
                <w:szCs w:val="22"/>
                <w:lang w:val="en-US" w:eastAsia="zh-CN"/>
              </w:rPr>
              <w:t>两馆及周边附属设施维修改造项目</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ind w:firstLine="440" w:firstLineChars="200"/>
              <w:jc w:val="left"/>
              <w:rPr>
                <w:rFonts w:ascii="仿宋" w:cs="仿宋" w:eastAsia="仿宋" w:hAnsi="仿宋" w:hint="eastAsia"/>
                <w:sz w:val="22"/>
                <w:szCs w:val="22"/>
                <w:lang w:val="en-US" w:eastAsia="zh-CN"/>
              </w:rPr>
            </w:pP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ind w:firstLine="440" w:firstLineChars="200"/>
              <w:jc w:val="right"/>
              <w:rPr>
                <w:rFonts w:ascii="仿宋" w:cs="仿宋" w:eastAsia="仿宋" w:hAnsi="仿宋" w:hint="default"/>
                <w:sz w:val="22"/>
                <w:szCs w:val="22"/>
                <w:lang w:val="en-US" w:eastAsia="zh-CN"/>
              </w:rPr>
            </w:pPr>
            <w:r>
              <w:rPr>
                <w:rFonts w:ascii="仿宋" w:cs="仿宋" w:eastAsia="仿宋" w:hAnsi="仿宋" w:hint="eastAsia"/>
                <w:sz w:val="22"/>
                <w:szCs w:val="22"/>
                <w:lang w:val="en-US" w:eastAsia="zh-CN"/>
              </w:rPr>
              <w:t>228.91</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ind w:firstLine="440" w:firstLineChars="200"/>
              <w:jc w:val="right"/>
              <w:rPr>
                <w:rFonts w:ascii="仿宋" w:cs="仿宋" w:eastAsia="仿宋" w:hAnsi="仿宋" w:hint="default"/>
                <w:sz w:val="22"/>
                <w:szCs w:val="22"/>
                <w:lang w:val="en-US" w:eastAsia="zh-CN"/>
              </w:rPr>
            </w:pPr>
            <w:r>
              <w:rPr>
                <w:rFonts w:ascii="仿宋" w:cs="仿宋" w:eastAsia="仿宋" w:hAnsi="仿宋" w:hint="eastAsia"/>
                <w:sz w:val="22"/>
                <w:szCs w:val="22"/>
                <w:lang w:val="en-US" w:eastAsia="zh-CN"/>
              </w:rPr>
              <w:t>228.91</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公用经费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0"/>
                <w:szCs w:val="20"/>
              </w:rPr>
            </w:pPr>
            <w:r>
              <w:rPr>
                <w:rFonts w:ascii="仿宋_GB2312" w:cs="宋体" w:eastAsia="仿宋_GB2312" w:hAnsi="宋体" w:hint="eastAsia"/>
                <w:kern w:val="0"/>
                <w:sz w:val="20"/>
                <w:szCs w:val="20"/>
                <w:lang w:val="en-US" w:eastAsia="zh-CN"/>
              </w:rPr>
              <w:t>595.93</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840.01</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sz w:val="22"/>
                <w:szCs w:val="22"/>
                <w:lang w:val="en-US" w:eastAsia="zh-CN"/>
              </w:rPr>
            </w:pPr>
            <w:r>
              <w:rPr>
                <w:rFonts w:cs="仿宋" w:eastAsia="仿宋" w:hint="eastAsia"/>
                <w:sz w:val="22"/>
                <w:szCs w:val="22"/>
                <w:lang w:val="en-US" w:eastAsia="zh-CN"/>
              </w:rPr>
              <w:t>840.01</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其中：办公经费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color w:val="ff0000"/>
                <w:sz w:val="20"/>
                <w:szCs w:val="20"/>
              </w:rPr>
            </w:pPr>
            <w:r>
              <w:rPr>
                <w:rFonts w:ascii="仿宋_GB2312" w:cs="宋体" w:eastAsia="仿宋_GB2312" w:hAnsi="宋体" w:hint="eastAsia"/>
                <w:color w:val="auto"/>
                <w:kern w:val="0"/>
                <w:sz w:val="20"/>
                <w:szCs w:val="20"/>
                <w:lang w:val="en-US" w:eastAsia="zh-CN"/>
              </w:rPr>
              <w:t>23.79</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color w:val="auto"/>
                <w:sz w:val="22"/>
                <w:szCs w:val="22"/>
                <w:lang w:val="en-US" w:eastAsia="zh-CN"/>
              </w:rPr>
            </w:pPr>
            <w:r>
              <w:rPr>
                <w:rFonts w:cs="仿宋" w:eastAsia="仿宋" w:hint="eastAsia"/>
                <w:color w:val="auto"/>
                <w:sz w:val="22"/>
                <w:szCs w:val="22"/>
                <w:lang w:val="en-US" w:eastAsia="zh-CN"/>
              </w:rPr>
              <w:t>33.99</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color w:val="auto"/>
                <w:sz w:val="22"/>
                <w:szCs w:val="22"/>
                <w:lang w:val="en-US" w:eastAsia="zh-CN"/>
              </w:rPr>
            </w:pPr>
            <w:r>
              <w:rPr>
                <w:rFonts w:cs="仿宋" w:eastAsia="仿宋" w:hint="eastAsia"/>
                <w:color w:val="auto"/>
                <w:sz w:val="22"/>
                <w:szCs w:val="22"/>
                <w:lang w:val="en-US" w:eastAsia="zh-CN"/>
              </w:rPr>
              <w:t>33.99</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水费、电费、差旅费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color w:val="auto"/>
                <w:sz w:val="20"/>
                <w:szCs w:val="20"/>
              </w:rPr>
            </w:pPr>
            <w:r>
              <w:rPr>
                <w:rFonts w:ascii="仿宋_GB2312" w:cs="宋体" w:eastAsia="仿宋_GB2312" w:hAnsi="宋体" w:hint="eastAsia"/>
                <w:color w:val="auto"/>
                <w:kern w:val="0"/>
                <w:sz w:val="20"/>
                <w:szCs w:val="20"/>
                <w:lang w:val="en-US" w:eastAsia="zh-CN"/>
              </w:rPr>
              <w:t>111.02</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color w:val="auto"/>
                <w:sz w:val="22"/>
                <w:szCs w:val="22"/>
                <w:lang w:val="en-US" w:eastAsia="zh-CN"/>
              </w:rPr>
            </w:pPr>
            <w:r>
              <w:rPr>
                <w:rFonts w:cs="仿宋" w:eastAsia="仿宋" w:hint="eastAsia"/>
                <w:color w:val="auto"/>
                <w:sz w:val="22"/>
                <w:szCs w:val="22"/>
                <w:lang w:val="en-US" w:eastAsia="zh-CN"/>
              </w:rPr>
              <w:t>108.68</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color w:val="auto"/>
                <w:sz w:val="22"/>
                <w:szCs w:val="22"/>
                <w:lang w:val="en-US" w:eastAsia="zh-CN"/>
              </w:rPr>
            </w:pPr>
            <w:r>
              <w:rPr>
                <w:rFonts w:cs="仿宋" w:eastAsia="仿宋" w:hint="eastAsia"/>
                <w:color w:val="auto"/>
                <w:sz w:val="22"/>
                <w:szCs w:val="22"/>
                <w:lang w:val="en-US" w:eastAsia="zh-CN"/>
              </w:rPr>
              <w:t>108.68</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          会议费、培训费</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color w:val="auto"/>
                <w:sz w:val="20"/>
                <w:szCs w:val="20"/>
              </w:rPr>
            </w:pPr>
            <w:r>
              <w:rPr>
                <w:rFonts w:ascii="仿宋_GB2312" w:cs="宋体" w:eastAsia="仿宋_GB2312" w:hAnsi="宋体" w:hint="eastAsia"/>
                <w:color w:val="auto"/>
                <w:kern w:val="0"/>
                <w:sz w:val="20"/>
                <w:szCs w:val="20"/>
                <w:lang w:val="en-US" w:eastAsia="zh-CN"/>
              </w:rPr>
              <w:t>21.94</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color w:val="auto"/>
                <w:sz w:val="22"/>
                <w:szCs w:val="22"/>
                <w:lang w:val="en-US" w:eastAsia="zh-CN"/>
              </w:rPr>
            </w:pPr>
            <w:r>
              <w:rPr>
                <w:rFonts w:cs="仿宋" w:eastAsia="仿宋" w:hint="eastAsia"/>
                <w:color w:val="auto"/>
                <w:sz w:val="22"/>
                <w:szCs w:val="22"/>
                <w:lang w:val="en-US" w:eastAsia="zh-CN"/>
              </w:rPr>
              <w:t>11.89</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default"/>
                <w:color w:val="auto"/>
                <w:sz w:val="22"/>
                <w:szCs w:val="22"/>
                <w:lang w:val="en-US" w:eastAsia="zh-CN"/>
              </w:rPr>
            </w:pPr>
            <w:r>
              <w:rPr>
                <w:rFonts w:cs="仿宋" w:eastAsia="仿宋" w:hint="eastAsia"/>
                <w:color w:val="auto"/>
                <w:sz w:val="22"/>
                <w:szCs w:val="22"/>
                <w:lang w:val="en-US" w:eastAsia="zh-CN"/>
              </w:rPr>
              <w:t>11.89</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政府采购金额</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center"/>
              <w:rPr>
                <w:rFonts w:ascii="仿宋" w:cs="仿宋" w:eastAsia="仿宋" w:hAnsi="仿宋" w:hint="eastAsia"/>
                <w:sz w:val="22"/>
                <w:szCs w:val="22"/>
              </w:rPr>
            </w:pPr>
            <w:r>
              <w:rPr>
                <w:rFonts w:ascii="仿宋" w:cs="仿宋" w:eastAsia="仿宋" w:hAnsi="仿宋" w:hint="eastAsia"/>
                <w:sz w:val="22"/>
                <w:szCs w:val="22"/>
              </w:rPr>
              <w:t>——</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color w:val="auto"/>
                <w:sz w:val="22"/>
                <w:szCs w:val="22"/>
              </w:rPr>
            </w:pPr>
            <w:r>
              <w:rPr>
                <w:rFonts w:ascii="仿宋" w:cs="仿宋" w:eastAsia="仿宋" w:hAnsi="仿宋" w:hint="eastAsia"/>
                <w:color w:val="auto"/>
                <w:sz w:val="22"/>
                <w:szCs w:val="22"/>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color w:val="auto"/>
                <w:sz w:val="22"/>
                <w:szCs w:val="22"/>
              </w:rPr>
            </w:pPr>
            <w:r>
              <w:rPr>
                <w:rFonts w:ascii="仿宋" w:cs="仿宋" w:eastAsia="仿宋" w:hAnsi="仿宋" w:hint="eastAsia"/>
                <w:color w:val="auto"/>
                <w:sz w:val="22"/>
                <w:szCs w:val="22"/>
              </w:rPr>
              <w:t>　</w:t>
            </w:r>
          </w:p>
        </w:tc>
      </w:tr>
      <w:tr>
        <w:tblPrEx/>
        <w:trPr>
          <w:trHeight w:val="39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xml:space="preserve">部门基本支出预算调整 </w:t>
            </w:r>
          </w:p>
        </w:tc>
        <w:tc>
          <w:tcPr>
            <w:tcW w:w="2038" w:type="dxa"/>
            <w:gridSpan w:val="2"/>
            <w:tcBorders>
              <w:top w:val="single" w:sz="4" w:space="0" w:color="auto"/>
              <w:left w:val="nil"/>
              <w:bottom w:val="single" w:sz="4" w:space="0" w:color="auto"/>
              <w:right w:val="single" w:sz="4" w:space="0" w:color="000000"/>
            </w:tcBorders>
            <w:vAlign w:val="center"/>
          </w:tcPr>
          <w:p>
            <w:pPr>
              <w:pStyle w:val="style0"/>
              <w:widowControl/>
              <w:jc w:val="center"/>
              <w:rPr>
                <w:rFonts w:ascii="仿宋" w:cs="仿宋" w:eastAsia="仿宋" w:hAnsi="仿宋" w:hint="eastAsia"/>
                <w:sz w:val="22"/>
                <w:szCs w:val="22"/>
              </w:rPr>
            </w:pPr>
            <w:r>
              <w:rPr>
                <w:rFonts w:ascii="仿宋" w:cs="仿宋" w:eastAsia="仿宋" w:hAnsi="仿宋" w:hint="eastAsia"/>
                <w:sz w:val="22"/>
                <w:szCs w:val="22"/>
              </w:rPr>
              <w:t>——</w:t>
            </w:r>
          </w:p>
        </w:tc>
        <w:tc>
          <w:tcPr>
            <w:tcW w:w="2240"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c>
          <w:tcPr>
            <w:tcW w:w="2041" w:type="dxa"/>
            <w:gridSpan w:val="2"/>
            <w:tcBorders>
              <w:top w:val="single" w:sz="4" w:space="0" w:color="auto"/>
              <w:left w:val="nil"/>
              <w:bottom w:val="single" w:sz="4" w:space="0" w:color="auto"/>
              <w:right w:val="single" w:sz="4" w:space="0" w:color="000000"/>
            </w:tcBorders>
            <w:vAlign w:val="center"/>
          </w:tcPr>
          <w:p>
            <w:pPr>
              <w:pStyle w:val="style0"/>
              <w:widowControl/>
              <w:jc w:val="right"/>
              <w:rPr>
                <w:rFonts w:ascii="仿宋" w:cs="仿宋" w:eastAsia="仿宋" w:hAnsi="仿宋" w:hint="eastAsia"/>
                <w:sz w:val="22"/>
                <w:szCs w:val="22"/>
              </w:rPr>
            </w:pPr>
            <w:r>
              <w:rPr>
                <w:rFonts w:ascii="仿宋" w:cs="仿宋" w:eastAsia="仿宋" w:hAnsi="仿宋" w:hint="eastAsia"/>
                <w:sz w:val="22"/>
                <w:szCs w:val="22"/>
              </w:rPr>
              <w:t>　</w:t>
            </w:r>
          </w:p>
        </w:tc>
      </w:tr>
      <w:tr>
        <w:tblPrEx/>
        <w:trPr>
          <w:trHeight w:val="567" w:hRule="atLeast"/>
          <w:jc w:val="center"/>
        </w:trPr>
        <w:tc>
          <w:tcPr>
            <w:tcW w:w="3354" w:type="dxa"/>
            <w:vMerge w:val="restart"/>
            <w:tcBorders>
              <w:top w:val="nil"/>
              <w:left w:val="single" w:sz="4" w:space="0" w:color="auto"/>
              <w:bottom w:val="single" w:sz="4" w:space="0" w:color="auto"/>
              <w:right w:val="single" w:sz="4" w:space="0" w:color="auto"/>
            </w:tcBorders>
            <w:vAlign w:val="center"/>
          </w:tcPr>
          <w:p>
            <w:pPr>
              <w:pStyle w:val="style0"/>
              <w:widowControl/>
              <w:jc w:val="center"/>
              <w:rPr>
                <w:rFonts w:ascii="仿宋" w:cs="仿宋" w:eastAsia="仿宋" w:hAnsi="仿宋" w:hint="eastAsia"/>
                <w:sz w:val="22"/>
                <w:szCs w:val="22"/>
              </w:rPr>
            </w:pPr>
            <w:r>
              <w:rPr>
                <w:rFonts w:ascii="仿宋" w:cs="仿宋" w:eastAsia="仿宋" w:hAnsi="仿宋" w:hint="eastAsia"/>
                <w:sz w:val="22"/>
                <w:szCs w:val="22"/>
              </w:rPr>
              <w:t>楼堂馆所控制情况</w:t>
            </w:r>
            <w:r>
              <w:rPr>
                <w:rFonts w:ascii="仿宋" w:cs="仿宋" w:eastAsia="仿宋" w:hAnsi="仿宋" w:hint="eastAsia"/>
                <w:sz w:val="22"/>
                <w:szCs w:val="22"/>
              </w:rPr>
              <w:br/>
            </w:r>
            <w:r>
              <w:rPr>
                <w:rFonts w:ascii="仿宋" w:cs="仿宋" w:eastAsia="仿宋" w:hAnsi="仿宋" w:hint="eastAsia"/>
                <w:sz w:val="22"/>
                <w:szCs w:val="22"/>
              </w:rPr>
              <w:t>（2021年完工项目）</w:t>
            </w:r>
          </w:p>
        </w:tc>
        <w:tc>
          <w:tcPr>
            <w:tcW w:w="1189"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 w:cs="仿宋" w:eastAsia="仿宋" w:hAnsi="仿宋" w:hint="eastAsia"/>
                <w:bCs/>
                <w:sz w:val="22"/>
                <w:szCs w:val="22"/>
              </w:rPr>
            </w:pPr>
            <w:r>
              <w:rPr>
                <w:rFonts w:ascii="仿宋" w:cs="仿宋" w:eastAsia="仿宋" w:hAnsi="仿宋" w:hint="eastAsia"/>
                <w:bCs/>
                <w:sz w:val="22"/>
                <w:szCs w:val="22"/>
              </w:rPr>
              <w:t>批复规模</w:t>
            </w:r>
            <w:r>
              <w:rPr>
                <w:rFonts w:ascii="仿宋" w:cs="仿宋" w:eastAsia="仿宋" w:hAnsi="仿宋" w:hint="eastAsia"/>
                <w:bCs/>
                <w:sz w:val="22"/>
                <w:szCs w:val="22"/>
              </w:rPr>
              <w:br/>
            </w:r>
            <w:r>
              <w:rPr>
                <w:rFonts w:ascii="仿宋" w:cs="仿宋" w:eastAsia="仿宋" w:hAnsi="仿宋" w:hint="eastAsia"/>
                <w:bCs/>
                <w:sz w:val="22"/>
                <w:szCs w:val="22"/>
              </w:rPr>
              <w:t>（㎡）</w:t>
            </w:r>
          </w:p>
        </w:tc>
        <w:tc>
          <w:tcPr>
            <w:tcW w:w="849"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 w:cs="仿宋" w:eastAsia="仿宋" w:hAnsi="仿宋" w:hint="eastAsia"/>
                <w:bCs/>
                <w:sz w:val="22"/>
                <w:szCs w:val="22"/>
              </w:rPr>
            </w:pPr>
            <w:r>
              <w:rPr>
                <w:rFonts w:ascii="仿宋" w:cs="仿宋" w:eastAsia="仿宋" w:hAnsi="仿宋" w:hint="eastAsia"/>
                <w:bCs/>
                <w:sz w:val="22"/>
                <w:szCs w:val="22"/>
              </w:rPr>
              <w:t>实际规模（㎡）</w:t>
            </w:r>
          </w:p>
        </w:tc>
        <w:tc>
          <w:tcPr>
            <w:tcW w:w="1129"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 w:cs="仿宋" w:eastAsia="仿宋" w:hAnsi="仿宋" w:hint="eastAsia"/>
                <w:bCs/>
                <w:sz w:val="22"/>
                <w:szCs w:val="22"/>
              </w:rPr>
            </w:pPr>
            <w:r>
              <w:rPr>
                <w:rFonts w:ascii="仿宋" w:cs="仿宋" w:eastAsia="仿宋" w:hAnsi="仿宋" w:hint="eastAsia"/>
                <w:bCs/>
                <w:sz w:val="22"/>
                <w:szCs w:val="22"/>
              </w:rPr>
              <w:t>规模控制率</w:t>
            </w:r>
          </w:p>
        </w:tc>
        <w:tc>
          <w:tcPr>
            <w:tcW w:w="1111"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 w:cs="仿宋" w:eastAsia="仿宋" w:hAnsi="仿宋" w:hint="eastAsia"/>
                <w:bCs/>
                <w:sz w:val="22"/>
                <w:szCs w:val="22"/>
              </w:rPr>
            </w:pPr>
            <w:r>
              <w:rPr>
                <w:rFonts w:ascii="仿宋" w:cs="仿宋" w:eastAsia="仿宋" w:hAnsi="仿宋" w:hint="eastAsia"/>
                <w:bCs/>
                <w:sz w:val="22"/>
                <w:szCs w:val="22"/>
              </w:rPr>
              <w:t>预算投资（万元）</w:t>
            </w:r>
          </w:p>
        </w:tc>
        <w:tc>
          <w:tcPr>
            <w:tcW w:w="1081"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 w:cs="仿宋" w:eastAsia="仿宋" w:hAnsi="仿宋" w:hint="eastAsia"/>
                <w:bCs/>
                <w:sz w:val="22"/>
                <w:szCs w:val="22"/>
              </w:rPr>
            </w:pPr>
            <w:r>
              <w:rPr>
                <w:rFonts w:ascii="仿宋" w:cs="仿宋" w:eastAsia="仿宋" w:hAnsi="仿宋" w:hint="eastAsia"/>
                <w:bCs/>
                <w:sz w:val="22"/>
                <w:szCs w:val="22"/>
              </w:rPr>
              <w:t>实际投资（万元）</w:t>
            </w:r>
          </w:p>
        </w:tc>
        <w:tc>
          <w:tcPr>
            <w:tcW w:w="960"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 w:cs="仿宋" w:eastAsia="仿宋" w:hAnsi="仿宋" w:hint="eastAsia"/>
                <w:bCs/>
                <w:sz w:val="22"/>
                <w:szCs w:val="22"/>
              </w:rPr>
            </w:pPr>
            <w:r>
              <w:rPr>
                <w:rFonts w:ascii="仿宋" w:cs="仿宋" w:eastAsia="仿宋" w:hAnsi="仿宋" w:hint="eastAsia"/>
                <w:bCs/>
                <w:sz w:val="22"/>
                <w:szCs w:val="22"/>
              </w:rPr>
              <w:t>投资概算控制率</w:t>
            </w:r>
          </w:p>
        </w:tc>
      </w:tr>
      <w:tr>
        <w:tblPrEx/>
        <w:trPr>
          <w:trHeight w:val="147" w:hRule="atLeast"/>
          <w:jc w:val="center"/>
        </w:trPr>
        <w:tc>
          <w:tcPr>
            <w:tcW w:w="3354" w:type="dxa"/>
            <w:vMerge w:val="continue"/>
            <w:tcBorders>
              <w:top w:val="nil"/>
              <w:left w:val="single" w:sz="4" w:space="0" w:color="auto"/>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p>
        </w:tc>
        <w:tc>
          <w:tcPr>
            <w:tcW w:w="1189" w:type="dxa"/>
            <w:tcBorders>
              <w:top w:val="nil"/>
              <w:left w:val="nil"/>
              <w:bottom w:val="single" w:sz="4" w:space="0" w:color="auto"/>
              <w:right w:val="single" w:sz="4" w:space="0" w:color="auto"/>
            </w:tcBorders>
            <w:vAlign w:val="center"/>
          </w:tcPr>
          <w:p>
            <w:pPr>
              <w:pStyle w:val="style0"/>
              <w:widowControl/>
              <w:jc w:val="center"/>
              <w:rPr>
                <w:rFonts w:ascii="仿宋" w:cs="仿宋" w:eastAsia="仿宋" w:hAnsi="仿宋" w:hint="eastAsia"/>
                <w:sz w:val="22"/>
                <w:szCs w:val="22"/>
              </w:rPr>
            </w:pPr>
            <w:r>
              <w:rPr>
                <w:rFonts w:ascii="仿宋" w:cs="仿宋" w:eastAsia="仿宋" w:hAnsi="仿宋" w:hint="eastAsia"/>
                <w:sz w:val="22"/>
                <w:szCs w:val="22"/>
              </w:rPr>
              <w:t>　</w:t>
            </w:r>
          </w:p>
        </w:tc>
        <w:tc>
          <w:tcPr>
            <w:tcW w:w="849" w:type="dxa"/>
            <w:tcBorders>
              <w:top w:val="nil"/>
              <w:left w:val="nil"/>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w:t>
            </w:r>
          </w:p>
        </w:tc>
        <w:tc>
          <w:tcPr>
            <w:tcW w:w="1129" w:type="dxa"/>
            <w:tcBorders>
              <w:top w:val="nil"/>
              <w:left w:val="nil"/>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w:t>
            </w:r>
          </w:p>
        </w:tc>
        <w:tc>
          <w:tcPr>
            <w:tcW w:w="1111" w:type="dxa"/>
            <w:tcBorders>
              <w:top w:val="nil"/>
              <w:left w:val="nil"/>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w:t>
            </w:r>
          </w:p>
        </w:tc>
        <w:tc>
          <w:tcPr>
            <w:tcW w:w="1081" w:type="dxa"/>
            <w:tcBorders>
              <w:top w:val="nil"/>
              <w:left w:val="nil"/>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w:t>
            </w:r>
          </w:p>
        </w:tc>
        <w:tc>
          <w:tcPr>
            <w:tcW w:w="960" w:type="dxa"/>
            <w:tcBorders>
              <w:top w:val="nil"/>
              <w:left w:val="nil"/>
              <w:bottom w:val="single" w:sz="4" w:space="0" w:color="auto"/>
              <w:right w:val="single" w:sz="4" w:space="0" w:color="auto"/>
            </w:tcBorders>
            <w:vAlign w:val="center"/>
          </w:tcPr>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　</w:t>
            </w:r>
          </w:p>
        </w:tc>
      </w:tr>
      <w:tr>
        <w:tblPrEx/>
        <w:trPr>
          <w:trHeight w:val="187" w:hRule="atLeast"/>
          <w:jc w:val="center"/>
        </w:trPr>
        <w:tc>
          <w:tcPr>
            <w:tcW w:w="3354" w:type="dxa"/>
            <w:tcBorders>
              <w:top w:val="nil"/>
              <w:left w:val="single" w:sz="4" w:space="0" w:color="auto"/>
              <w:bottom w:val="single" w:sz="4" w:space="0" w:color="auto"/>
              <w:right w:val="single" w:sz="4" w:space="0" w:color="auto"/>
            </w:tcBorders>
            <w:vAlign w:val="center"/>
          </w:tcPr>
          <w:p>
            <w:pPr>
              <w:pStyle w:val="style0"/>
              <w:widowControl/>
              <w:jc w:val="center"/>
              <w:rPr>
                <w:rFonts w:ascii="仿宋" w:cs="仿宋" w:eastAsia="仿宋" w:hAnsi="仿宋" w:hint="eastAsia"/>
                <w:sz w:val="22"/>
                <w:szCs w:val="22"/>
              </w:rPr>
            </w:pPr>
            <w:r>
              <w:rPr>
                <w:rFonts w:ascii="仿宋" w:cs="仿宋" w:eastAsia="仿宋" w:hAnsi="仿宋" w:hint="eastAsia"/>
                <w:sz w:val="22"/>
                <w:szCs w:val="22"/>
              </w:rPr>
              <w:t>厉行节约保障措施</w:t>
            </w:r>
          </w:p>
        </w:tc>
        <w:tc>
          <w:tcPr>
            <w:tcW w:w="6319" w:type="dxa"/>
            <w:gridSpan w:val="6"/>
            <w:tcBorders>
              <w:top w:val="single" w:sz="4" w:space="0" w:color="auto"/>
              <w:left w:val="nil"/>
              <w:bottom w:val="single" w:sz="4" w:space="0" w:color="auto"/>
              <w:right w:val="single" w:sz="4" w:space="0" w:color="000000"/>
            </w:tcBorders>
            <w:vAlign w:val="center"/>
          </w:tcPr>
          <w:p>
            <w:pPr>
              <w:pStyle w:val="style0"/>
              <w:widowControl/>
              <w:jc w:val="center"/>
              <w:rPr>
                <w:rFonts w:ascii="仿宋" w:cs="仿宋" w:eastAsia="仿宋" w:hAnsi="仿宋" w:hint="eastAsia"/>
                <w:sz w:val="22"/>
                <w:szCs w:val="22"/>
              </w:rPr>
            </w:pPr>
            <w:r>
              <w:rPr>
                <w:rFonts w:ascii="仿宋" w:cs="仿宋" w:eastAsia="仿宋" w:hAnsi="仿宋" w:hint="eastAsia"/>
                <w:sz w:val="22"/>
                <w:szCs w:val="22"/>
              </w:rPr>
              <w:t>　</w:t>
            </w:r>
          </w:p>
        </w:tc>
      </w:tr>
    </w:tbl>
    <w:p>
      <w:pPr>
        <w:pStyle w:val="style0"/>
        <w:widowControl/>
        <w:jc w:val="left"/>
        <w:rPr>
          <w:rFonts w:ascii="仿宋" w:cs="仿宋" w:eastAsia="仿宋" w:hAnsi="仿宋" w:hint="eastAsia"/>
          <w:sz w:val="22"/>
          <w:szCs w:val="22"/>
        </w:rPr>
      </w:pPr>
    </w:p>
    <w:p>
      <w:pPr>
        <w:pStyle w:val="style0"/>
        <w:widowControl/>
        <w:jc w:val="left"/>
        <w:rPr>
          <w:rFonts w:ascii="仿宋" w:cs="仿宋" w:eastAsia="仿宋" w:hAnsi="仿宋" w:hint="eastAsia"/>
          <w:sz w:val="22"/>
          <w:szCs w:val="22"/>
        </w:rPr>
      </w:pPr>
      <w:r>
        <w:rPr>
          <w:rFonts w:ascii="仿宋" w:cs="仿宋" w:eastAsia="仿宋" w:hAnsi="仿宋" w:hint="eastAsia"/>
          <w:sz w:val="22"/>
          <w:szCs w:val="22"/>
        </w:rPr>
        <w:t>说明：“项目支出”需要填报基本支出以外的所有项目支出情况，“公用经费”填报基本支出中的一般商品和服务支出。</w:t>
      </w:r>
    </w:p>
    <w:p>
      <w:pPr>
        <w:pStyle w:val="style0"/>
        <w:rPr>
          <w:rFonts w:ascii="仿宋" w:cs="仿宋" w:eastAsia="仿宋" w:hAnsi="仿宋" w:hint="eastAsia"/>
          <w:sz w:val="22"/>
          <w:szCs w:val="22"/>
        </w:rPr>
      </w:pPr>
      <w:r>
        <w:rPr>
          <w:rFonts w:ascii="仿宋" w:cs="仿宋" w:eastAsia="仿宋" w:hAnsi="仿宋" w:hint="eastAsia"/>
          <w:sz w:val="22"/>
          <w:szCs w:val="22"/>
        </w:rPr>
        <w:br w:type="page"/>
      </w:r>
    </w:p>
    <w:p>
      <w:pPr>
        <w:pStyle w:val="style0"/>
        <w:widowControl/>
        <w:spacing w:after="120" w:afterLines="50"/>
        <w:jc w:val="left"/>
        <w:rPr>
          <w:rFonts w:ascii="Times New Roman" w:cs="Times New Roman" w:eastAsia="黑体" w:hAnsi="Times New Roman" w:hint="eastAsia"/>
          <w:sz w:val="32"/>
          <w:szCs w:val="32"/>
          <w:lang w:val="en-US" w:eastAsia="zh-CN"/>
        </w:rPr>
      </w:pPr>
      <w:r>
        <w:rPr>
          <w:rFonts w:ascii="Times New Roman" w:cs="Times New Roman" w:eastAsia="黑体" w:hAnsi="Times New Roman"/>
          <w:sz w:val="32"/>
          <w:szCs w:val="32"/>
        </w:rPr>
        <w:t>附件</w:t>
      </w:r>
      <w:r>
        <w:rPr>
          <w:rFonts w:ascii="Times New Roman" w:cs="Times New Roman" w:eastAsia="黑体" w:hAnsi="Times New Roman" w:hint="eastAsia"/>
          <w:sz w:val="32"/>
          <w:szCs w:val="32"/>
          <w:lang w:val="en-US" w:eastAsia="zh-CN"/>
        </w:rPr>
        <w:t>3</w:t>
      </w:r>
    </w:p>
    <w:p>
      <w:pPr>
        <w:pStyle w:val="style0"/>
        <w:widowControl/>
        <w:spacing w:after="120" w:afterLines="50"/>
        <w:jc w:val="center"/>
        <w:rPr>
          <w:rFonts w:ascii="Times New Roman" w:cs="Times New Roman" w:eastAsia="方正小标宋_GBK" w:hAnsi="Times New Roman"/>
          <w:color w:val="000000"/>
          <w:sz w:val="36"/>
          <w:szCs w:val="36"/>
        </w:rPr>
      </w:pPr>
      <w:r>
        <w:rPr>
          <w:rFonts w:ascii="Times New Roman" w:cs="Times New Roman" w:eastAsia="方正小标宋_GBK" w:hAnsi="Times New Roman"/>
          <w:color w:val="000000"/>
          <w:sz w:val="36"/>
          <w:szCs w:val="36"/>
        </w:rPr>
        <w:t>部门整体支出绩效自评表</w:t>
      </w:r>
    </w:p>
    <w:tbl>
      <w:tblPr>
        <w:tblStyle w:val="style105"/>
        <w:tblW w:w="10079" w:type="dxa"/>
        <w:jc w:val="center"/>
        <w:tblCellMar>
          <w:top w:w="0" w:type="dxa"/>
          <w:left w:w="108" w:type="dxa"/>
          <w:bottom w:w="0" w:type="dxa"/>
          <w:right w:w="108" w:type="dxa"/>
        </w:tblCellMar>
      </w:tblPr>
      <w:tblGrid>
        <w:gridCol w:w="1028"/>
        <w:gridCol w:w="1028"/>
        <w:gridCol w:w="892"/>
        <w:gridCol w:w="1240"/>
        <w:gridCol w:w="84"/>
        <w:gridCol w:w="1466"/>
        <w:gridCol w:w="1466"/>
        <w:gridCol w:w="693"/>
        <w:gridCol w:w="859"/>
        <w:gridCol w:w="1323"/>
      </w:tblGrid>
      <w:tr>
        <w:trPr>
          <w:jc w:val="center"/>
        </w:trPr>
        <w:tc>
          <w:tcPr>
            <w:tcW w:w="1028" w:type="dxa"/>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r>
              <w:rPr>
                <w:rFonts w:ascii="Times New Roman" w:cs="Times New Roman" w:eastAsia="仿宋_GB2312" w:hAnsi="Times New Roman" w:hint="eastAsia"/>
                <w:color w:val="000000"/>
                <w:sz w:val="20"/>
                <w:szCs w:val="20"/>
                <w:lang w:eastAsia="zh-CN"/>
              </w:rPr>
              <w:t>市直</w:t>
            </w:r>
            <w:r>
              <w:rPr>
                <w:rFonts w:ascii="Times New Roman" w:cs="Times New Roman" w:eastAsia="仿宋_GB2312" w:hAnsi="Times New Roman"/>
                <w:color w:val="000000"/>
                <w:sz w:val="20"/>
                <w:szCs w:val="20"/>
              </w:rPr>
              <w:t>预算部门名称</w:t>
            </w:r>
          </w:p>
        </w:tc>
        <w:tc>
          <w:tcPr>
            <w:tcW w:w="9051" w:type="dxa"/>
            <w:gridSpan w:val="9"/>
            <w:tcBorders>
              <w:top w:val="single" w:sz="4" w:space="0" w:color="auto"/>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hint="eastAsia"/>
                <w:color w:val="000000"/>
                <w:sz w:val="20"/>
                <w:szCs w:val="20"/>
                <w:lang w:eastAsia="zh-CN"/>
              </w:rPr>
              <w:t>怀化市</w:t>
            </w:r>
            <w:r>
              <w:rPr>
                <w:rFonts w:ascii="Times New Roman" w:cs="Times New Roman" w:eastAsia="仿宋_GB2312" w:hAnsi="Times New Roman" w:hint="eastAsia"/>
                <w:color w:val="000000"/>
                <w:sz w:val="20"/>
                <w:szCs w:val="20"/>
                <w:lang w:val="en-US" w:eastAsia="zh-CN"/>
              </w:rPr>
              <w:t>铁一中</w:t>
            </w:r>
            <w:r>
              <w:rPr>
                <w:rFonts w:ascii="Times New Roman" w:cs="Times New Roman" w:eastAsia="仿宋_GB2312" w:hAnsi="Times New Roman"/>
                <w:color w:val="000000"/>
                <w:sz w:val="20"/>
                <w:szCs w:val="20"/>
              </w:rPr>
              <w:t>　</w:t>
            </w:r>
          </w:p>
        </w:tc>
      </w:tr>
      <w:tr>
        <w:tblPrEx/>
        <w:trPr>
          <w:jc w:val="center"/>
        </w:trPr>
        <w:tc>
          <w:tcPr>
            <w:tcW w:w="1028" w:type="dxa"/>
            <w:vMerge w:val="restart"/>
            <w:tcBorders>
              <w:top w:val="nil"/>
              <w:left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年度预</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算申请</w:t>
            </w:r>
            <w:r>
              <w:rPr>
                <w:rFonts w:ascii="Times New Roman" w:cs="Times New Roman" w:eastAsia="仿宋_GB2312" w:hAnsi="Times New Roman"/>
                <w:color w:val="000000"/>
                <w:sz w:val="20"/>
                <w:szCs w:val="20"/>
              </w:rPr>
              <w:br/>
            </w:r>
            <w:r>
              <w:rPr>
                <w:rFonts w:ascii="Times New Roman" w:cs="Times New Roman" w:eastAsia="仿宋_GB2312" w:hAnsi="Times New Roman"/>
                <w:color w:val="000000"/>
                <w:sz w:val="20"/>
                <w:szCs w:val="20"/>
              </w:rPr>
              <w:t>（万元）</w:t>
            </w:r>
          </w:p>
        </w:tc>
        <w:tc>
          <w:tcPr>
            <w:tcW w:w="1920" w:type="dxa"/>
            <w:gridSpan w:val="2"/>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p>
        </w:tc>
        <w:tc>
          <w:tcPr>
            <w:tcW w:w="1240"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r>
              <w:rPr>
                <w:rFonts w:ascii="Times New Roman" w:cs="Times New Roman" w:eastAsia="仿宋_GB2312" w:hAnsi="Times New Roman"/>
                <w:sz w:val="20"/>
                <w:szCs w:val="20"/>
              </w:rPr>
              <w:t>年初预算数</w:t>
            </w:r>
          </w:p>
        </w:tc>
        <w:tc>
          <w:tcPr>
            <w:tcW w:w="1550" w:type="dxa"/>
            <w:gridSpan w:val="2"/>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r>
              <w:rPr>
                <w:rFonts w:ascii="Times New Roman" w:cs="Times New Roman" w:eastAsia="仿宋_GB2312" w:hAnsi="Times New Roman"/>
                <w:sz w:val="20"/>
                <w:szCs w:val="20"/>
              </w:rPr>
              <w:t>全年预算数</w:t>
            </w:r>
          </w:p>
        </w:tc>
        <w:tc>
          <w:tcPr>
            <w:tcW w:w="1466"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r>
              <w:rPr>
                <w:rFonts w:ascii="Times New Roman" w:cs="Times New Roman" w:eastAsia="仿宋_GB2312" w:hAnsi="Times New Roman"/>
                <w:sz w:val="20"/>
                <w:szCs w:val="20"/>
              </w:rPr>
              <w:t>全年执行数</w:t>
            </w:r>
          </w:p>
        </w:tc>
        <w:tc>
          <w:tcPr>
            <w:tcW w:w="693"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r>
              <w:rPr>
                <w:rFonts w:ascii="Times New Roman" w:cs="Times New Roman" w:eastAsia="仿宋_GB2312" w:hAnsi="Times New Roman"/>
                <w:sz w:val="20"/>
                <w:szCs w:val="20"/>
              </w:rPr>
              <w:t>分值</w:t>
            </w:r>
          </w:p>
        </w:tc>
        <w:tc>
          <w:tcPr>
            <w:tcW w:w="859"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r>
              <w:rPr>
                <w:rFonts w:ascii="Times New Roman" w:cs="Times New Roman" w:eastAsia="仿宋_GB2312" w:hAnsi="Times New Roman"/>
                <w:sz w:val="20"/>
                <w:szCs w:val="20"/>
              </w:rPr>
              <w:t>执行率</w:t>
            </w:r>
          </w:p>
        </w:tc>
        <w:tc>
          <w:tcPr>
            <w:tcW w:w="1323"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r>
              <w:rPr>
                <w:rFonts w:ascii="Times New Roman" w:cs="Times New Roman" w:eastAsia="仿宋_GB2312" w:hAnsi="Times New Roman"/>
                <w:sz w:val="20"/>
                <w:szCs w:val="20"/>
              </w:rPr>
              <w:t>得分</w:t>
            </w:r>
          </w:p>
        </w:tc>
      </w:tr>
      <w:tr>
        <w:tblPrEx/>
        <w:trPr>
          <w:jc w:val="center"/>
        </w:trPr>
        <w:tc>
          <w:tcPr>
            <w:tcW w:w="1028" w:type="dxa"/>
            <w:vMerge w:val="continue"/>
            <w:tcBorders>
              <w:top w:val="nil"/>
              <w:left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920" w:type="dxa"/>
            <w:gridSpan w:val="2"/>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r>
              <w:rPr>
                <w:rFonts w:ascii="Times New Roman" w:cs="Times New Roman" w:eastAsia="仿宋_GB2312" w:hAnsi="Times New Roman"/>
                <w:color w:val="000000"/>
                <w:sz w:val="20"/>
                <w:szCs w:val="20"/>
              </w:rPr>
              <w:t>年度资金总额</w:t>
            </w:r>
          </w:p>
        </w:tc>
        <w:tc>
          <w:tcPr>
            <w:tcW w:w="1240"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hint="default"/>
                <w:sz w:val="20"/>
                <w:szCs w:val="20"/>
                <w:lang w:val="en-US" w:eastAsia="zh-CN"/>
              </w:rPr>
            </w:pPr>
            <w:r>
              <w:rPr>
                <w:rFonts w:ascii="Times New Roman" w:cs="Times New Roman" w:eastAsia="仿宋_GB2312" w:hAnsi="Times New Roman" w:hint="eastAsia"/>
                <w:sz w:val="20"/>
                <w:szCs w:val="20"/>
                <w:lang w:val="en-US" w:eastAsia="zh-CN"/>
              </w:rPr>
              <w:t>2698.96</w:t>
            </w:r>
          </w:p>
        </w:tc>
        <w:tc>
          <w:tcPr>
            <w:tcW w:w="1550" w:type="dxa"/>
            <w:gridSpan w:val="2"/>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hint="default"/>
                <w:sz w:val="20"/>
                <w:szCs w:val="20"/>
                <w:lang w:val="en-US" w:eastAsia="zh-CN"/>
              </w:rPr>
            </w:pPr>
            <w:r>
              <w:rPr>
                <w:rFonts w:ascii="Times New Roman" w:cs="Times New Roman" w:eastAsia="仿宋_GB2312" w:hAnsi="Times New Roman" w:hint="eastAsia"/>
                <w:sz w:val="20"/>
                <w:szCs w:val="20"/>
                <w:lang w:val="en-US" w:eastAsia="zh-CN"/>
              </w:rPr>
              <w:t>5184.48</w:t>
            </w:r>
          </w:p>
        </w:tc>
        <w:tc>
          <w:tcPr>
            <w:tcW w:w="1466"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hint="default"/>
                <w:sz w:val="20"/>
                <w:szCs w:val="20"/>
                <w:lang w:val="en-US" w:eastAsia="zh-CN"/>
              </w:rPr>
            </w:pPr>
            <w:r>
              <w:rPr>
                <w:rFonts w:ascii="Times New Roman" w:cs="Times New Roman" w:eastAsia="仿宋_GB2312" w:hAnsi="Times New Roman" w:hint="eastAsia"/>
                <w:sz w:val="20"/>
                <w:szCs w:val="20"/>
                <w:lang w:val="en-US" w:eastAsia="zh-CN"/>
              </w:rPr>
              <w:t>5184.48</w:t>
            </w:r>
          </w:p>
        </w:tc>
        <w:tc>
          <w:tcPr>
            <w:tcW w:w="693"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sz w:val="20"/>
                <w:szCs w:val="20"/>
              </w:rPr>
            </w:pPr>
            <w:r>
              <w:rPr>
                <w:rFonts w:ascii="Times New Roman" w:cs="Times New Roman" w:eastAsia="仿宋_GB2312" w:hAnsi="Times New Roman"/>
                <w:sz w:val="20"/>
                <w:szCs w:val="20"/>
              </w:rPr>
              <w:t>10</w:t>
            </w:r>
          </w:p>
        </w:tc>
        <w:tc>
          <w:tcPr>
            <w:tcW w:w="859"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hint="default"/>
                <w:sz w:val="20"/>
                <w:szCs w:val="20"/>
                <w:lang w:val="en-US" w:eastAsia="zh-CN"/>
              </w:rPr>
            </w:pPr>
            <w:r>
              <w:rPr>
                <w:rFonts w:ascii="Times New Roman" w:cs="Times New Roman" w:eastAsia="仿宋_GB2312" w:hAnsi="Times New Roman" w:hint="eastAsia"/>
                <w:sz w:val="20"/>
                <w:szCs w:val="20"/>
                <w:lang w:val="en-US" w:eastAsia="zh-CN"/>
              </w:rPr>
              <w:t>100%</w:t>
            </w:r>
          </w:p>
        </w:tc>
        <w:tc>
          <w:tcPr>
            <w:tcW w:w="1323" w:type="dxa"/>
            <w:tcBorders>
              <w:top w:val="nil"/>
              <w:left w:val="nil"/>
              <w:bottom w:val="single" w:sz="4" w:space="0" w:color="auto"/>
              <w:right w:val="single" w:sz="4" w:space="0" w:color="auto"/>
            </w:tcBorders>
            <w:vAlign w:val="center"/>
          </w:tcPr>
          <w:p>
            <w:pPr>
              <w:pStyle w:val="style0"/>
              <w:spacing w:lineRule="exact" w:line="240"/>
              <w:jc w:val="center"/>
              <w:rPr>
                <w:rFonts w:ascii="Times New Roman" w:cs="Times New Roman" w:eastAsia="仿宋_GB2312" w:hAnsi="Times New Roman" w:hint="default"/>
                <w:sz w:val="20"/>
                <w:szCs w:val="20"/>
                <w:lang w:val="en-US" w:eastAsia="zh-CN"/>
              </w:rPr>
            </w:pPr>
            <w:r>
              <w:rPr>
                <w:rFonts w:ascii="Times New Roman" w:cs="Times New Roman" w:eastAsia="仿宋_GB2312" w:hAnsi="Times New Roman" w:hint="eastAsia"/>
                <w:sz w:val="20"/>
                <w:szCs w:val="20"/>
                <w:lang w:val="en-US" w:eastAsia="zh-CN"/>
              </w:rPr>
              <w:t>10</w:t>
            </w:r>
          </w:p>
        </w:tc>
      </w:tr>
      <w:tr>
        <w:tblPrEx/>
        <w:trPr>
          <w:jc w:val="center"/>
        </w:trPr>
        <w:tc>
          <w:tcPr>
            <w:tcW w:w="1028" w:type="dxa"/>
            <w:vMerge w:val="continue"/>
            <w:tcBorders>
              <w:left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4710" w:type="dxa"/>
            <w:gridSpan w:val="5"/>
            <w:tcBorders>
              <w:top w:val="nil"/>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按收入性质分：</w:t>
            </w:r>
          </w:p>
        </w:tc>
        <w:tc>
          <w:tcPr>
            <w:tcW w:w="4341" w:type="dxa"/>
            <w:gridSpan w:val="4"/>
            <w:tcBorders>
              <w:top w:val="nil"/>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按支出性质分：</w:t>
            </w:r>
          </w:p>
        </w:tc>
      </w:tr>
      <w:tr>
        <w:tblPrEx/>
        <w:trPr>
          <w:trHeight w:val="214" w:hRule="atLeast"/>
          <w:jc w:val="center"/>
        </w:trPr>
        <w:tc>
          <w:tcPr>
            <w:tcW w:w="1028" w:type="dxa"/>
            <w:vMerge w:val="continue"/>
            <w:tcBorders>
              <w:left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4710" w:type="dxa"/>
            <w:gridSpan w:val="5"/>
            <w:tcBorders>
              <w:top w:val="nil"/>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color w:val="000000"/>
                <w:sz w:val="20"/>
                <w:szCs w:val="20"/>
              </w:rPr>
              <w:t xml:space="preserve">  其中：  一般公共预算：</w:t>
            </w:r>
            <w:r>
              <w:rPr>
                <w:rFonts w:ascii="Times New Roman" w:cs="Times New Roman" w:eastAsia="仿宋_GB2312" w:hAnsi="Times New Roman" w:hint="eastAsia"/>
                <w:color w:val="000000"/>
                <w:sz w:val="20"/>
                <w:szCs w:val="20"/>
                <w:lang w:val="en-US" w:eastAsia="zh-CN"/>
              </w:rPr>
              <w:t>4167.45</w:t>
            </w:r>
          </w:p>
        </w:tc>
        <w:tc>
          <w:tcPr>
            <w:tcW w:w="4341" w:type="dxa"/>
            <w:gridSpan w:val="4"/>
            <w:tcBorders>
              <w:top w:val="nil"/>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color w:val="000000"/>
                <w:sz w:val="20"/>
                <w:szCs w:val="20"/>
              </w:rPr>
              <w:t>其中：基本支出：</w:t>
            </w:r>
            <w:r>
              <w:rPr>
                <w:rFonts w:ascii="Times New Roman" w:cs="Times New Roman" w:eastAsia="仿宋_GB2312" w:hAnsi="Times New Roman" w:hint="eastAsia"/>
                <w:color w:val="000000"/>
                <w:sz w:val="20"/>
                <w:szCs w:val="20"/>
                <w:lang w:val="en-US" w:eastAsia="zh-CN"/>
              </w:rPr>
              <w:t>4167.45</w:t>
            </w:r>
          </w:p>
        </w:tc>
      </w:tr>
      <w:tr>
        <w:tblPrEx/>
        <w:trPr>
          <w:jc w:val="center"/>
        </w:trPr>
        <w:tc>
          <w:tcPr>
            <w:tcW w:w="1028" w:type="dxa"/>
            <w:vMerge w:val="continue"/>
            <w:tcBorders>
              <w:left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4710" w:type="dxa"/>
            <w:gridSpan w:val="5"/>
            <w:tcBorders>
              <w:top w:val="nil"/>
              <w:left w:val="nil"/>
              <w:bottom w:val="single" w:sz="4" w:space="0" w:color="auto"/>
              <w:right w:val="single" w:sz="4" w:space="0" w:color="auto"/>
            </w:tcBorders>
            <w:vAlign w:val="center"/>
          </w:tcPr>
          <w:p>
            <w:pPr>
              <w:pStyle w:val="style0"/>
              <w:widowControl/>
              <w:spacing w:lineRule="exact" w:line="240"/>
              <w:ind w:firstLine="800" w:firstLineChars="400"/>
              <w:jc w:val="left"/>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color w:val="000000"/>
                <w:sz w:val="20"/>
                <w:szCs w:val="20"/>
              </w:rPr>
              <w:t>政府性基金拨款：</w:t>
            </w:r>
          </w:p>
        </w:tc>
        <w:tc>
          <w:tcPr>
            <w:tcW w:w="4341" w:type="dxa"/>
            <w:gridSpan w:val="4"/>
            <w:tcBorders>
              <w:top w:val="nil"/>
              <w:left w:val="nil"/>
              <w:bottom w:val="single" w:sz="4" w:space="0" w:color="auto"/>
              <w:right w:val="single" w:sz="4" w:space="0" w:color="auto"/>
            </w:tcBorders>
            <w:vAlign w:val="center"/>
          </w:tcPr>
          <w:p>
            <w:pPr>
              <w:pStyle w:val="style0"/>
              <w:widowControl/>
              <w:spacing w:lineRule="exact" w:line="240"/>
              <w:ind w:firstLine="600" w:firstLineChars="300"/>
              <w:jc w:val="left"/>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color w:val="000000"/>
                <w:sz w:val="20"/>
                <w:szCs w:val="20"/>
              </w:rPr>
              <w:t>项目支出：</w:t>
            </w:r>
            <w:r>
              <w:rPr>
                <w:rFonts w:ascii="Times New Roman" w:cs="Times New Roman" w:eastAsia="仿宋_GB2312" w:hAnsi="Times New Roman" w:hint="eastAsia"/>
                <w:color w:val="000000"/>
                <w:sz w:val="20"/>
                <w:szCs w:val="20"/>
                <w:lang w:val="en-US" w:eastAsia="zh-CN"/>
              </w:rPr>
              <w:t>593.41</w:t>
            </w:r>
          </w:p>
        </w:tc>
      </w:tr>
      <w:tr>
        <w:tblPrEx/>
        <w:trPr>
          <w:jc w:val="center"/>
        </w:trPr>
        <w:tc>
          <w:tcPr>
            <w:tcW w:w="1028" w:type="dxa"/>
            <w:vMerge w:val="continue"/>
            <w:tcBorders>
              <w:left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4710" w:type="dxa"/>
            <w:gridSpan w:val="5"/>
            <w:tcBorders>
              <w:top w:val="nil"/>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纳入专户管理的非税收入拨款：</w:t>
            </w:r>
          </w:p>
        </w:tc>
        <w:tc>
          <w:tcPr>
            <w:tcW w:w="4341" w:type="dxa"/>
            <w:gridSpan w:val="4"/>
            <w:tcBorders>
              <w:top w:val="nil"/>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4710" w:type="dxa"/>
            <w:gridSpan w:val="5"/>
            <w:tcBorders>
              <w:top w:val="nil"/>
              <w:left w:val="nil"/>
              <w:bottom w:val="single" w:sz="4" w:space="0" w:color="auto"/>
              <w:right w:val="single" w:sz="4" w:space="0" w:color="auto"/>
            </w:tcBorders>
            <w:vAlign w:val="center"/>
          </w:tcPr>
          <w:p>
            <w:pPr>
              <w:pStyle w:val="style0"/>
              <w:widowControl/>
              <w:spacing w:lineRule="exact" w:line="240"/>
              <w:ind w:firstLine="1400" w:firstLineChars="700"/>
              <w:jc w:val="left"/>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color w:val="000000"/>
                <w:sz w:val="20"/>
                <w:szCs w:val="20"/>
              </w:rPr>
              <w:t>其他资金：</w:t>
            </w:r>
            <w:r>
              <w:rPr>
                <w:rFonts w:ascii="Times New Roman" w:cs="Times New Roman" w:eastAsia="仿宋_GB2312" w:hAnsi="Times New Roman" w:hint="eastAsia"/>
                <w:color w:val="000000"/>
                <w:sz w:val="20"/>
                <w:szCs w:val="20"/>
                <w:lang w:val="en-US" w:eastAsia="zh-CN"/>
              </w:rPr>
              <w:t>1017.03</w:t>
            </w:r>
          </w:p>
        </w:tc>
        <w:tc>
          <w:tcPr>
            <w:tcW w:w="4341" w:type="dxa"/>
            <w:gridSpan w:val="4"/>
            <w:tcBorders>
              <w:top w:val="nil"/>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r>
      <w:tr>
        <w:tblPrEx/>
        <w:trPr>
          <w:jc w:val="center"/>
        </w:trPr>
        <w:tc>
          <w:tcPr>
            <w:tcW w:w="1028"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年度总体目标</w:t>
            </w:r>
          </w:p>
        </w:tc>
        <w:tc>
          <w:tcPr>
            <w:tcW w:w="4710" w:type="dxa"/>
            <w:gridSpan w:val="5"/>
            <w:tcBorders>
              <w:top w:val="single" w:sz="4" w:space="0" w:color="auto"/>
              <w:left w:val="nil"/>
              <w:bottom w:val="single" w:sz="4" w:space="0" w:color="auto"/>
              <w:right w:val="single" w:sz="4" w:space="0" w:color="000000"/>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预期目标</w:t>
            </w:r>
          </w:p>
        </w:tc>
        <w:tc>
          <w:tcPr>
            <w:tcW w:w="4341" w:type="dxa"/>
            <w:gridSpan w:val="4"/>
            <w:tcBorders>
              <w:top w:val="single" w:sz="4" w:space="0" w:color="auto"/>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实际完成情况　</w:t>
            </w:r>
          </w:p>
        </w:tc>
      </w:tr>
      <w:tr>
        <w:tblPrEx/>
        <w:trPr>
          <w:jc w:val="center"/>
        </w:trPr>
        <w:tc>
          <w:tcPr>
            <w:tcW w:w="1028"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4710" w:type="dxa"/>
            <w:gridSpan w:val="5"/>
            <w:tcBorders>
              <w:top w:val="single" w:sz="4" w:space="0" w:color="auto"/>
              <w:left w:val="nil"/>
              <w:bottom w:val="single" w:sz="4" w:space="0" w:color="auto"/>
              <w:right w:val="single" w:sz="4" w:space="0" w:color="000000"/>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4341" w:type="dxa"/>
            <w:gridSpan w:val="4"/>
            <w:tcBorders>
              <w:top w:val="single" w:sz="4" w:space="0" w:color="auto"/>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color w:val="000000"/>
                <w:sz w:val="20"/>
                <w:szCs w:val="20"/>
              </w:rPr>
              <w:t>　</w:t>
            </w:r>
            <w:r>
              <w:rPr>
                <w:rFonts w:ascii="Times New Roman" w:cs="Times New Roman" w:eastAsia="仿宋_GB2312" w:hAnsi="Times New Roman" w:hint="eastAsia"/>
                <w:color w:val="000000"/>
                <w:sz w:val="20"/>
                <w:szCs w:val="20"/>
                <w:lang w:val="en-US" w:eastAsia="zh-CN"/>
              </w:rPr>
              <w:t xml:space="preserve">            100%</w:t>
            </w:r>
          </w:p>
        </w:tc>
      </w:tr>
      <w:tr>
        <w:tblPrEx/>
        <w:trPr>
          <w:jc w:val="center"/>
        </w:trPr>
        <w:tc>
          <w:tcPr>
            <w:tcW w:w="1028" w:type="dxa"/>
            <w:vMerge w:val="restart"/>
            <w:tcBorders>
              <w:top w:val="nil"/>
              <w:left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绩</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效</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指</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标</w:t>
            </w:r>
          </w:p>
          <w:p>
            <w:pPr>
              <w:pStyle w:val="style0"/>
              <w:widowControl/>
              <w:spacing w:lineRule="exact" w:line="240"/>
              <w:jc w:val="center"/>
              <w:rPr>
                <w:rFonts w:ascii="Times New Roman" w:cs="Times New Roman" w:eastAsia="仿宋_GB2312" w:hAnsi="Times New Roman"/>
                <w:color w:val="000000"/>
                <w:sz w:val="20"/>
                <w:szCs w:val="20"/>
              </w:rPr>
            </w:pPr>
          </w:p>
        </w:tc>
        <w:tc>
          <w:tcPr>
            <w:tcW w:w="1028"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一级指标</w:t>
            </w:r>
          </w:p>
        </w:tc>
        <w:tc>
          <w:tcPr>
            <w:tcW w:w="892"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二级指标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三级指标</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both"/>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年度指标值</w:t>
            </w:r>
          </w:p>
        </w:tc>
        <w:tc>
          <w:tcPr>
            <w:tcW w:w="1466" w:type="dxa"/>
            <w:tcBorders>
              <w:top w:val="nil"/>
              <w:left w:val="nil"/>
              <w:bottom w:val="single" w:sz="4" w:space="0" w:color="auto"/>
              <w:right w:val="single" w:sz="4" w:space="0" w:color="auto"/>
            </w:tcBorders>
            <w:vAlign w:val="center"/>
          </w:tcPr>
          <w:p>
            <w:pPr>
              <w:pStyle w:val="style0"/>
              <w:widowControl/>
              <w:spacing w:lineRule="exact" w:line="240"/>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实际完成值</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分值</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得分</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both"/>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偏差原因分析及改进措施</w:t>
            </w:r>
          </w:p>
        </w:tc>
      </w:tr>
      <w:tr>
        <w:tblPrEx/>
        <w:trPr>
          <w:trHeight w:val="226"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产出指标</w:t>
            </w:r>
          </w:p>
          <w:p>
            <w:pPr>
              <w:pStyle w:val="style0"/>
              <w:widowControl/>
              <w:spacing w:lineRule="exact" w:line="240"/>
              <w:jc w:val="center"/>
              <w:rPr>
                <w:rFonts w:ascii="Times New Roman" w:cs="Times New Roman" w:eastAsia="仿宋_GB2312" w:hAnsi="Times New Roman"/>
                <w:color w:val="000000"/>
                <w:sz w:val="20"/>
                <w:szCs w:val="20"/>
              </w:rPr>
            </w:pP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(50分)</w:t>
            </w:r>
          </w:p>
        </w:tc>
        <w:tc>
          <w:tcPr>
            <w:tcW w:w="892"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数量指标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财政供养人员</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203</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203</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238"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right w:val="single" w:sz="4" w:space="0" w:color="auto"/>
            </w:tcBorders>
            <w:vAlign w:val="center"/>
          </w:tcPr>
          <w:p>
            <w:pPr>
              <w:pStyle w:val="style0"/>
              <w:spacing w:lineRule="exact" w:line="240"/>
              <w:jc w:val="center"/>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质量指标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政府采购执行率</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100%</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100%</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right w:val="single" w:sz="4" w:space="0" w:color="auto"/>
            </w:tcBorders>
            <w:vAlign w:val="center"/>
          </w:tcPr>
          <w:p>
            <w:pPr>
              <w:pStyle w:val="style0"/>
              <w:spacing w:lineRule="exact" w:line="240"/>
              <w:jc w:val="center"/>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344"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时效指标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完成及时率</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100%</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100%</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358"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成本指标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eastAsia="zh-CN"/>
              </w:rPr>
              <w:t>人员经费</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eastAsia"/>
                <w:color w:val="000000"/>
                <w:sz w:val="20"/>
                <w:szCs w:val="20"/>
                <w:lang w:val="en-US" w:bidi="ar-SA" w:eastAsia="zh-CN"/>
              </w:rPr>
            </w:pPr>
            <w:r>
              <w:rPr>
                <w:rFonts w:ascii="Times New Roman" w:cs="Times New Roman" w:eastAsia="仿宋_GB2312" w:hAnsi="Times New Roman" w:hint="eastAsia"/>
                <w:color w:val="000000"/>
                <w:sz w:val="20"/>
                <w:szCs w:val="20"/>
                <w:lang w:val="en-US" w:bidi="ar-SA" w:eastAsia="zh-CN"/>
              </w:rPr>
              <w:t>3,327.44</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bidi="ar-SA" w:eastAsia="zh-CN"/>
              </w:rPr>
              <w:t>3327.44</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eastAsia"/>
                <w:color w:val="000000"/>
                <w:sz w:val="20"/>
                <w:szCs w:val="20"/>
                <w:lang w:val="en-US" w:eastAsia="zh-CN"/>
              </w:rPr>
            </w:pPr>
            <w:r>
              <w:rPr>
                <w:rFonts w:ascii="Times New Roman" w:cs="Times New Roman" w:eastAsia="仿宋_GB2312" w:hAnsi="Times New Roman" w:hint="eastAsia"/>
                <w:color w:val="000000"/>
                <w:sz w:val="20"/>
                <w:szCs w:val="20"/>
                <w:lang w:val="en-US" w:eastAsia="zh-CN"/>
              </w:rPr>
              <w:t>7</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eastAsia"/>
                <w:color w:val="000000"/>
                <w:sz w:val="20"/>
                <w:szCs w:val="20"/>
                <w:lang w:val="en-US" w:eastAsia="zh-CN"/>
              </w:rPr>
            </w:pPr>
            <w:r>
              <w:rPr>
                <w:rFonts w:ascii="Times New Roman" w:cs="Times New Roman" w:eastAsia="仿宋_GB2312" w:hAnsi="Times New Roman" w:hint="eastAsia"/>
                <w:color w:val="000000"/>
                <w:sz w:val="20"/>
                <w:szCs w:val="20"/>
                <w:lang w:val="en-US" w:eastAsia="zh-CN"/>
              </w:rPr>
              <w:t>7</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eastAsia="zh-CN"/>
              </w:rPr>
              <w:t>日常公用经费</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bidi="ar-SA" w:eastAsia="zh-CN"/>
              </w:rPr>
              <w:t>840.01</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bidi="ar-SA" w:eastAsia="zh-CN"/>
              </w:rPr>
              <w:t>840.01</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7</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eastAsia"/>
                <w:color w:val="000000"/>
                <w:sz w:val="20"/>
                <w:szCs w:val="20"/>
                <w:lang w:val="en-US" w:eastAsia="zh-CN"/>
              </w:rPr>
            </w:pPr>
            <w:r>
              <w:rPr>
                <w:rFonts w:ascii="Times New Roman" w:cs="Times New Roman" w:eastAsia="仿宋_GB2312" w:hAnsi="Times New Roman" w:hint="eastAsia"/>
                <w:color w:val="000000"/>
                <w:sz w:val="20"/>
                <w:szCs w:val="20"/>
                <w:lang w:val="en-US" w:eastAsia="zh-CN"/>
              </w:rPr>
              <w:t>7</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154"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eastAsia="zh-CN"/>
              </w:rPr>
              <w:t>三公经费</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eastAsia="zh-CN"/>
              </w:rPr>
              <w:t>13.55</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eastAsia="zh-CN"/>
              </w:rPr>
              <w:t>0</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eastAsia"/>
                <w:color w:val="000000"/>
                <w:sz w:val="20"/>
                <w:szCs w:val="20"/>
                <w:lang w:val="en-US" w:eastAsia="zh-CN"/>
              </w:rPr>
            </w:pPr>
            <w:r>
              <w:rPr>
                <w:rFonts w:ascii="Times New Roman" w:cs="Times New Roman" w:eastAsia="仿宋_GB2312" w:hAnsi="Times New Roman" w:hint="eastAsia"/>
                <w:color w:val="000000"/>
                <w:sz w:val="20"/>
                <w:szCs w:val="20"/>
                <w:lang w:val="en-US" w:eastAsia="zh-CN"/>
              </w:rPr>
              <w:t>6</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eastAsia"/>
                <w:color w:val="000000"/>
                <w:sz w:val="20"/>
                <w:szCs w:val="20"/>
                <w:lang w:val="en-US" w:eastAsia="zh-CN"/>
              </w:rPr>
            </w:pPr>
            <w:r>
              <w:rPr>
                <w:rFonts w:ascii="Times New Roman" w:cs="Times New Roman" w:eastAsia="仿宋_GB2312" w:hAnsi="Times New Roman" w:hint="eastAsia"/>
                <w:color w:val="000000"/>
                <w:sz w:val="20"/>
                <w:szCs w:val="20"/>
                <w:lang w:val="en-US" w:eastAsia="zh-CN"/>
              </w:rPr>
              <w:t>6</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restart"/>
            <w:tcBorders>
              <w:top w:val="nil"/>
              <w:left w:val="nil"/>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效益指标</w:t>
            </w:r>
          </w:p>
          <w:p>
            <w:pPr>
              <w:pStyle w:val="style0"/>
              <w:widowControl/>
              <w:spacing w:lineRule="exact" w:line="240"/>
              <w:jc w:val="left"/>
              <w:rPr>
                <w:rFonts w:ascii="Times New Roman" w:cs="Times New Roman" w:eastAsia="仿宋_GB2312" w:hAnsi="Times New Roman"/>
                <w:color w:val="000000"/>
                <w:sz w:val="20"/>
                <w:szCs w:val="20"/>
              </w:rPr>
            </w:pPr>
          </w:p>
          <w:p>
            <w:pPr>
              <w:pStyle w:val="style0"/>
              <w:widowControl/>
              <w:spacing w:lineRule="exact" w:line="240"/>
              <w:jc w:val="left"/>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（30分）</w:t>
            </w:r>
          </w:p>
          <w:p>
            <w:pPr>
              <w:pStyle w:val="style0"/>
              <w:widowControl/>
              <w:spacing w:lineRule="exact" w:line="240"/>
              <w:jc w:val="left"/>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　</w:t>
            </w:r>
          </w:p>
        </w:tc>
        <w:tc>
          <w:tcPr>
            <w:tcW w:w="892" w:type="dxa"/>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经济效</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益指标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促进经济发展</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效果明显</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效果明显</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社会效</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益指标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提高升学率和成材率</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效果明显</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效果明显</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生态效</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益指标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办成老百姓满意的教育</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eastAsia="zh-CN"/>
              </w:rPr>
              <w:t>效果明显</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bidi="ar-SA" w:eastAsia="zh-CN"/>
              </w:rPr>
            </w:pPr>
            <w:r>
              <w:rPr>
                <w:rFonts w:ascii="Times New Roman" w:cs="Times New Roman" w:eastAsia="仿宋_GB2312" w:hAnsi="Times New Roman" w:hint="eastAsia"/>
                <w:color w:val="000000"/>
                <w:sz w:val="20"/>
                <w:szCs w:val="20"/>
                <w:lang w:val="en-US" w:eastAsia="zh-CN"/>
              </w:rPr>
              <w:t>效果明显</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jc w:val="center"/>
        </w:trPr>
        <w:tc>
          <w:tcPr>
            <w:tcW w:w="1028" w:type="dxa"/>
            <w:vMerge w:val="continue"/>
            <w:tcBorders>
              <w:left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290" w:hRule="atLeast"/>
          <w:jc w:val="center"/>
        </w:trPr>
        <w:tc>
          <w:tcPr>
            <w:tcW w:w="1028" w:type="dxa"/>
            <w:vMerge w:val="continue"/>
            <w:tcBorders>
              <w:left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892" w:type="dxa"/>
            <w:vMerge w:val="restart"/>
            <w:tcBorders>
              <w:top w:val="single" w:sz="4" w:space="0" w:color="auto"/>
              <w:left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可持续影响指标</w:t>
            </w:r>
          </w:p>
        </w:tc>
        <w:tc>
          <w:tcPr>
            <w:tcW w:w="1324" w:type="dxa"/>
            <w:gridSpan w:val="2"/>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270"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324" w:type="dxa"/>
            <w:gridSpan w:val="2"/>
            <w:tcBorders>
              <w:top w:val="single" w:sz="4" w:space="0" w:color="auto"/>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single" w:sz="4" w:space="0" w:color="auto"/>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single" w:sz="4" w:space="0" w:color="auto"/>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single" w:sz="4" w:space="0" w:color="auto"/>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single" w:sz="4" w:space="0" w:color="auto"/>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single" w:sz="4" w:space="0" w:color="auto"/>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270"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892" w:type="dxa"/>
            <w:vMerge w:val="continue"/>
            <w:tcBorders>
              <w:left w:val="single" w:sz="4" w:space="0" w:color="auto"/>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330"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满意度</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指标</w:t>
            </w:r>
          </w:p>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（10分）</w:t>
            </w:r>
          </w:p>
        </w:tc>
        <w:tc>
          <w:tcPr>
            <w:tcW w:w="892" w:type="dxa"/>
            <w:vMerge w:val="restart"/>
            <w:tcBorders>
              <w:top w:val="nil"/>
              <w:left w:val="nil"/>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服务对象满意度指标</w:t>
            </w: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社会公众满意度</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95%</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90%</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10</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eastAsia"/>
                <w:color w:val="000000"/>
                <w:sz w:val="20"/>
                <w:szCs w:val="20"/>
                <w:lang w:val="en-US" w:eastAsia="zh-CN"/>
              </w:rPr>
            </w:pPr>
            <w:r>
              <w:rPr>
                <w:rFonts w:ascii="Times New Roman" w:cs="Times New Roman" w:eastAsia="仿宋_GB2312" w:hAnsi="Times New Roman" w:hint="eastAsia"/>
                <w:color w:val="000000"/>
                <w:sz w:val="20"/>
                <w:szCs w:val="20"/>
                <w:lang w:val="en-US" w:eastAsia="zh-CN"/>
              </w:rPr>
              <w:t>8</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270" w:hRule="atLeast"/>
          <w:jc w:val="center"/>
        </w:trPr>
        <w:tc>
          <w:tcPr>
            <w:tcW w:w="1028" w:type="dxa"/>
            <w:vMerge w:val="continue"/>
            <w:tcBorders>
              <w:left w:val="single" w:sz="4" w:space="0" w:color="auto"/>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right w:val="single" w:sz="4" w:space="0" w:color="auto"/>
            </w:tcBorders>
            <w:vAlign w:val="center"/>
          </w:tcPr>
          <w:p>
            <w:pPr>
              <w:pStyle w:val="style0"/>
              <w:spacing w:lineRule="exact" w:line="240"/>
              <w:jc w:val="left"/>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270" w:hRule="atLeast"/>
          <w:jc w:val="center"/>
        </w:trPr>
        <w:tc>
          <w:tcPr>
            <w:tcW w:w="1028" w:type="dxa"/>
            <w:vMerge w:val="continue"/>
            <w:tcBorders>
              <w:left w:val="single" w:sz="4" w:space="0" w:color="auto"/>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1028" w:type="dxa"/>
            <w:vMerge w:val="continue"/>
            <w:tcBorders>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892" w:type="dxa"/>
            <w:vMerge w:val="continue"/>
            <w:tcBorders>
              <w:left w:val="nil"/>
              <w:bottom w:val="single" w:sz="4" w:space="0" w:color="auto"/>
              <w:right w:val="single" w:sz="4" w:space="0" w:color="auto"/>
            </w:tcBorders>
            <w:vAlign w:val="center"/>
          </w:tcPr>
          <w:p>
            <w:pPr>
              <w:pStyle w:val="style0"/>
              <w:widowControl/>
              <w:spacing w:lineRule="exact" w:line="240"/>
              <w:jc w:val="left"/>
              <w:rPr>
                <w:rFonts w:ascii="Times New Roman" w:cs="Times New Roman" w:eastAsia="仿宋_GB2312" w:hAnsi="Times New Roman"/>
                <w:color w:val="000000"/>
                <w:sz w:val="20"/>
                <w:szCs w:val="20"/>
              </w:rPr>
            </w:pPr>
          </w:p>
        </w:tc>
        <w:tc>
          <w:tcPr>
            <w:tcW w:w="1324" w:type="dxa"/>
            <w:gridSpan w:val="2"/>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w:t>
            </w: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466"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r>
        <w:tblPrEx/>
        <w:trPr>
          <w:trHeight w:val="270" w:hRule="atLeast"/>
          <w:jc w:val="center"/>
        </w:trPr>
        <w:tc>
          <w:tcPr>
            <w:tcW w:w="7204" w:type="dxa"/>
            <w:gridSpan w:val="7"/>
            <w:tcBorders>
              <w:top w:val="single" w:sz="4" w:space="0" w:color="auto"/>
              <w:left w:val="single" w:sz="4" w:space="0" w:color="auto"/>
              <w:bottom w:val="single" w:sz="4" w:space="0" w:color="auto"/>
              <w:right w:val="single" w:sz="4" w:space="0" w:color="000000"/>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总分</w:t>
            </w:r>
          </w:p>
        </w:tc>
        <w:tc>
          <w:tcPr>
            <w:tcW w:w="69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100</w:t>
            </w:r>
          </w:p>
        </w:tc>
        <w:tc>
          <w:tcPr>
            <w:tcW w:w="859"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hint="default"/>
                <w:color w:val="000000"/>
                <w:sz w:val="20"/>
                <w:szCs w:val="20"/>
                <w:lang w:val="en-US" w:eastAsia="zh-CN"/>
              </w:rPr>
            </w:pPr>
            <w:r>
              <w:rPr>
                <w:rFonts w:ascii="Times New Roman" w:cs="Times New Roman" w:eastAsia="仿宋_GB2312" w:hAnsi="Times New Roman" w:hint="eastAsia"/>
                <w:color w:val="000000"/>
                <w:sz w:val="20"/>
                <w:szCs w:val="20"/>
                <w:lang w:val="en-US" w:eastAsia="zh-CN"/>
              </w:rPr>
              <w:t>98</w:t>
            </w:r>
          </w:p>
        </w:tc>
        <w:tc>
          <w:tcPr>
            <w:tcW w:w="1323" w:type="dxa"/>
            <w:tcBorders>
              <w:top w:val="nil"/>
              <w:left w:val="nil"/>
              <w:bottom w:val="single" w:sz="4" w:space="0" w:color="auto"/>
              <w:right w:val="single" w:sz="4" w:space="0" w:color="auto"/>
            </w:tcBorders>
            <w:vAlign w:val="center"/>
          </w:tcPr>
          <w:p>
            <w:pPr>
              <w:pStyle w:val="style0"/>
              <w:widowControl/>
              <w:spacing w:lineRule="exact" w:line="240"/>
              <w:jc w:val="center"/>
              <w:rPr>
                <w:rFonts w:ascii="Times New Roman" w:cs="Times New Roman" w:eastAsia="仿宋_GB2312" w:hAnsi="Times New Roman"/>
                <w:color w:val="000000"/>
                <w:sz w:val="20"/>
                <w:szCs w:val="20"/>
              </w:rPr>
            </w:pPr>
          </w:p>
        </w:tc>
      </w:tr>
    </w:tbl>
    <w:p>
      <w:pPr>
        <w:pStyle w:val="style0"/>
        <w:widowControl/>
        <w:jc w:val="left"/>
        <w:rPr>
          <w:rFonts w:ascii="仿宋" w:cs="仿宋" w:eastAsia="仿宋" w:hAnsi="仿宋" w:hint="eastAsia"/>
          <w:sz w:val="22"/>
          <w:szCs w:val="22"/>
        </w:rPr>
      </w:pPr>
    </w:p>
    <w:p>
      <w:pPr>
        <w:pStyle w:val="style0"/>
        <w:ind w:firstLine="632" w:firstLineChars="200"/>
        <w:jc w:val="left"/>
        <w:rPr>
          <w:rFonts w:ascii="仿宋" w:cs="仿宋" w:eastAsia="仿宋" w:hAnsi="仿宋" w:hint="eastAsia"/>
          <w:spacing w:val="-2"/>
          <w:sz w:val="32"/>
          <w:szCs w:val="32"/>
          <w:highlight w:val="none"/>
          <w:lang w:val="en-US" w:eastAsia="zh-CN"/>
        </w:rPr>
      </w:pPr>
    </w:p>
    <w:p>
      <w:pPr>
        <w:pStyle w:val="style0"/>
        <w:ind w:firstLine="632" w:firstLineChars="200"/>
        <w:jc w:val="left"/>
        <w:rPr>
          <w:rFonts w:ascii="仿宋" w:cs="仿宋" w:eastAsia="仿宋" w:hAnsi="仿宋" w:hint="eastAsia"/>
          <w:spacing w:val="-2"/>
          <w:sz w:val="32"/>
          <w:szCs w:val="32"/>
          <w:highlight w:val="none"/>
          <w:lang w:val="en-US" w:eastAsia="zh-CN"/>
        </w:rPr>
      </w:pPr>
    </w:p>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keepNext w:val="false"/>
        <w:keepLines w:val="false"/>
        <w:pageBreakBefore w:val="false"/>
        <w:widowControl/>
        <w:shd w:val="clear" w:color="auto" w:fill="ffffff"/>
        <w:kinsoku/>
        <w:wordWrap/>
        <w:overflowPunct/>
        <w:topLinePunct w:val="false"/>
        <w:autoSpaceDE/>
        <w:autoSpaceDN/>
        <w:bidi w:val="false"/>
        <w:adjustRightInd/>
        <w:snapToGrid/>
        <w:spacing w:lineRule="auto" w:line="360"/>
        <w:jc w:val="center"/>
        <w:textAlignment w:val="auto"/>
        <w:rPr>
          <w:rFonts w:ascii="仿宋" w:cs="仿宋" w:eastAsia="仿宋" w:hAnsi="仿宋" w:hint="eastAsia"/>
          <w:b/>
          <w:spacing w:val="-2"/>
          <w:sz w:val="44"/>
          <w:szCs w:val="44"/>
        </w:rPr>
      </w:pPr>
      <w:r>
        <w:rPr>
          <w:rFonts w:ascii="仿宋" w:cs="仿宋" w:eastAsia="仿宋" w:hAnsi="仿宋" w:hint="eastAsia"/>
          <w:b/>
          <w:spacing w:val="-2"/>
          <w:sz w:val="44"/>
          <w:szCs w:val="44"/>
        </w:rPr>
        <w:t>20</w:t>
      </w:r>
      <w:r>
        <w:rPr>
          <w:rFonts w:ascii="仿宋" w:cs="仿宋" w:eastAsia="仿宋" w:hAnsi="仿宋" w:hint="eastAsia"/>
          <w:b/>
          <w:spacing w:val="-2"/>
          <w:sz w:val="44"/>
          <w:szCs w:val="44"/>
          <w:lang w:val="en-US" w:eastAsia="zh-CN"/>
        </w:rPr>
        <w:t>21</w:t>
      </w:r>
      <w:r>
        <w:rPr>
          <w:rFonts w:ascii="仿宋" w:cs="仿宋" w:eastAsia="仿宋" w:hAnsi="仿宋" w:hint="eastAsia"/>
          <w:b/>
          <w:spacing w:val="-2"/>
          <w:sz w:val="44"/>
          <w:szCs w:val="44"/>
          <w:lang w:eastAsia="zh-CN"/>
        </w:rPr>
        <w:t>年度专项资金</w:t>
      </w:r>
      <w:r>
        <w:rPr>
          <w:rFonts w:ascii="仿宋" w:cs="仿宋" w:eastAsia="仿宋" w:hAnsi="仿宋" w:hint="eastAsia"/>
          <w:b/>
          <w:spacing w:val="-2"/>
          <w:sz w:val="44"/>
          <w:szCs w:val="44"/>
        </w:rPr>
        <w:t>绩效评价报告</w:t>
      </w:r>
    </w:p>
    <w:p>
      <w:pPr>
        <w:pStyle w:val="style0"/>
        <w:keepNext w:val="false"/>
        <w:keepLines w:val="false"/>
        <w:pageBreakBefore w:val="false"/>
        <w:widowControl/>
        <w:shd w:val="clear" w:color="auto" w:fill="ffffff"/>
        <w:kinsoku/>
        <w:wordWrap/>
        <w:overflowPunct/>
        <w:topLinePunct w:val="false"/>
        <w:autoSpaceDE/>
        <w:autoSpaceDN/>
        <w:bidi w:val="false"/>
        <w:adjustRightInd/>
        <w:snapToGrid/>
        <w:spacing w:lineRule="auto" w:line="360"/>
        <w:jc w:val="both"/>
        <w:textAlignment w:val="auto"/>
        <w:rPr>
          <w:rFonts w:ascii="仿宋" w:cs="仿宋" w:eastAsia="仿宋" w:hAnsi="仿宋" w:hint="eastAsia"/>
          <w:b/>
          <w:spacing w:val="-2"/>
          <w:sz w:val="44"/>
          <w:szCs w:val="44"/>
        </w:rPr>
      </w:pPr>
    </w:p>
    <w:p>
      <w:pPr>
        <w:pStyle w:val="style0"/>
        <w:keepNext w:val="false"/>
        <w:keepLines w:val="false"/>
        <w:pageBreakBefore w:val="false"/>
        <w:widowControl/>
        <w:numPr>
          <w:ilvl w:val="0"/>
          <w:numId w:val="0"/>
        </w:numPr>
        <w:shd w:val="clear" w:color="auto" w:fill="ffffff"/>
        <w:kinsoku/>
        <w:wordWrap/>
        <w:overflowPunct/>
        <w:topLinePunct w:val="false"/>
        <w:autoSpaceDE/>
        <w:autoSpaceDN/>
        <w:bidi w:val="false"/>
        <w:adjustRightInd/>
        <w:snapToGrid/>
        <w:spacing w:lineRule="auto" w:line="360"/>
        <w:ind w:firstLine="592" w:firstLineChars="200"/>
        <w:jc w:val="both"/>
        <w:textAlignment w:val="auto"/>
        <w:rPr>
          <w:rFonts w:ascii="仿宋" w:cs="仿宋" w:eastAsia="仿宋" w:hAnsi="仿宋" w:hint="eastAsia"/>
          <w:b/>
          <w:spacing w:val="-2"/>
          <w:sz w:val="30"/>
          <w:szCs w:val="30"/>
          <w:lang w:val="en-US" w:eastAsia="zh-CN"/>
        </w:rPr>
      </w:pPr>
      <w:r>
        <w:rPr>
          <w:rFonts w:ascii="仿宋" w:cs="仿宋" w:eastAsia="仿宋" w:hAnsi="仿宋" w:hint="eastAsia"/>
          <w:b/>
          <w:spacing w:val="-2"/>
          <w:sz w:val="30"/>
          <w:szCs w:val="30"/>
          <w:lang w:val="en-US" w:eastAsia="zh-CN"/>
        </w:rPr>
        <w:t>一、项目基本情况</w:t>
      </w:r>
    </w:p>
    <w:p>
      <w:pPr>
        <w:pStyle w:val="style0"/>
        <w:keepNext w:val="false"/>
        <w:keepLines w:val="false"/>
        <w:pageBreakBefore w:val="false"/>
        <w:widowControl/>
        <w:numPr>
          <w:ilvl w:val="0"/>
          <w:numId w:val="0"/>
        </w:numPr>
        <w:shd w:val="clear" w:color="auto" w:fill="ffffff"/>
        <w:kinsoku/>
        <w:wordWrap/>
        <w:overflowPunct/>
        <w:topLinePunct w:val="false"/>
        <w:autoSpaceDE/>
        <w:autoSpaceDN/>
        <w:bidi w:val="false"/>
        <w:adjustRightInd/>
        <w:snapToGrid/>
        <w:spacing w:lineRule="auto" w:line="360"/>
        <w:ind w:firstLine="592" w:firstLineChars="200"/>
        <w:jc w:val="both"/>
        <w:textAlignment w:val="auto"/>
        <w:rPr>
          <w:rFonts w:ascii="仿宋" w:cs="仿宋" w:eastAsia="仿宋" w:hAnsi="仿宋" w:hint="eastAsia"/>
          <w:b/>
          <w:spacing w:val="-2"/>
          <w:sz w:val="30"/>
          <w:szCs w:val="30"/>
          <w:lang w:val="en-US" w:eastAsia="zh-CN"/>
        </w:rPr>
      </w:pPr>
      <w:r>
        <w:rPr>
          <w:rFonts w:ascii="仿宋" w:cs="仿宋" w:eastAsia="仿宋" w:hAnsi="仿宋" w:hint="eastAsia"/>
          <w:b/>
          <w:spacing w:val="-2"/>
          <w:sz w:val="30"/>
          <w:szCs w:val="30"/>
          <w:lang w:val="en-US" w:eastAsia="zh-CN"/>
        </w:rPr>
        <w:t>（一）项目概况</w:t>
      </w:r>
    </w:p>
    <w:p>
      <w:pPr>
        <w:pStyle w:val="style0"/>
        <w:keepNext w:val="false"/>
        <w:keepLines w:val="false"/>
        <w:pageBreakBefore w:val="false"/>
        <w:widowControl/>
        <w:numPr>
          <w:ilvl w:val="0"/>
          <w:numId w:val="0"/>
        </w:numPr>
        <w:shd w:val="clear" w:color="auto" w:fill="ffffff"/>
        <w:kinsoku/>
        <w:wordWrap/>
        <w:overflowPunct/>
        <w:topLinePunct w:val="false"/>
        <w:autoSpaceDE/>
        <w:autoSpaceDN/>
        <w:bidi w:val="false"/>
        <w:adjustRightInd/>
        <w:snapToGrid/>
        <w:spacing w:lineRule="auto" w:line="360"/>
        <w:ind w:firstLine="592" w:firstLineChars="200"/>
        <w:jc w:val="both"/>
        <w:textAlignment w:val="auto"/>
        <w:rPr>
          <w:rFonts w:ascii="仿宋" w:cs="仿宋" w:eastAsia="仿宋" w:hAnsi="仿宋" w:hint="default"/>
          <w:b/>
          <w:spacing w:val="-2"/>
          <w:sz w:val="30"/>
          <w:szCs w:val="30"/>
          <w:lang w:val="en-US" w:eastAsia="zh-CN"/>
        </w:rPr>
      </w:pPr>
      <w:r>
        <w:rPr>
          <w:rFonts w:ascii="仿宋" w:cs="仿宋" w:eastAsia="仿宋" w:hAnsi="仿宋" w:hint="eastAsia"/>
          <w:b/>
          <w:spacing w:val="-2"/>
          <w:sz w:val="30"/>
          <w:szCs w:val="30"/>
          <w:lang w:val="en-US" w:eastAsia="zh-CN"/>
        </w:rPr>
        <w:t>1、项目单位基本情况</w:t>
      </w:r>
    </w:p>
    <w:p>
      <w:pPr>
        <w:pStyle w:val="style0"/>
        <w:widowControl/>
        <w:shd w:val="clear" w:color="auto" w:fill="ffffff"/>
        <w:spacing w:lineRule="atLeast" w:line="600"/>
        <w:ind w:firstLine="640"/>
        <w:rPr>
          <w:rFonts w:ascii="仿宋" w:cs="仿宋" w:eastAsia="仿宋" w:hAnsi="仿宋" w:hint="eastAsia"/>
          <w:b/>
          <w:spacing w:val="-2"/>
          <w:sz w:val="32"/>
          <w:szCs w:val="32"/>
          <w:lang w:eastAsia="zh-CN"/>
        </w:rPr>
      </w:pPr>
      <w:r>
        <w:rPr>
          <w:rFonts w:ascii="仿宋" w:cs="仿宋" w:eastAsia="仿宋" w:hAnsi="仿宋" w:hint="eastAsia"/>
          <w:b/>
          <w:spacing w:val="-2"/>
          <w:sz w:val="28"/>
          <w:szCs w:val="28"/>
          <w:lang w:val="en-US" w:eastAsia="zh-CN"/>
        </w:rPr>
        <w:t xml:space="preserve"> </w:t>
      </w:r>
      <w:r>
        <w:rPr>
          <w:rFonts w:ascii="仿宋" w:cs="仿宋" w:eastAsia="仿宋" w:hAnsi="仿宋" w:hint="eastAsia"/>
          <w:sz w:val="32"/>
          <w:szCs w:val="32"/>
        </w:rPr>
        <w:t>湖南省怀化市铁路第一中学是湖南省示范性高级中学。创建于1973年，前身是广铁集团公司的一所铁路子弟学校，2004年从铁路分离后归怀化市教育局直属管理。校园占地面积8.72万平方米，校舍面积 3.5万平方米。现为湖南省文明卫生单位、湖南省安全文明校园、湖南省园林式学校、湖南省体育传统项目学校，湖南省普通示范高级中学、湖南省现代技术教育实验学校。</w:t>
      </w:r>
    </w:p>
    <w:p>
      <w:pPr>
        <w:pStyle w:val="style94"/>
        <w:shd w:val="clear" w:color="auto" w:fill="ffffff"/>
        <w:spacing w:lineRule="atLeast" w:line="360"/>
        <w:ind w:firstLine="588"/>
        <w:rPr>
          <w:rFonts w:ascii="仿宋" w:cs="仿宋" w:eastAsia="仿宋" w:hAnsi="仿宋" w:hint="eastAsia"/>
          <w:sz w:val="32"/>
          <w:szCs w:val="32"/>
          <w:highlight w:val="none"/>
        </w:rPr>
      </w:pPr>
      <w:r>
        <w:rPr>
          <w:rFonts w:ascii="仿宋" w:cs="仿宋" w:eastAsia="仿宋" w:hAnsi="仿宋" w:hint="eastAsia"/>
          <w:sz w:val="32"/>
          <w:szCs w:val="32"/>
          <w:highlight w:val="none"/>
        </w:rPr>
        <w:t>全校共分三个年级组，42个教学班，内设行政办公室、教务处、政教处、财务室、总务处共5个科室。20</w:t>
      </w:r>
      <w:r>
        <w:rPr>
          <w:rFonts w:ascii="仿宋" w:cs="仿宋" w:eastAsia="仿宋" w:hAnsi="仿宋" w:hint="eastAsia"/>
          <w:sz w:val="32"/>
          <w:szCs w:val="32"/>
          <w:highlight w:val="none"/>
          <w:lang w:val="en-US" w:eastAsia="zh-CN"/>
        </w:rPr>
        <w:t>21</w:t>
      </w:r>
      <w:r>
        <w:rPr>
          <w:rFonts w:ascii="仿宋" w:cs="仿宋" w:eastAsia="仿宋" w:hAnsi="仿宋" w:hint="eastAsia"/>
          <w:sz w:val="32"/>
          <w:szCs w:val="32"/>
          <w:highlight w:val="none"/>
        </w:rPr>
        <w:t>年年初预算，编制人数为</w:t>
      </w:r>
      <w:r>
        <w:rPr>
          <w:rFonts w:ascii="仿宋" w:cs="仿宋" w:eastAsia="仿宋" w:hAnsi="仿宋" w:hint="eastAsia"/>
          <w:sz w:val="32"/>
          <w:szCs w:val="32"/>
          <w:highlight w:val="none"/>
          <w:lang w:val="en-US" w:eastAsia="zh-CN"/>
        </w:rPr>
        <w:t>203</w:t>
      </w:r>
      <w:r>
        <w:rPr>
          <w:rFonts w:ascii="仿宋" w:cs="仿宋" w:eastAsia="仿宋" w:hAnsi="仿宋" w:hint="eastAsia"/>
          <w:sz w:val="32"/>
          <w:szCs w:val="32"/>
          <w:highlight w:val="none"/>
        </w:rPr>
        <w:t>人，其中事业编制</w:t>
      </w:r>
      <w:r>
        <w:rPr>
          <w:rFonts w:ascii="仿宋" w:cs="仿宋" w:eastAsia="仿宋" w:hAnsi="仿宋" w:hint="eastAsia"/>
          <w:sz w:val="32"/>
          <w:szCs w:val="32"/>
          <w:highlight w:val="none"/>
          <w:lang w:val="en-US" w:eastAsia="zh-CN"/>
        </w:rPr>
        <w:t>203</w:t>
      </w:r>
      <w:r>
        <w:rPr>
          <w:rFonts w:ascii="仿宋" w:cs="仿宋" w:eastAsia="仿宋" w:hAnsi="仿宋" w:hint="eastAsia"/>
          <w:sz w:val="32"/>
          <w:szCs w:val="32"/>
          <w:highlight w:val="none"/>
        </w:rPr>
        <w:t>人。年末实有在职人员</w:t>
      </w:r>
      <w:r>
        <w:rPr>
          <w:rFonts w:ascii="仿宋" w:cs="仿宋" w:eastAsia="仿宋" w:hAnsi="仿宋" w:hint="eastAsia"/>
          <w:sz w:val="32"/>
          <w:szCs w:val="32"/>
          <w:highlight w:val="none"/>
          <w:lang w:val="en-US" w:eastAsia="zh-CN"/>
        </w:rPr>
        <w:t>203</w:t>
      </w:r>
      <w:r>
        <w:rPr>
          <w:rFonts w:ascii="仿宋" w:cs="仿宋" w:eastAsia="仿宋" w:hAnsi="仿宋" w:hint="eastAsia"/>
          <w:sz w:val="32"/>
          <w:szCs w:val="32"/>
          <w:highlight w:val="none"/>
        </w:rPr>
        <w:t>人，其中事业编制</w:t>
      </w:r>
      <w:r>
        <w:rPr>
          <w:rFonts w:ascii="仿宋" w:cs="仿宋" w:eastAsia="仿宋" w:hAnsi="仿宋" w:hint="eastAsia"/>
          <w:sz w:val="32"/>
          <w:szCs w:val="32"/>
          <w:highlight w:val="none"/>
          <w:lang w:val="en-US" w:eastAsia="zh-CN"/>
        </w:rPr>
        <w:t>203</w:t>
      </w:r>
      <w:r>
        <w:rPr>
          <w:rFonts w:ascii="仿宋" w:cs="仿宋" w:eastAsia="仿宋" w:hAnsi="仿宋" w:hint="eastAsia"/>
          <w:sz w:val="32"/>
          <w:szCs w:val="32"/>
          <w:highlight w:val="none"/>
        </w:rPr>
        <w:t>人。财政供养人员控制率100%,未超过编制。</w:t>
      </w:r>
    </w:p>
    <w:p>
      <w:pPr>
        <w:pStyle w:val="style0"/>
        <w:ind w:firstLine="640" w:firstLineChars="200"/>
        <w:rPr>
          <w:rFonts w:ascii="仿宋" w:cs="仿宋" w:eastAsia="仿宋" w:hAnsi="仿宋" w:hint="eastAsia"/>
          <w:sz w:val="32"/>
          <w:szCs w:val="32"/>
        </w:rPr>
      </w:pPr>
      <w:r>
        <w:rPr>
          <w:rFonts w:ascii="仿宋" w:cs="仿宋" w:eastAsia="仿宋" w:hAnsi="仿宋" w:hint="eastAsia"/>
          <w:sz w:val="32"/>
          <w:szCs w:val="32"/>
        </w:rPr>
        <w:t>我校主要职能：贯彻执行党和国家的教育方针、政策、法律法规，坚持依法治教、依法治学。以立德树人，办人民满意的教育为办学宗旨；以人本立校，人文兴校，人才强校为办学理念；以依法治校、创新发展、提升质量为办学原则：以为学生一生的成长和幸福奠基为办学目标；以党建为纲，创新生机和谐; 以德育为先，推进内涵发展; 以质量为重，提升育人水平; 以特色为要，突破发展瓶颈; 以建设为基，改善办学条件和办学思路。</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组织教育教学、科学研究活动，保证教育教学质量，培养德、智、体等全面发展的学生。</w:t>
      </w:r>
    </w:p>
    <w:p>
      <w:pPr>
        <w:pStyle w:val="style0"/>
        <w:keepNext w:val="false"/>
        <w:keepLines w:val="false"/>
        <w:pageBreakBefore w:val="false"/>
        <w:kinsoku/>
        <w:wordWrap/>
        <w:overflowPunct/>
        <w:topLinePunct w:val="false"/>
        <w:autoSpaceDE/>
        <w:autoSpaceDN/>
        <w:bidi w:val="false"/>
        <w:adjustRightInd/>
        <w:snapToGrid/>
        <w:spacing w:lineRule="auto" w:line="360"/>
        <w:ind w:firstLine="640" w:firstLineChars="200"/>
        <w:jc w:val="both"/>
        <w:textAlignment w:val="auto"/>
        <w:outlineLvl w:val="0"/>
        <w:rPr>
          <w:rFonts w:ascii="仿宋_GB2312" w:eastAsia="仿宋_GB2312" w:hAnsi="黑体" w:hint="eastAsia"/>
          <w:b/>
          <w:bCs/>
          <w:sz w:val="32"/>
          <w:szCs w:val="32"/>
        </w:rPr>
      </w:pPr>
      <w:r>
        <w:rPr>
          <w:rFonts w:ascii="仿宋_GB2312" w:eastAsia="仿宋_GB2312" w:hAnsi="黑体" w:hint="eastAsia"/>
          <w:b/>
          <w:bCs/>
          <w:sz w:val="32"/>
          <w:szCs w:val="32"/>
        </w:rPr>
        <w:t>（二）项目绩效目标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rPr>
        <w:t>1.项目绩效总目标</w:t>
      </w:r>
      <w:r>
        <w:rPr>
          <w:rFonts w:ascii="仿宋" w:cs="仿宋" w:eastAsia="仿宋" w:hAnsi="仿宋" w:hint="eastAsia"/>
          <w:sz w:val="32"/>
          <w:szCs w:val="32"/>
          <w:lang w:val="en-US" w:eastAsia="zh-CN"/>
        </w:rPr>
        <w:t>和阶段性目标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（1）高考考点经费</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绩效总目标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促进大学教育招生考试公平，学校、家长、考生满意高考</w:t>
      </w:r>
    </w:p>
    <w:p>
      <w:pPr>
        <w:pStyle w:val="style0"/>
        <w:ind w:firstLine="640" w:firstLineChars="200"/>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绩效年度目标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高考怀铁一中考点圆满顺利实施</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（2）校方责任险</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绩效总目标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保证学校的正常教学秩序，维护校方的合法权益</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年度绩效目标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校园事故零发生</w:t>
      </w:r>
    </w:p>
    <w:p>
      <w:pPr>
        <w:pStyle w:val="style0"/>
        <w:ind w:firstLine="640" w:firstLineChars="200"/>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（3）校园保安费</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绩效总目标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通过财政预算全额拨付校园保安人员经费,确保保安人员固定、队伍稳定，强化学校及周边治安管控，预防高危人员对师生实施人身侵害，师生的生命财产安全有保障，校园秩序持续稳定。</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年度绩效目标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全年不发生暴力恐怖事件，不发生危害师生生命财产安全的校园恶性刑事案件。</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（4）食堂改造及设施购置</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绩效总目标</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改善食堂环境，做好后勤保障,把学生的身心健康放在首位,维护学校的稳定和发展。</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年度绩效目标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根据审批后的改建方案执行，按期完成食堂改建及食堂设施的采购任务；严格执行政府采购程序，执行率达100%；各项设备严格按照国内行业标准执行，设备验收合格率达100%；项目满意度达90%。</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（5）学生公寓建设</w:t>
      </w:r>
    </w:p>
    <w:p>
      <w:pPr>
        <w:pStyle w:val="style0"/>
        <w:ind w:firstLine="640" w:firstLineChars="200"/>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绩效总目标</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建设学生住宿，从根本上解决我校学生住宿条件差、住宿拥挤的现象，改善办学条件、进一步增强学校的办学实力，为学校的快速发展奠定坚实基础。</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年度绩效目标</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2021年完成项目投资106.11万元</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（6）省级师培</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绩效总目标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提高教师队伍的整体素质，把芙蓉名师工作室建设成为教学科研的基地、研究分享的平台、名师成长的摇篮、技术辐射的中心。</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年度绩效目标</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提高教师队伍的整体素质，把芙蓉名师工作室建设成为教学科研的基地、研究分享的平台、名师成长的摇篮、技术辐射的中心。</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pacing w:val="-2"/>
          <w:sz w:val="32"/>
          <w:szCs w:val="32"/>
          <w:highlight w:val="none"/>
          <w:lang w:val="en-US" w:eastAsia="zh-CN"/>
        </w:rPr>
      </w:pPr>
      <w:r>
        <w:rPr>
          <w:rFonts w:ascii="仿宋_GB2312" w:eastAsia="仿宋_GB2312" w:hAnsi="黑体" w:hint="eastAsia"/>
          <w:sz w:val="32"/>
          <w:szCs w:val="32"/>
          <w:lang w:val="en-US" w:eastAsia="zh-CN"/>
        </w:rPr>
        <w:t>（7）</w:t>
      </w:r>
      <w:r>
        <w:rPr>
          <w:rFonts w:ascii="仿宋" w:cs="仿宋" w:eastAsia="仿宋" w:hAnsi="仿宋" w:hint="eastAsia"/>
          <w:spacing w:val="-2"/>
          <w:sz w:val="32"/>
          <w:szCs w:val="32"/>
          <w:highlight w:val="none"/>
          <w:lang w:val="en-US" w:eastAsia="zh-CN"/>
        </w:rPr>
        <w:t>两馆及周边附属设施维修改造项目</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绩效总目标</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维修好两馆及周边附属设施改善办学条件、进一步增强学校的办学实力，为学校的快速发展奠定坚实基础。</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年度绩效目标</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2021年度完成投资228.91万元</w:t>
      </w:r>
    </w:p>
    <w:p>
      <w:pPr>
        <w:pStyle w:val="style0"/>
        <w:ind w:firstLine="640" w:firstLineChars="200"/>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 xml:space="preserve">2.预期主要生态、社会和经济效益 </w:t>
      </w:r>
    </w:p>
    <w:p>
      <w:pPr>
        <w:pStyle w:val="style0"/>
        <w:ind w:firstLine="640" w:firstLineChars="200"/>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改善办学条件，保障师生的身心健康，促进学校的稳定持续发展，为社会培养合格的人才。</w:t>
      </w:r>
    </w:p>
    <w:p>
      <w:pPr>
        <w:pStyle w:val="style0"/>
        <w:keepNext w:val="false"/>
        <w:keepLines w:val="false"/>
        <w:pageBreakBefore w:val="false"/>
        <w:kinsoku/>
        <w:wordWrap/>
        <w:overflowPunct/>
        <w:topLinePunct w:val="false"/>
        <w:autoSpaceDE/>
        <w:autoSpaceDN/>
        <w:bidi w:val="false"/>
        <w:adjustRightInd/>
        <w:snapToGrid/>
        <w:spacing w:lineRule="auto" w:line="360"/>
        <w:ind w:firstLine="640" w:firstLineChars="200"/>
        <w:jc w:val="both"/>
        <w:textAlignment w:val="auto"/>
        <w:rPr>
          <w:rFonts w:ascii="仿宋_GB2312" w:eastAsia="仿宋_GB2312" w:hAnsi="黑体" w:hint="eastAsia"/>
          <w:b/>
          <w:bCs/>
          <w:sz w:val="32"/>
          <w:szCs w:val="32"/>
        </w:rPr>
      </w:pPr>
      <w:r>
        <w:rPr>
          <w:rFonts w:ascii="黑体" w:eastAsia="黑体" w:hAnsi="黑体" w:hint="eastAsia"/>
          <w:sz w:val="32"/>
          <w:szCs w:val="32"/>
          <w:lang w:eastAsia="zh-CN"/>
        </w:rPr>
        <w:t>二</w:t>
      </w:r>
      <w:r>
        <w:rPr>
          <w:rFonts w:ascii="黑体" w:eastAsia="黑体" w:hAnsi="黑体" w:hint="eastAsia"/>
          <w:sz w:val="32"/>
          <w:szCs w:val="32"/>
        </w:rPr>
        <w:t>、绩效评价工作情况</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leftChars="200" w:firstLine="320" w:firstLineChars="100"/>
        <w:jc w:val="both"/>
        <w:textAlignment w:val="auto"/>
        <w:rPr>
          <w:rFonts w:ascii="仿宋_GB2312" w:eastAsia="仿宋_GB2312" w:hAnsi="黑体" w:hint="eastAsia"/>
          <w:sz w:val="32"/>
          <w:szCs w:val="32"/>
          <w:lang w:val="en-US" w:eastAsia="zh-CN"/>
        </w:rPr>
      </w:pPr>
      <w:r>
        <w:rPr>
          <w:rFonts w:ascii="仿宋_GB2312" w:eastAsia="仿宋_GB2312" w:hAnsi="黑体" w:hint="eastAsia"/>
          <w:b/>
          <w:bCs/>
          <w:sz w:val="32"/>
          <w:szCs w:val="32"/>
          <w:lang w:val="en-US" w:eastAsia="zh-CN"/>
        </w:rPr>
        <w:t>1.前期准备</w:t>
      </w:r>
    </w:p>
    <w:p>
      <w:pPr>
        <w:pStyle w:val="style0"/>
        <w:keepNext w:val="false"/>
        <w:keepLines w:val="false"/>
        <w:pageBreakBefore w:val="false"/>
        <w:widowControl/>
        <w:shd w:val="clear" w:color="auto" w:fill="ffffff"/>
        <w:kinsoku/>
        <w:wordWrap/>
        <w:overflowPunct/>
        <w:topLinePunct w:val="false"/>
        <w:autoSpaceDE/>
        <w:autoSpaceDN/>
        <w:bidi w:val="false"/>
        <w:adjustRightInd/>
        <w:snapToGrid/>
        <w:spacing w:lineRule="auto" w:line="360"/>
        <w:ind w:left="0" w:leftChars="0" w:right="0" w:rightChars="0" w:firstLine="480" w:firstLineChars="150"/>
        <w:jc w:val="both"/>
        <w:textAlignment w:val="auto"/>
        <w:rPr>
          <w:rFonts w:ascii="仿宋" w:cs="仿宋" w:eastAsia="仿宋" w:hAnsi="仿宋" w:hint="eastAsia"/>
          <w:color w:val="auto"/>
          <w:sz w:val="32"/>
          <w:szCs w:val="32"/>
          <w:highlight w:val="none"/>
          <w:lang w:eastAsia="zh-CN"/>
        </w:rPr>
      </w:pPr>
      <w:r>
        <w:rPr>
          <w:rFonts w:ascii="仿宋" w:cs="仿宋" w:eastAsia="仿宋" w:hAnsi="仿宋" w:hint="eastAsia"/>
          <w:color w:val="auto"/>
          <w:kern w:val="0"/>
          <w:sz w:val="32"/>
          <w:szCs w:val="32"/>
          <w:highlight w:val="none"/>
        </w:rPr>
        <w:t>（1）成立了绩效评价工作小组。为有效开展绩效评价，按照</w:t>
      </w:r>
      <w:r>
        <w:rPr>
          <w:rFonts w:ascii="仿宋" w:cs="仿宋" w:eastAsia="仿宋" w:hAnsi="仿宋" w:hint="eastAsia"/>
          <w:color w:val="auto"/>
          <w:kern w:val="0"/>
          <w:sz w:val="32"/>
          <w:szCs w:val="32"/>
          <w:highlight w:val="none"/>
          <w:lang w:eastAsia="zh-CN"/>
        </w:rPr>
        <w:t>怀化市财政局</w:t>
      </w:r>
      <w:r>
        <w:rPr>
          <w:rFonts w:ascii="仿宋" w:cs="仿宋" w:eastAsia="仿宋" w:hAnsi="仿宋" w:hint="eastAsia"/>
          <w:color w:val="auto"/>
          <w:kern w:val="0"/>
          <w:sz w:val="32"/>
          <w:szCs w:val="32"/>
          <w:highlight w:val="none"/>
        </w:rPr>
        <w:t>专项资金绩效考核的有关要求，成立了绩效评价工作小组，</w:t>
      </w:r>
      <w:r>
        <w:rPr>
          <w:rFonts w:ascii="仿宋" w:cs="仿宋" w:eastAsia="仿宋" w:hAnsi="仿宋" w:hint="eastAsia"/>
          <w:color w:val="auto"/>
          <w:sz w:val="32"/>
          <w:szCs w:val="32"/>
          <w:highlight w:val="none"/>
        </w:rPr>
        <w:t>由</w:t>
      </w:r>
      <w:r>
        <w:rPr>
          <w:rFonts w:ascii="仿宋" w:cs="仿宋" w:eastAsia="仿宋" w:hAnsi="仿宋" w:hint="eastAsia"/>
          <w:color w:val="auto"/>
          <w:sz w:val="32"/>
          <w:szCs w:val="32"/>
          <w:highlight w:val="none"/>
          <w:lang w:eastAsia="zh-CN"/>
        </w:rPr>
        <w:t>财务</w:t>
      </w:r>
      <w:r>
        <w:rPr>
          <w:rFonts w:ascii="仿宋" w:cs="仿宋" w:eastAsia="仿宋" w:hAnsi="仿宋" w:hint="eastAsia"/>
          <w:color w:val="auto"/>
          <w:sz w:val="32"/>
          <w:szCs w:val="32"/>
          <w:highlight w:val="none"/>
        </w:rPr>
        <w:t>科牵头，</w:t>
      </w:r>
      <w:r>
        <w:rPr>
          <w:rFonts w:ascii="仿宋" w:cs="仿宋" w:eastAsia="仿宋" w:hAnsi="仿宋" w:hint="eastAsia"/>
          <w:color w:val="auto"/>
          <w:sz w:val="32"/>
          <w:szCs w:val="32"/>
          <w:highlight w:val="none"/>
          <w:lang w:eastAsia="zh-CN"/>
        </w:rPr>
        <w:t>基建办等</w:t>
      </w:r>
      <w:r>
        <w:rPr>
          <w:rFonts w:ascii="仿宋" w:cs="仿宋" w:eastAsia="仿宋" w:hAnsi="仿宋" w:hint="eastAsia"/>
          <w:color w:val="auto"/>
          <w:sz w:val="32"/>
          <w:szCs w:val="32"/>
          <w:highlight w:val="none"/>
        </w:rPr>
        <w:t>各业务科室参与</w:t>
      </w:r>
      <w:r>
        <w:rPr>
          <w:rFonts w:ascii="仿宋" w:cs="仿宋" w:eastAsia="仿宋" w:hAnsi="仿宋" w:hint="eastAsia"/>
          <w:color w:val="auto"/>
          <w:sz w:val="32"/>
          <w:szCs w:val="32"/>
          <w:highlight w:val="none"/>
          <w:lang w:eastAsia="zh-CN"/>
        </w:rPr>
        <w:t>。</w:t>
      </w:r>
    </w:p>
    <w:p>
      <w:pPr>
        <w:pStyle w:val="style0"/>
        <w:keepNext w:val="false"/>
        <w:keepLines w:val="false"/>
        <w:pageBreakBefore w:val="false"/>
        <w:widowControl/>
        <w:shd w:val="clear" w:color="auto" w:fill="ffffff"/>
        <w:kinsoku/>
        <w:wordWrap/>
        <w:overflowPunct/>
        <w:topLinePunct w:val="false"/>
        <w:autoSpaceDE/>
        <w:autoSpaceDN/>
        <w:bidi w:val="false"/>
        <w:adjustRightInd/>
        <w:snapToGrid/>
        <w:spacing w:lineRule="auto" w:line="360"/>
        <w:ind w:left="0" w:leftChars="0" w:right="0" w:rightChars="0" w:firstLine="480" w:firstLineChars="150"/>
        <w:jc w:val="both"/>
        <w:textAlignment w:val="auto"/>
        <w:rPr>
          <w:rFonts w:ascii="仿宋" w:cs="仿宋" w:eastAsia="仿宋" w:hAnsi="仿宋" w:hint="eastAsia"/>
          <w:color w:val="auto"/>
          <w:kern w:val="0"/>
          <w:sz w:val="32"/>
          <w:szCs w:val="32"/>
          <w:highlight w:val="none"/>
        </w:rPr>
      </w:pPr>
      <w:r>
        <w:rPr>
          <w:rFonts w:ascii="仿宋" w:cs="仿宋" w:eastAsia="仿宋" w:hAnsi="仿宋" w:hint="eastAsia"/>
          <w:color w:val="auto"/>
          <w:kern w:val="0"/>
          <w:sz w:val="32"/>
          <w:szCs w:val="32"/>
          <w:highlight w:val="none"/>
        </w:rPr>
        <w:t>（2）制定了绩效评价工作方案。评价方案确定了绩效评价的依据、目的、对象、原则、内容、方法、标准、组织、工作进度、项目单位自评报告及附表格式等。</w:t>
      </w:r>
    </w:p>
    <w:p>
      <w:pPr>
        <w:pStyle w:val="style0"/>
        <w:keepNext w:val="false"/>
        <w:keepLines w:val="false"/>
        <w:pageBreakBefore w:val="false"/>
        <w:kinsoku/>
        <w:wordWrap/>
        <w:overflowPunct/>
        <w:topLinePunct w:val="false"/>
        <w:autoSpaceDE/>
        <w:autoSpaceDN/>
        <w:bidi w:val="false"/>
        <w:adjustRightInd/>
        <w:snapToGrid/>
        <w:spacing w:lineRule="auto" w:line="360"/>
        <w:ind w:right="0" w:rightChars="0" w:firstLine="640" w:firstLineChars="200"/>
        <w:jc w:val="both"/>
        <w:textAlignment w:val="auto"/>
        <w:rPr>
          <w:rFonts w:ascii="仿宋" w:cs="仿宋" w:eastAsia="仿宋" w:hAnsi="仿宋" w:hint="eastAsia"/>
          <w:b/>
          <w:bCs/>
          <w:color w:val="auto"/>
          <w:sz w:val="32"/>
          <w:szCs w:val="32"/>
          <w:highlight w:val="none"/>
        </w:rPr>
      </w:pPr>
      <w:r>
        <w:rPr>
          <w:rFonts w:ascii="仿宋" w:cs="仿宋" w:eastAsia="仿宋" w:hAnsi="仿宋" w:hint="eastAsia"/>
          <w:b/>
          <w:bCs/>
          <w:color w:val="auto"/>
          <w:sz w:val="32"/>
          <w:szCs w:val="32"/>
          <w:highlight w:val="none"/>
        </w:rPr>
        <w:t>2.组织实施</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0" w:firstLineChars="200"/>
        <w:jc w:val="both"/>
        <w:textAlignment w:val="auto"/>
        <w:rPr>
          <w:rFonts w:ascii="仿宋" w:cs="仿宋" w:eastAsia="仿宋" w:hAnsi="仿宋" w:hint="eastAsia"/>
          <w:color w:val="auto"/>
          <w:kern w:val="0"/>
          <w:sz w:val="32"/>
          <w:szCs w:val="32"/>
          <w:highlight w:val="none"/>
        </w:rPr>
      </w:pPr>
      <w:r>
        <w:rPr>
          <w:rFonts w:ascii="仿宋" w:cs="仿宋" w:eastAsia="仿宋" w:hAnsi="仿宋" w:hint="eastAsia"/>
          <w:color w:val="auto"/>
          <w:kern w:val="0"/>
          <w:sz w:val="32"/>
          <w:szCs w:val="32"/>
          <w:highlight w:val="none"/>
          <w:lang w:eastAsia="zh-CN"/>
        </w:rPr>
        <w:t>（</w:t>
      </w:r>
      <w:r>
        <w:rPr>
          <w:rFonts w:ascii="仿宋" w:cs="仿宋" w:eastAsia="仿宋" w:hAnsi="仿宋" w:hint="eastAsia"/>
          <w:color w:val="auto"/>
          <w:kern w:val="0"/>
          <w:sz w:val="32"/>
          <w:szCs w:val="32"/>
          <w:highlight w:val="none"/>
          <w:lang w:val="en-US" w:eastAsia="zh-CN"/>
        </w:rPr>
        <w:t>1）</w:t>
      </w:r>
      <w:r>
        <w:rPr>
          <w:rFonts w:ascii="仿宋" w:cs="仿宋" w:eastAsia="仿宋" w:hAnsi="仿宋" w:hint="eastAsia"/>
          <w:color w:val="auto"/>
          <w:kern w:val="0"/>
          <w:sz w:val="32"/>
          <w:szCs w:val="32"/>
          <w:highlight w:val="none"/>
        </w:rPr>
        <w:t>项目</w:t>
      </w:r>
      <w:r>
        <w:rPr>
          <w:rFonts w:ascii="仿宋" w:cs="仿宋" w:eastAsia="仿宋" w:hAnsi="仿宋" w:hint="eastAsia"/>
          <w:color w:val="auto"/>
          <w:kern w:val="0"/>
          <w:sz w:val="32"/>
          <w:szCs w:val="32"/>
          <w:highlight w:val="none"/>
          <w:lang w:eastAsia="zh-CN"/>
        </w:rPr>
        <w:t>负责部门基建办会同财务科</w:t>
      </w:r>
      <w:r>
        <w:rPr>
          <w:rFonts w:ascii="仿宋" w:cs="仿宋" w:eastAsia="仿宋" w:hAnsi="仿宋" w:hint="eastAsia"/>
          <w:color w:val="auto"/>
          <w:kern w:val="0"/>
          <w:sz w:val="32"/>
          <w:szCs w:val="32"/>
          <w:highlight w:val="none"/>
        </w:rPr>
        <w:t>根据相关要求做好自评工作，整理项目实施及资金管理使用情况等佐证材料，填报绩效自评数据表、专项资金支出情况表。</w:t>
      </w:r>
    </w:p>
    <w:p>
      <w:pPr>
        <w:pStyle w:val="style0"/>
        <w:keepNext w:val="false"/>
        <w:keepLines w:val="false"/>
        <w:pageBreakBefore w:val="false"/>
        <w:widowControl/>
        <w:shd w:val="clear" w:color="auto" w:fill="ffffff"/>
        <w:kinsoku/>
        <w:wordWrap/>
        <w:overflowPunct/>
        <w:topLinePunct w:val="false"/>
        <w:autoSpaceDE/>
        <w:autoSpaceDN/>
        <w:bidi w:val="false"/>
        <w:adjustRightInd/>
        <w:snapToGrid/>
        <w:spacing w:lineRule="auto" w:line="360"/>
        <w:ind w:right="0" w:rightChars="0" w:firstLine="640" w:firstLineChars="200"/>
        <w:jc w:val="both"/>
        <w:textAlignment w:val="auto"/>
        <w:rPr>
          <w:rFonts w:ascii="仿宋" w:cs="仿宋" w:eastAsia="仿宋" w:hAnsi="仿宋" w:hint="eastAsia"/>
          <w:color w:val="auto"/>
          <w:kern w:val="0"/>
          <w:sz w:val="32"/>
          <w:szCs w:val="32"/>
          <w:highlight w:val="none"/>
        </w:rPr>
      </w:pPr>
      <w:r>
        <w:rPr>
          <w:rFonts w:ascii="仿宋" w:cs="仿宋" w:eastAsia="仿宋" w:hAnsi="仿宋" w:hint="eastAsia"/>
          <w:color w:val="auto"/>
          <w:kern w:val="0"/>
          <w:sz w:val="32"/>
          <w:szCs w:val="32"/>
          <w:highlight w:val="none"/>
          <w:lang w:eastAsia="zh-CN"/>
        </w:rPr>
        <w:t>（</w:t>
      </w:r>
      <w:r>
        <w:rPr>
          <w:rFonts w:ascii="仿宋" w:cs="仿宋" w:eastAsia="仿宋" w:hAnsi="仿宋" w:hint="eastAsia"/>
          <w:color w:val="auto"/>
          <w:kern w:val="0"/>
          <w:sz w:val="32"/>
          <w:szCs w:val="32"/>
          <w:highlight w:val="none"/>
          <w:lang w:val="en-US" w:eastAsia="zh-CN"/>
        </w:rPr>
        <w:t>2）</w:t>
      </w:r>
      <w:r>
        <w:rPr>
          <w:rFonts w:ascii="仿宋" w:cs="仿宋" w:eastAsia="仿宋" w:hAnsi="仿宋" w:hint="eastAsia"/>
          <w:color w:val="auto"/>
          <w:kern w:val="0"/>
          <w:sz w:val="32"/>
          <w:szCs w:val="32"/>
          <w:highlight w:val="none"/>
        </w:rPr>
        <w:t>绩效评价工作组对评价对象进行定量定性分析和综合评价，形成评价结论，起草评价报告。</w:t>
      </w:r>
    </w:p>
    <w:p>
      <w:pPr>
        <w:pStyle w:val="style0"/>
        <w:keepNext w:val="false"/>
        <w:keepLines w:val="false"/>
        <w:pageBreakBefore w:val="false"/>
        <w:shd w:val="clear" w:color="auto" w:fill="ffffff"/>
        <w:kinsoku/>
        <w:wordWrap/>
        <w:overflowPunct/>
        <w:topLinePunct w:val="false"/>
        <w:autoSpaceDE/>
        <w:autoSpaceDN/>
        <w:bidi w:val="false"/>
        <w:adjustRightInd/>
        <w:snapToGrid/>
        <w:spacing w:lineRule="auto" w:line="360"/>
        <w:ind w:right="0" w:rightChars="0" w:firstLine="640" w:firstLineChars="200"/>
        <w:jc w:val="both"/>
        <w:textAlignment w:val="auto"/>
        <w:outlineLvl w:val="1"/>
        <w:rPr>
          <w:rFonts w:ascii="仿宋_GB2312" w:eastAsia="仿宋_GB2312" w:hAnsi="黑体" w:hint="eastAsia"/>
          <w:sz w:val="32"/>
          <w:szCs w:val="32"/>
        </w:rPr>
      </w:pPr>
      <w:r>
        <w:rPr>
          <w:rFonts w:ascii="仿宋" w:cs="仿宋" w:eastAsia="仿宋" w:hAnsi="仿宋" w:hint="eastAsia"/>
          <w:color w:val="auto"/>
          <w:kern w:val="0"/>
          <w:sz w:val="32"/>
          <w:szCs w:val="32"/>
          <w:highlight w:val="none"/>
        </w:rPr>
        <w:t>（</w:t>
      </w:r>
      <w:r>
        <w:rPr>
          <w:rFonts w:ascii="仿宋" w:cs="仿宋" w:eastAsia="仿宋" w:hAnsi="仿宋" w:hint="eastAsia"/>
          <w:color w:val="auto"/>
          <w:kern w:val="0"/>
          <w:sz w:val="32"/>
          <w:szCs w:val="32"/>
          <w:highlight w:val="none"/>
          <w:lang w:val="en-US" w:eastAsia="zh-CN"/>
        </w:rPr>
        <w:t>3</w:t>
      </w:r>
      <w:r>
        <w:rPr>
          <w:rFonts w:ascii="仿宋" w:cs="仿宋" w:eastAsia="仿宋" w:hAnsi="仿宋" w:hint="eastAsia"/>
          <w:color w:val="auto"/>
          <w:kern w:val="0"/>
          <w:sz w:val="32"/>
          <w:szCs w:val="32"/>
          <w:highlight w:val="none"/>
        </w:rPr>
        <w:t>）召开评价总结会议，</w:t>
      </w:r>
      <w:r>
        <w:rPr>
          <w:rFonts w:ascii="仿宋" w:cs="仿宋" w:eastAsia="仿宋" w:hAnsi="仿宋" w:hint="eastAsia"/>
          <w:color w:val="auto"/>
          <w:sz w:val="32"/>
          <w:szCs w:val="32"/>
          <w:highlight w:val="none"/>
        </w:rPr>
        <w:t>总结了主要经验与做法，分析了存在的问题，并对将来专项经费使用提出了建议。会议</w:t>
      </w:r>
      <w:r>
        <w:rPr>
          <w:rFonts w:ascii="仿宋" w:cs="仿宋" w:eastAsia="仿宋" w:hAnsi="仿宋" w:hint="eastAsia"/>
          <w:color w:val="auto"/>
          <w:kern w:val="0"/>
          <w:sz w:val="32"/>
          <w:szCs w:val="32"/>
          <w:highlight w:val="none"/>
        </w:rPr>
        <w:t>对评价报告进行了审议，形成最终的绩效评价报告。</w:t>
      </w:r>
    </w:p>
    <w:p>
      <w:pPr>
        <w:pStyle w:val="style0"/>
        <w:keepNext w:val="false"/>
        <w:keepLines w:val="false"/>
        <w:pageBreakBefore w:val="false"/>
        <w:kinsoku/>
        <w:wordWrap/>
        <w:overflowPunct/>
        <w:topLinePunct w:val="false"/>
        <w:autoSpaceDE/>
        <w:autoSpaceDN/>
        <w:bidi w:val="false"/>
        <w:adjustRightInd/>
        <w:snapToGrid/>
        <w:spacing w:lineRule="auto" w:line="360"/>
        <w:ind w:firstLine="640" w:firstLineChars="200"/>
        <w:jc w:val="both"/>
        <w:textAlignment w:val="auto"/>
        <w:rPr>
          <w:rFonts w:ascii="黑体" w:eastAsia="黑体" w:hAnsi="黑体" w:hint="eastAsia"/>
          <w:sz w:val="32"/>
          <w:szCs w:val="32"/>
        </w:rPr>
      </w:pPr>
      <w:r>
        <w:rPr>
          <w:rFonts w:ascii="黑体" w:eastAsia="黑体" w:hAnsi="黑体" w:hint="eastAsia"/>
          <w:sz w:val="32"/>
          <w:szCs w:val="32"/>
          <w:lang w:eastAsia="zh-CN"/>
        </w:rPr>
        <w:t>三</w:t>
      </w:r>
      <w:r>
        <w:rPr>
          <w:rFonts w:ascii="黑体" w:eastAsia="黑体" w:hAnsi="黑体" w:hint="eastAsia"/>
          <w:sz w:val="32"/>
          <w:szCs w:val="32"/>
        </w:rPr>
        <w:t>、绩效评价指标分析情况</w:t>
      </w:r>
    </w:p>
    <w:p>
      <w:pPr>
        <w:pStyle w:val="style0"/>
        <w:keepNext w:val="false"/>
        <w:keepLines w:val="false"/>
        <w:pageBreakBefore w:val="false"/>
        <w:shd w:val="clear" w:color="auto" w:fill="ffffff"/>
        <w:kinsoku/>
        <w:wordWrap/>
        <w:overflowPunct/>
        <w:topLinePunct w:val="false"/>
        <w:autoSpaceDE/>
        <w:autoSpaceDN/>
        <w:bidi w:val="false"/>
        <w:adjustRightInd/>
        <w:snapToGrid/>
        <w:spacing w:lineRule="auto" w:line="360"/>
        <w:ind w:right="0" w:rightChars="0" w:firstLine="640" w:firstLineChars="200"/>
        <w:jc w:val="both"/>
        <w:textAlignment w:val="auto"/>
        <w:outlineLvl w:val="1"/>
        <w:rPr>
          <w:rFonts w:ascii="仿宋" w:cs="仿宋" w:eastAsia="仿宋" w:hAnsi="仿宋" w:hint="eastAsia"/>
          <w:color w:val="auto"/>
          <w:kern w:val="0"/>
          <w:sz w:val="32"/>
          <w:szCs w:val="32"/>
          <w:highlight w:val="none"/>
        </w:rPr>
      </w:pPr>
      <w:r>
        <w:rPr>
          <w:rFonts w:ascii="仿宋" w:cs="仿宋" w:eastAsia="仿宋" w:hAnsi="仿宋" w:hint="eastAsia"/>
          <w:color w:val="auto"/>
          <w:kern w:val="0"/>
          <w:sz w:val="32"/>
          <w:szCs w:val="32"/>
          <w:highlight w:val="none"/>
        </w:rPr>
        <w:t>（一）项目资金情况分析</w:t>
      </w:r>
    </w:p>
    <w:p>
      <w:pPr>
        <w:pStyle w:val="style0"/>
        <w:keepNext w:val="false"/>
        <w:keepLines w:val="false"/>
        <w:pageBreakBefore w:val="false"/>
        <w:shd w:val="clear" w:color="auto" w:fill="ffffff"/>
        <w:kinsoku/>
        <w:wordWrap/>
        <w:overflowPunct/>
        <w:topLinePunct w:val="false"/>
        <w:autoSpaceDE/>
        <w:autoSpaceDN/>
        <w:bidi w:val="false"/>
        <w:adjustRightInd/>
        <w:snapToGrid/>
        <w:spacing w:lineRule="auto" w:line="360"/>
        <w:ind w:right="0" w:rightChars="0" w:firstLine="640" w:firstLineChars="200"/>
        <w:jc w:val="both"/>
        <w:textAlignment w:val="auto"/>
        <w:outlineLvl w:val="1"/>
        <w:rPr>
          <w:rFonts w:ascii="仿宋" w:cs="仿宋" w:eastAsia="仿宋" w:hAnsi="仿宋" w:hint="eastAsia"/>
          <w:color w:val="auto"/>
          <w:kern w:val="0"/>
          <w:sz w:val="32"/>
          <w:szCs w:val="32"/>
          <w:highlight w:val="none"/>
        </w:rPr>
      </w:pPr>
      <w:r>
        <w:rPr>
          <w:rFonts w:ascii="仿宋" w:cs="仿宋" w:eastAsia="仿宋" w:hAnsi="仿宋" w:hint="eastAsia"/>
          <w:color w:val="auto"/>
          <w:kern w:val="0"/>
          <w:sz w:val="32"/>
          <w:szCs w:val="32"/>
          <w:highlight w:val="none"/>
        </w:rPr>
        <w:t>1.项目资金到位情况分析</w:t>
      </w:r>
    </w:p>
    <w:p>
      <w:pPr>
        <w:pStyle w:val="style0"/>
        <w:keepNext w:val="false"/>
        <w:keepLines w:val="false"/>
        <w:pageBreakBefore w:val="false"/>
        <w:shd w:val="clear" w:color="auto" w:fill="ffffff"/>
        <w:kinsoku/>
        <w:wordWrap/>
        <w:overflowPunct/>
        <w:topLinePunct w:val="false"/>
        <w:autoSpaceDE/>
        <w:autoSpaceDN/>
        <w:bidi w:val="false"/>
        <w:adjustRightInd/>
        <w:snapToGrid/>
        <w:spacing w:lineRule="auto" w:line="360"/>
        <w:ind w:right="0" w:rightChars="0" w:firstLine="640" w:firstLineChars="200"/>
        <w:jc w:val="both"/>
        <w:textAlignment w:val="auto"/>
        <w:outlineLvl w:val="1"/>
        <w:rPr>
          <w:rFonts w:ascii="仿宋" w:cs="仿宋" w:eastAsia="仿宋" w:hAnsi="仿宋" w:hint="default"/>
          <w:spacing w:val="-2"/>
          <w:sz w:val="32"/>
          <w:szCs w:val="32"/>
          <w:lang w:val="en-US" w:eastAsia="zh-CN"/>
        </w:rPr>
      </w:pPr>
      <w:r>
        <w:rPr>
          <w:rFonts w:ascii="仿宋" w:cs="仿宋" w:eastAsia="仿宋" w:hAnsi="仿宋" w:hint="eastAsia"/>
          <w:color w:val="auto"/>
          <w:kern w:val="0"/>
          <w:sz w:val="32"/>
          <w:szCs w:val="32"/>
          <w:highlight w:val="none"/>
        </w:rPr>
        <w:t>20</w:t>
      </w:r>
      <w:r>
        <w:rPr>
          <w:rFonts w:ascii="仿宋" w:cs="仿宋" w:eastAsia="仿宋" w:hAnsi="仿宋" w:hint="eastAsia"/>
          <w:color w:val="auto"/>
          <w:kern w:val="0"/>
          <w:sz w:val="32"/>
          <w:szCs w:val="32"/>
          <w:highlight w:val="none"/>
          <w:lang w:val="en-US" w:eastAsia="zh-CN"/>
        </w:rPr>
        <w:t>21</w:t>
      </w:r>
      <w:r>
        <w:rPr>
          <w:rFonts w:ascii="仿宋" w:cs="仿宋" w:eastAsia="仿宋" w:hAnsi="仿宋" w:hint="eastAsia"/>
          <w:color w:val="auto"/>
          <w:kern w:val="0"/>
          <w:sz w:val="32"/>
          <w:szCs w:val="32"/>
          <w:highlight w:val="none"/>
        </w:rPr>
        <w:t>年度我</w:t>
      </w:r>
      <w:r>
        <w:rPr>
          <w:rFonts w:ascii="仿宋" w:cs="仿宋" w:eastAsia="仿宋" w:hAnsi="仿宋" w:hint="eastAsia"/>
          <w:color w:val="auto"/>
          <w:kern w:val="0"/>
          <w:sz w:val="32"/>
          <w:szCs w:val="32"/>
          <w:highlight w:val="none"/>
          <w:lang w:val="en-US" w:eastAsia="zh-CN"/>
        </w:rPr>
        <w:t>校项目</w:t>
      </w:r>
      <w:r>
        <w:rPr>
          <w:rFonts w:ascii="仿宋" w:cs="仿宋" w:eastAsia="仿宋" w:hAnsi="仿宋" w:hint="eastAsia"/>
          <w:color w:val="auto"/>
          <w:kern w:val="0"/>
          <w:sz w:val="32"/>
          <w:szCs w:val="32"/>
          <w:highlight w:val="none"/>
        </w:rPr>
        <w:t>资金</w:t>
      </w:r>
      <w:r>
        <w:rPr>
          <w:rFonts w:ascii="仿宋" w:cs="仿宋" w:eastAsia="仿宋" w:hAnsi="仿宋" w:hint="eastAsia"/>
          <w:color w:val="auto"/>
          <w:kern w:val="0"/>
          <w:sz w:val="32"/>
          <w:szCs w:val="32"/>
          <w:highlight w:val="none"/>
          <w:lang w:val="en-US" w:eastAsia="zh-CN"/>
        </w:rPr>
        <w:t>预</w:t>
      </w:r>
      <w:r>
        <w:rPr>
          <w:rFonts w:ascii="仿宋" w:cs="仿宋" w:eastAsia="仿宋" w:hAnsi="仿宋" w:hint="eastAsia"/>
          <w:spacing w:val="-2"/>
          <w:sz w:val="32"/>
          <w:szCs w:val="32"/>
          <w:lang w:val="en-US" w:eastAsia="zh-CN"/>
        </w:rPr>
        <w:t>算收入1,841.08</w:t>
      </w:r>
      <w:r>
        <w:rPr>
          <w:rFonts w:ascii="仿宋" w:cs="仿宋" w:eastAsia="仿宋" w:hAnsi="仿宋" w:hint="eastAsia"/>
          <w:spacing w:val="-2"/>
          <w:sz w:val="32"/>
          <w:szCs w:val="32"/>
        </w:rPr>
        <w:t>万元，</w:t>
      </w:r>
      <w:r>
        <w:rPr>
          <w:rFonts w:ascii="仿宋" w:cs="仿宋" w:eastAsia="仿宋" w:hAnsi="仿宋" w:hint="eastAsia"/>
          <w:spacing w:val="-2"/>
          <w:sz w:val="32"/>
          <w:szCs w:val="32"/>
          <w:lang w:val="en-US" w:eastAsia="zh-CN"/>
        </w:rPr>
        <w:t>2021年实际收到项目资金1,841.08万元,</w:t>
      </w:r>
      <w:r>
        <w:rPr>
          <w:rFonts w:ascii="仿宋" w:cs="仿宋" w:eastAsia="仿宋" w:hAnsi="仿宋" w:hint="eastAsia"/>
          <w:spacing w:val="-2"/>
          <w:sz w:val="32"/>
          <w:szCs w:val="32"/>
        </w:rPr>
        <w:t>均为财政专项资金项目</w:t>
      </w:r>
      <w:r>
        <w:rPr>
          <w:rFonts w:ascii="仿宋" w:cs="仿宋" w:eastAsia="仿宋" w:hAnsi="仿宋" w:hint="eastAsia"/>
          <w:spacing w:val="-2"/>
          <w:sz w:val="32"/>
          <w:szCs w:val="32"/>
          <w:lang w:eastAsia="zh-CN"/>
        </w:rPr>
        <w:t>，</w:t>
      </w:r>
      <w:r>
        <w:rPr>
          <w:rFonts w:ascii="仿宋" w:cs="仿宋" w:eastAsia="仿宋" w:hAnsi="仿宋" w:hint="eastAsia"/>
          <w:spacing w:val="-2"/>
          <w:sz w:val="32"/>
          <w:szCs w:val="32"/>
          <w:lang w:val="en-US" w:eastAsia="zh-CN"/>
        </w:rPr>
        <w:t>资金到位率100%。其中：</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高考考点经费预算收入9.00万元，实际收入9.00万元，资金到位率100%；</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校方责任险预算收入3.80万元，实际收入3.80万元，资金到位率100%；</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校园保安费预算收入21.80万元，实际收入21.80万元，资金到位率100%；</w:t>
      </w:r>
    </w:p>
    <w:p>
      <w:pPr>
        <w:pStyle w:val="style0"/>
        <w:widowControl/>
        <w:shd w:val="clear" w:color="auto" w:fill="ffffff"/>
        <w:spacing w:lineRule="atLeast" w:line="600"/>
        <w:ind w:firstLine="64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文化广场改造项目2021预算收入200.00万元,2021年实际收入200.00万元</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学生公寓建设预算收入1,300.00万元，实际收入1,300.00万元，资金到位率100%。</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两馆及周边附属设施维修改造项目预算收入300.00万元,实际收入300.00万元</w:t>
      </w:r>
    </w:p>
    <w:p>
      <w:pPr>
        <w:pStyle w:val="style0"/>
        <w:widowControl/>
        <w:shd w:val="clear" w:color="auto" w:fill="ffffff"/>
        <w:spacing w:lineRule="atLeast" w:line="600"/>
        <w:ind w:firstLine="64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省级师培预算收入6.48万元,实际收入6.48万元</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2.项目资金使用情况分析</w:t>
      </w:r>
    </w:p>
    <w:p>
      <w:pPr>
        <w:pStyle w:val="style0"/>
        <w:widowControl/>
        <w:shd w:val="clear" w:color="auto" w:fill="ffffff"/>
        <w:spacing w:lineRule="atLeast" w:line="600"/>
        <w:ind w:firstLine="64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2021年项目支出总合计593.41万元，其中：</w:t>
      </w:r>
    </w:p>
    <w:p>
      <w:pPr>
        <w:pStyle w:val="style0"/>
        <w:widowControl/>
        <w:shd w:val="clear" w:color="auto" w:fill="ffffff"/>
        <w:spacing w:lineRule="atLeast" w:line="600"/>
        <w:ind w:firstLine="64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（1）高考考点经费预算支出9.00万元，实际支出11.64万元,超预算2.64万元,超预算29.33%;</w:t>
      </w:r>
    </w:p>
    <w:p>
      <w:pPr>
        <w:pStyle w:val="style0"/>
        <w:widowControl/>
        <w:shd w:val="clear" w:color="auto" w:fill="ffffff"/>
        <w:spacing w:lineRule="atLeast" w:line="600"/>
        <w:ind w:firstLine="64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（2）校方责任险预算支出3.80万元，实际支出3.83万元,较预算超支0.03万元,超支率为0.79%;</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（3）校园保安费预算支出21.80万元，实际支出32.59万元,超预算10.79万元,超预算49.50%;</w:t>
      </w:r>
    </w:p>
    <w:p>
      <w:pPr>
        <w:pStyle w:val="style0"/>
        <w:widowControl/>
        <w:shd w:val="clear" w:color="auto" w:fill="ffffff"/>
        <w:spacing w:lineRule="atLeast" w:line="600"/>
        <w:ind w:firstLine="64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（4）学生公寓建设预算支出106.11万元，实际支出106.11万元，完成率100%；</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（5）高压线路改迁2020结转和结余32.21万元(2019年预算支出59.00万元,2019年实际支出2.06万元,2020年实际支出24.73万元),2021年实际支出42.06万元；</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（6）机器人实验室2020年结转和结余100.00万元(2019年预算100万元),2021实际支出93.03万元,预算结余6.97万元,预算节约率6.97%;</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（7）食堂改造及设施购置项目2020年结转和结余100.00万元,2021年实际支出97.72万元,预算结余2.28万元,节约率2.28%;</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（8）2021年省级师培预算支出6.48万元,2021年实际支出6.48万元</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default"/>
          <w:spacing w:val="-2"/>
          <w:sz w:val="32"/>
          <w:szCs w:val="32"/>
          <w:highlight w:val="none"/>
          <w:lang w:val="en-US" w:eastAsia="zh-CN"/>
        </w:rPr>
      </w:pPr>
      <w:r>
        <w:rPr>
          <w:rFonts w:ascii="仿宋" w:cs="仿宋" w:eastAsia="仿宋" w:hAnsi="仿宋" w:hint="eastAsia"/>
          <w:spacing w:val="-2"/>
          <w:sz w:val="32"/>
          <w:szCs w:val="32"/>
          <w:highlight w:val="none"/>
          <w:lang w:val="en-US" w:eastAsia="zh-CN"/>
        </w:rPr>
        <w:t>（9）两馆及周边附属设施维修改造项目预算支出228.91万元,实际支出228.91万元</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3.项目资金管理情况分析</w:t>
      </w:r>
    </w:p>
    <w:p>
      <w:pPr>
        <w:pStyle w:val="style157"/>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0" w:firstLineChars="200"/>
        <w:jc w:val="both"/>
        <w:textAlignment w:val="auto"/>
        <w:rPr>
          <w:rFonts w:ascii="仿宋" w:cs="仿宋" w:eastAsia="仿宋" w:hAnsi="仿宋" w:hint="eastAsia"/>
          <w:color w:val="auto"/>
          <w:sz w:val="32"/>
          <w:szCs w:val="32"/>
          <w:highlight w:val="none"/>
        </w:rPr>
      </w:pPr>
      <w:r>
        <w:rPr>
          <w:rFonts w:ascii="仿宋" w:cs="仿宋" w:eastAsia="仿宋" w:hAnsi="仿宋" w:hint="eastAsia"/>
          <w:color w:val="auto"/>
          <w:sz w:val="32"/>
          <w:szCs w:val="32"/>
          <w:highlight w:val="none"/>
        </w:rPr>
        <w:t>业务管理方面，按照有关规定对专项资金支持的项目进行管理</w:t>
      </w:r>
      <w:r>
        <w:rPr>
          <w:rFonts w:ascii="仿宋" w:cs="仿宋" w:eastAsia="仿宋" w:hAnsi="仿宋" w:hint="eastAsia"/>
          <w:color w:val="auto"/>
          <w:sz w:val="32"/>
          <w:szCs w:val="32"/>
          <w:highlight w:val="none"/>
          <w:lang w:eastAsia="zh-CN"/>
        </w:rPr>
        <w:t>，</w:t>
      </w:r>
      <w:r>
        <w:rPr>
          <w:rFonts w:ascii="仿宋" w:cs="仿宋" w:eastAsia="仿宋" w:hAnsi="仿宋" w:hint="eastAsia"/>
          <w:color w:val="auto"/>
          <w:sz w:val="32"/>
          <w:szCs w:val="32"/>
          <w:highlight w:val="none"/>
        </w:rPr>
        <w:t>建立较为健全的业务管理制度，项目实施符合相关业务管理规定。</w:t>
      </w:r>
    </w:p>
    <w:p>
      <w:pPr>
        <w:pStyle w:val="style157"/>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0" w:firstLineChars="200"/>
        <w:jc w:val="both"/>
        <w:textAlignment w:val="auto"/>
        <w:rPr>
          <w:rFonts w:ascii="仿宋_GB2312" w:eastAsia="仿宋_GB2312" w:hAnsi="黑体" w:hint="eastAsia"/>
          <w:sz w:val="32"/>
          <w:szCs w:val="32"/>
        </w:rPr>
      </w:pPr>
      <w:r>
        <w:rPr>
          <w:rFonts w:ascii="仿宋" w:cs="仿宋" w:eastAsia="仿宋" w:hAnsi="仿宋" w:hint="eastAsia"/>
          <w:color w:val="auto"/>
          <w:sz w:val="32"/>
          <w:szCs w:val="32"/>
          <w:highlight w:val="none"/>
        </w:rPr>
        <w:t>财务管理方面，建立了较为健全的财务制度，做到了专款专用、专账管理，资金使用符合相关财务管理制度的规定，为保障资金安全、规范运行采取了必要的监控措施。</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（二）项目实施情况分析</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1.项目组织情况分析</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加强专项项目管理，校总务处负责项目的组织实施。</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2.项目管理情况分析</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firstLine="632" w:firstLineChars="200"/>
        <w:jc w:val="both"/>
        <w:textAlignment w:val="auto"/>
        <w:outlineLvl w:val="0"/>
        <w:rPr>
          <w:rFonts w:ascii="仿宋" w:cs="仿宋" w:eastAsia="仿宋" w:hAnsi="仿宋" w:hint="eastAsia"/>
          <w:sz w:val="32"/>
          <w:szCs w:val="32"/>
          <w:lang w:eastAsia="zh-CN"/>
        </w:rPr>
      </w:pPr>
      <w:r>
        <w:rPr>
          <w:rFonts w:ascii="仿宋" w:cs="仿宋" w:eastAsia="仿宋" w:hAnsi="仿宋" w:hint="eastAsia"/>
          <w:spacing w:val="-2"/>
          <w:sz w:val="32"/>
          <w:szCs w:val="32"/>
          <w:highlight w:val="none"/>
          <w:lang w:val="en-US" w:eastAsia="zh-CN"/>
        </w:rPr>
        <w:t>我校对有助于教育</w:t>
      </w:r>
      <w:r>
        <w:rPr>
          <w:rFonts w:ascii="仿宋" w:cs="仿宋" w:eastAsia="仿宋" w:hAnsi="仿宋" w:hint="eastAsia"/>
          <w:sz w:val="32"/>
          <w:szCs w:val="32"/>
        </w:rPr>
        <w:t>质量提高</w:t>
      </w:r>
      <w:r>
        <w:rPr>
          <w:rFonts w:ascii="仿宋" w:cs="仿宋" w:eastAsia="仿宋" w:hAnsi="仿宋" w:hint="eastAsia"/>
          <w:sz w:val="32"/>
          <w:szCs w:val="32"/>
          <w:lang w:eastAsia="zh-CN"/>
        </w:rPr>
        <w:t>的项目首先进行</w:t>
      </w:r>
      <w:r>
        <w:rPr>
          <w:rFonts w:ascii="仿宋" w:cs="仿宋" w:eastAsia="仿宋" w:hAnsi="仿宋" w:hint="eastAsia"/>
          <w:sz w:val="32"/>
          <w:szCs w:val="32"/>
        </w:rPr>
        <w:t>可行性研究，</w:t>
      </w:r>
      <w:r>
        <w:rPr>
          <w:rFonts w:ascii="仿宋" w:cs="仿宋" w:eastAsia="仿宋" w:hAnsi="仿宋" w:hint="eastAsia"/>
          <w:sz w:val="32"/>
          <w:szCs w:val="32"/>
          <w:lang w:eastAsia="zh-CN"/>
        </w:rPr>
        <w:t>并</w:t>
      </w:r>
      <w:r>
        <w:rPr>
          <w:rFonts w:ascii="仿宋" w:cs="仿宋" w:eastAsia="仿宋" w:hAnsi="仿宋" w:hint="eastAsia"/>
          <w:sz w:val="32"/>
          <w:szCs w:val="32"/>
        </w:rPr>
        <w:t>向怀化市发展和改革委员会报送</w:t>
      </w:r>
      <w:r>
        <w:rPr>
          <w:rFonts w:ascii="仿宋" w:cs="仿宋" w:eastAsia="仿宋" w:hAnsi="仿宋" w:hint="eastAsia"/>
          <w:sz w:val="32"/>
          <w:szCs w:val="32"/>
          <w:lang w:eastAsia="zh-CN"/>
        </w:rPr>
        <w:t>立项报告</w:t>
      </w:r>
      <w:r>
        <w:rPr>
          <w:rFonts w:ascii="仿宋" w:cs="仿宋" w:eastAsia="仿宋" w:hAnsi="仿宋" w:hint="eastAsia"/>
          <w:sz w:val="32"/>
          <w:szCs w:val="32"/>
        </w:rPr>
        <w:t>，取得怀化市发展和改革委员会批复。</w:t>
      </w:r>
      <w:r>
        <w:rPr>
          <w:rFonts w:ascii="仿宋" w:cs="仿宋" w:eastAsia="仿宋" w:hAnsi="仿宋" w:hint="eastAsia"/>
          <w:sz w:val="32"/>
          <w:szCs w:val="32"/>
          <w:lang w:eastAsia="zh-CN"/>
        </w:rPr>
        <w:t>其次，由</w:t>
      </w:r>
      <w:r>
        <w:rPr>
          <w:rFonts w:ascii="仿宋" w:cs="仿宋" w:eastAsia="仿宋" w:hAnsi="仿宋" w:hint="eastAsia"/>
          <w:sz w:val="32"/>
          <w:szCs w:val="32"/>
        </w:rPr>
        <w:t>怀化市财政局投资评审管理办公室对工程进行预算，然后通过</w:t>
      </w:r>
      <w:r>
        <w:rPr>
          <w:rFonts w:ascii="仿宋" w:cs="仿宋" w:eastAsia="仿宋" w:hAnsi="仿宋" w:hint="eastAsia"/>
          <w:sz w:val="32"/>
          <w:szCs w:val="32"/>
          <w:lang w:eastAsia="zh-CN"/>
        </w:rPr>
        <w:t>代理</w:t>
      </w:r>
      <w:r>
        <w:rPr>
          <w:rFonts w:ascii="仿宋" w:cs="仿宋" w:eastAsia="仿宋" w:hAnsi="仿宋" w:hint="eastAsia"/>
          <w:sz w:val="32"/>
          <w:szCs w:val="32"/>
        </w:rPr>
        <w:t>招投标</w:t>
      </w:r>
      <w:r>
        <w:rPr>
          <w:rFonts w:ascii="仿宋" w:cs="仿宋" w:eastAsia="仿宋" w:hAnsi="仿宋" w:hint="eastAsia"/>
          <w:sz w:val="32"/>
          <w:szCs w:val="32"/>
          <w:lang w:eastAsia="zh-CN"/>
        </w:rPr>
        <w:t>的中介机构进行</w:t>
      </w:r>
      <w:r>
        <w:rPr>
          <w:rFonts w:ascii="仿宋" w:cs="仿宋" w:eastAsia="仿宋" w:hAnsi="仿宋" w:hint="eastAsia"/>
          <w:sz w:val="32"/>
          <w:szCs w:val="32"/>
        </w:rPr>
        <w:t>公开招标，</w:t>
      </w:r>
      <w:r>
        <w:rPr>
          <w:rFonts w:ascii="仿宋" w:cs="仿宋" w:eastAsia="仿宋" w:hAnsi="仿宋" w:hint="eastAsia"/>
          <w:sz w:val="32"/>
          <w:szCs w:val="32"/>
          <w:lang w:eastAsia="zh-CN"/>
        </w:rPr>
        <w:t>确定中标单位。与中标单位签订合同，并严格按照合同执行。</w:t>
      </w:r>
    </w:p>
    <w:p>
      <w:pPr>
        <w:pStyle w:val="style0"/>
        <w:keepNext w:val="false"/>
        <w:keepLines w:val="false"/>
        <w:pageBreakBefore w:val="false"/>
        <w:widowControl/>
        <w:shd w:val="clear" w:color="auto" w:fill="ffffff"/>
        <w:kinsoku/>
        <w:wordWrap/>
        <w:overflowPunct/>
        <w:topLinePunct w:val="false"/>
        <w:autoSpaceDE/>
        <w:autoSpaceDN/>
        <w:bidi w:val="false"/>
        <w:adjustRightInd/>
        <w:snapToGrid/>
        <w:spacing w:lineRule="auto" w:line="360"/>
        <w:ind w:firstLine="640"/>
        <w:jc w:val="both"/>
        <w:textAlignment w:val="auto"/>
        <w:rPr>
          <w:rFonts w:ascii="仿宋" w:cs="仿宋" w:eastAsia="仿宋" w:hAnsi="仿宋" w:hint="eastAsia"/>
          <w:b/>
          <w:bCs/>
          <w:sz w:val="32"/>
          <w:szCs w:val="32"/>
          <w:lang w:val="en-US" w:eastAsia="zh-CN"/>
        </w:rPr>
      </w:pPr>
      <w:r>
        <w:rPr>
          <w:rFonts w:ascii="仿宋" w:cs="仿宋" w:eastAsia="仿宋" w:hAnsi="仿宋" w:hint="eastAsia"/>
          <w:sz w:val="32"/>
          <w:szCs w:val="32"/>
          <w:lang w:eastAsia="zh-CN"/>
        </w:rPr>
        <w:t>学校</w:t>
      </w:r>
      <w:r>
        <w:rPr>
          <w:rFonts w:ascii="仿宋" w:cs="仿宋" w:eastAsia="仿宋" w:hAnsi="仿宋" w:hint="eastAsia"/>
          <w:sz w:val="32"/>
          <w:szCs w:val="32"/>
        </w:rPr>
        <w:t>制定了</w:t>
      </w:r>
      <w:r>
        <w:rPr>
          <w:rFonts w:ascii="仿宋" w:cs="仿宋" w:eastAsia="仿宋" w:hAnsi="仿宋" w:hint="eastAsia"/>
          <w:sz w:val="32"/>
          <w:szCs w:val="32"/>
          <w:lang w:eastAsia="zh-CN"/>
        </w:rPr>
        <w:t>《</w:t>
      </w:r>
      <w:r>
        <w:rPr>
          <w:rFonts w:ascii="仿宋" w:cs="仿宋" w:eastAsia="仿宋" w:hAnsi="仿宋" w:hint="eastAsia"/>
          <w:sz w:val="32"/>
          <w:szCs w:val="32"/>
          <w:lang w:val="en-US" w:eastAsia="zh-CN"/>
        </w:rPr>
        <w:t>财政专项资金管理制度</w:t>
      </w:r>
      <w:r>
        <w:rPr>
          <w:rFonts w:ascii="仿宋" w:cs="仿宋" w:eastAsia="仿宋" w:hAnsi="仿宋" w:hint="eastAsia"/>
          <w:sz w:val="32"/>
          <w:szCs w:val="32"/>
          <w:lang w:eastAsia="zh-CN"/>
        </w:rPr>
        <w:t>》、</w:t>
      </w:r>
      <w:r>
        <w:rPr>
          <w:rFonts w:ascii="仿宋" w:cs="仿宋" w:eastAsia="仿宋" w:hAnsi="仿宋" w:hint="eastAsia"/>
          <w:spacing w:val="-2"/>
          <w:sz w:val="32"/>
          <w:szCs w:val="32"/>
        </w:rPr>
        <w:t>《大型修缮管理办法》等多项专项业务管理办法，各专项业务按照国家相关法律法规、主管部门相关文件精神、业务管理制度和专项资金管理办法实施，并按照相关质量控制体系要求实施专项项目。</w:t>
      </w:r>
    </w:p>
    <w:p>
      <w:pPr>
        <w:pStyle w:val="style0"/>
        <w:keepNext w:val="false"/>
        <w:keepLines w:val="false"/>
        <w:pageBreakBefore w:val="false"/>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rPr>
        <w:t>为保证工程实施质量，校领导、办公室、基建办经常深入工地督导工作，</w:t>
      </w:r>
      <w:r>
        <w:rPr>
          <w:rFonts w:ascii="仿宋" w:cs="仿宋" w:eastAsia="仿宋" w:hAnsi="仿宋" w:hint="eastAsia"/>
          <w:sz w:val="32"/>
          <w:szCs w:val="32"/>
          <w:lang w:eastAsia="zh-CN"/>
        </w:rPr>
        <w:t>检查施工日志，</w:t>
      </w:r>
      <w:r>
        <w:rPr>
          <w:rFonts w:ascii="仿宋" w:cs="仿宋" w:eastAsia="仿宋" w:hAnsi="仿宋" w:hint="eastAsia"/>
          <w:sz w:val="32"/>
          <w:szCs w:val="32"/>
        </w:rPr>
        <w:t>认真履行职责，做好项目的管理。</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在施工过程中，对因各种原因造成的设计和预算不合理，需要对原设计和预算进行变更调整的，按规定填写设计变更调整单，并由工程施工图纸设计方、工程监理方、施工方和我校在工程设计变更调整单上签字。</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jc w:val="both"/>
        <w:textAlignment w:val="auto"/>
        <w:rPr>
          <w:rFonts w:ascii="仿宋_GB2312" w:eastAsia="仿宋_GB2312" w:hAnsi="黑体" w:hint="eastAsia"/>
          <w:sz w:val="32"/>
          <w:szCs w:val="32"/>
        </w:rPr>
      </w:pPr>
      <w:r>
        <w:rPr>
          <w:rFonts w:ascii="仿宋" w:cs="仿宋" w:eastAsia="仿宋" w:hAnsi="仿宋" w:hint="eastAsia"/>
          <w:sz w:val="32"/>
          <w:szCs w:val="32"/>
          <w:lang w:val="en-US" w:eastAsia="zh-CN"/>
        </w:rPr>
        <w:t xml:space="preserve">   工程竣工后，我校会同相关职能部门、</w:t>
      </w:r>
      <w:r>
        <w:rPr>
          <w:rFonts w:ascii="仿宋" w:cs="仿宋" w:eastAsia="仿宋" w:hAnsi="仿宋" w:hint="eastAsia"/>
          <w:sz w:val="32"/>
          <w:szCs w:val="32"/>
          <w:lang w:eastAsia="zh-CN"/>
        </w:rPr>
        <w:t>工程监理方、施工方对项目工程进行竣工验收，出具竣工验收报告。对竣工交付验收不合格的要求施工方进行整改，整改合格后交相关部门使用。</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（三）项目绩效情况分析</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1.项目经济性分析。</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（1）项目成本（预算）控制情况</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我校严格按照专项资金预算书所列科目使用专项资金，严格控制成本，充分发挥专项资金的使用效益。</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项目成本（预算）节约情况</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 xml:space="preserve">    </w:t>
      </w:r>
      <w:r>
        <w:rPr>
          <w:rFonts w:ascii="仿宋" w:cs="仿宋" w:eastAsia="仿宋" w:hAnsi="仿宋" w:hint="eastAsia"/>
          <w:sz w:val="32"/>
          <w:szCs w:val="32"/>
          <w:lang w:eastAsia="zh-CN"/>
        </w:rPr>
        <w:t>本着节约的原则，从严控制经费支出，力求把专项资金用在刀刃上，项目实施成本基本控制到位，没有出现大的超计划开支现象。</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2.项目的效率性分析</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（1）项目的实施进度</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整体而言，实施情况良好，项目开工率100%，实施进度</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0%，完成及时率</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（1）高考考点经费</w:t>
      </w:r>
      <w:r>
        <w:rPr>
          <w:rFonts w:ascii="仿宋" w:cs="仿宋" w:eastAsia="仿宋" w:hAnsi="仿宋" w:hint="eastAsia"/>
          <w:sz w:val="32"/>
          <w:szCs w:val="32"/>
          <w:lang w:eastAsia="zh-CN"/>
        </w:rPr>
        <w:t>项目开工率100%，实施进度</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0%，完成及时率</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（2）校方责任险</w:t>
      </w:r>
      <w:r>
        <w:rPr>
          <w:rFonts w:ascii="仿宋" w:cs="仿宋" w:eastAsia="仿宋" w:hAnsi="仿宋" w:hint="eastAsia"/>
          <w:sz w:val="32"/>
          <w:szCs w:val="32"/>
          <w:lang w:eastAsia="zh-CN"/>
        </w:rPr>
        <w:t>项目开工率100%，实施进度</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0%，完成及时率</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w:t>
      </w:r>
      <w:r>
        <w:rPr>
          <w:rFonts w:ascii="仿宋" w:cs="仿宋" w:eastAsia="仿宋" w:hAnsi="仿宋" w:hint="eastAsia"/>
          <w:sz w:val="32"/>
          <w:szCs w:val="32"/>
          <w:lang w:val="en-US" w:eastAsia="zh-CN"/>
        </w:rPr>
        <w:t>;</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（3）校园保安费</w:t>
      </w:r>
      <w:r>
        <w:rPr>
          <w:rFonts w:ascii="仿宋" w:cs="仿宋" w:eastAsia="仿宋" w:hAnsi="仿宋" w:hint="eastAsia"/>
          <w:sz w:val="32"/>
          <w:szCs w:val="32"/>
          <w:lang w:eastAsia="zh-CN"/>
        </w:rPr>
        <w:t>项目开工率100%，实施进度</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0%，完成及时率</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w:t>
      </w:r>
      <w:r>
        <w:rPr>
          <w:rFonts w:ascii="仿宋" w:cs="仿宋" w:eastAsia="仿宋" w:hAnsi="仿宋" w:hint="eastAsia"/>
          <w:sz w:val="32"/>
          <w:szCs w:val="32"/>
          <w:lang w:val="en-US" w:eastAsia="zh-CN"/>
        </w:rPr>
        <w:t>;</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（4）学生公寓建设</w:t>
      </w:r>
      <w:r>
        <w:rPr>
          <w:rFonts w:ascii="仿宋" w:cs="仿宋" w:eastAsia="仿宋" w:hAnsi="仿宋" w:hint="eastAsia"/>
          <w:sz w:val="32"/>
          <w:szCs w:val="32"/>
          <w:lang w:eastAsia="zh-CN"/>
        </w:rPr>
        <w:t>项目开工率100%，实施进度</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0%，完成及时率</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w:t>
      </w:r>
      <w:r>
        <w:rPr>
          <w:rFonts w:ascii="仿宋" w:cs="仿宋" w:eastAsia="仿宋" w:hAnsi="仿宋" w:hint="eastAsia"/>
          <w:sz w:val="32"/>
          <w:szCs w:val="32"/>
          <w:lang w:val="en-US" w:eastAsia="zh-CN"/>
        </w:rPr>
        <w:t>；</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val="en-US" w:eastAsia="zh-CN"/>
        </w:rPr>
      </w:pPr>
      <w:r>
        <w:rPr>
          <w:rFonts w:ascii="仿宋" w:cs="仿宋" w:eastAsia="仿宋" w:hAnsi="仿宋" w:hint="eastAsia"/>
          <w:sz w:val="32"/>
          <w:szCs w:val="32"/>
          <w:lang w:val="en-US" w:eastAsia="zh-CN"/>
        </w:rPr>
        <w:t>（5）高压线路改迁</w:t>
      </w:r>
      <w:r>
        <w:rPr>
          <w:rFonts w:ascii="仿宋" w:cs="仿宋" w:eastAsia="仿宋" w:hAnsi="仿宋" w:hint="eastAsia"/>
          <w:sz w:val="32"/>
          <w:szCs w:val="32"/>
          <w:lang w:eastAsia="zh-CN"/>
        </w:rPr>
        <w:t>项目开工率100%，实施进度</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0%，完成及时率</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w:t>
      </w:r>
      <w:r>
        <w:rPr>
          <w:rFonts w:ascii="仿宋" w:cs="仿宋" w:eastAsia="仿宋" w:hAnsi="仿宋" w:hint="eastAsia"/>
          <w:sz w:val="32"/>
          <w:szCs w:val="32"/>
          <w:lang w:val="en-US" w:eastAsia="zh-CN"/>
        </w:rPr>
        <w:t>；</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（6）机器人实验室</w:t>
      </w:r>
      <w:r>
        <w:rPr>
          <w:rFonts w:ascii="仿宋" w:cs="仿宋" w:eastAsia="仿宋" w:hAnsi="仿宋" w:hint="eastAsia"/>
          <w:sz w:val="32"/>
          <w:szCs w:val="32"/>
          <w:lang w:eastAsia="zh-CN"/>
        </w:rPr>
        <w:t>项目开工率100%，实施进度</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0%，完成及时率</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w:t>
      </w:r>
      <w:r>
        <w:rPr>
          <w:rFonts w:ascii="仿宋" w:cs="仿宋" w:eastAsia="仿宋" w:hAnsi="仿宋" w:hint="eastAsia"/>
          <w:sz w:val="32"/>
          <w:szCs w:val="32"/>
          <w:lang w:val="en-US" w:eastAsia="zh-CN"/>
        </w:rPr>
        <w:t>;</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（7）食堂改造及设施购置项目</w:t>
      </w:r>
      <w:r>
        <w:rPr>
          <w:rFonts w:ascii="仿宋" w:cs="仿宋" w:eastAsia="仿宋" w:hAnsi="仿宋" w:hint="eastAsia"/>
          <w:sz w:val="32"/>
          <w:szCs w:val="32"/>
          <w:lang w:eastAsia="zh-CN"/>
        </w:rPr>
        <w:t>项目开工率100%，实施进度</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0%，完成及时率</w:t>
      </w:r>
      <w:r>
        <w:rPr>
          <w:rFonts w:ascii="仿宋" w:cs="仿宋" w:eastAsia="仿宋" w:hAnsi="仿宋" w:hint="eastAsia"/>
          <w:sz w:val="32"/>
          <w:szCs w:val="32"/>
          <w:lang w:val="en-US" w:eastAsia="zh-CN"/>
        </w:rPr>
        <w:t>10</w:t>
      </w:r>
      <w:r>
        <w:rPr>
          <w:rFonts w:ascii="仿宋" w:cs="仿宋" w:eastAsia="仿宋" w:hAnsi="仿宋" w:hint="eastAsia"/>
          <w:sz w:val="32"/>
          <w:szCs w:val="32"/>
          <w:lang w:eastAsia="zh-CN"/>
        </w:rPr>
        <w:t>0%</w:t>
      </w:r>
      <w:r>
        <w:rPr>
          <w:rFonts w:ascii="仿宋" w:cs="仿宋" w:eastAsia="仿宋" w:hAnsi="仿宋" w:hint="eastAsia"/>
          <w:sz w:val="32"/>
          <w:szCs w:val="32"/>
          <w:lang w:val="en-US" w:eastAsia="zh-CN"/>
        </w:rPr>
        <w:t>;</w:t>
      </w:r>
    </w:p>
    <w:p>
      <w:pPr>
        <w:pStyle w:val="style157"/>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32" w:firstLineChars="200"/>
        <w:jc w:val="both"/>
        <w:textAlignment w:val="auto"/>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（8）2021年省级师培</w:t>
      </w:r>
      <w:r>
        <w:rPr>
          <w:rFonts w:ascii="仿宋" w:cs="仿宋" w:eastAsia="仿宋" w:hAnsi="仿宋" w:hint="eastAsia"/>
          <w:color w:val="auto"/>
          <w:sz w:val="32"/>
          <w:szCs w:val="32"/>
          <w:highlight w:val="none"/>
        </w:rPr>
        <w:t>项目开工率100%，实施进度</w:t>
      </w:r>
      <w:r>
        <w:rPr>
          <w:rFonts w:ascii="仿宋" w:cs="仿宋" w:eastAsia="仿宋" w:hAnsi="仿宋" w:hint="eastAsia"/>
          <w:color w:val="auto"/>
          <w:sz w:val="32"/>
          <w:szCs w:val="32"/>
          <w:highlight w:val="none"/>
          <w:lang w:val="en-US" w:eastAsia="zh-CN"/>
        </w:rPr>
        <w:t>10</w:t>
      </w:r>
      <w:r>
        <w:rPr>
          <w:rFonts w:ascii="仿宋" w:cs="仿宋" w:eastAsia="仿宋" w:hAnsi="仿宋" w:hint="eastAsia"/>
          <w:color w:val="auto"/>
          <w:sz w:val="32"/>
          <w:szCs w:val="32"/>
          <w:highlight w:val="none"/>
        </w:rPr>
        <w:t>0%，完成及时率</w:t>
      </w:r>
      <w:r>
        <w:rPr>
          <w:rFonts w:ascii="仿宋" w:cs="仿宋" w:eastAsia="仿宋" w:hAnsi="仿宋" w:hint="eastAsia"/>
          <w:color w:val="auto"/>
          <w:sz w:val="32"/>
          <w:szCs w:val="32"/>
          <w:highlight w:val="none"/>
          <w:lang w:val="en-US" w:eastAsia="zh-CN"/>
        </w:rPr>
        <w:t>10</w:t>
      </w:r>
      <w:r>
        <w:rPr>
          <w:rFonts w:ascii="仿宋" w:cs="仿宋" w:eastAsia="仿宋" w:hAnsi="仿宋" w:hint="eastAsia"/>
          <w:color w:val="auto"/>
          <w:sz w:val="32"/>
          <w:szCs w:val="32"/>
          <w:highlight w:val="none"/>
        </w:rPr>
        <w:t>0%</w:t>
      </w:r>
      <w:r>
        <w:rPr>
          <w:rFonts w:ascii="仿宋" w:cs="仿宋" w:eastAsia="仿宋" w:hAnsi="仿宋" w:hint="eastAsia"/>
          <w:color w:val="auto"/>
          <w:sz w:val="32"/>
          <w:szCs w:val="32"/>
          <w:highlight w:val="none"/>
          <w:lang w:eastAsia="zh-CN"/>
        </w:rPr>
        <w:t>；</w:t>
      </w:r>
    </w:p>
    <w:p>
      <w:pPr>
        <w:pStyle w:val="style157"/>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32" w:firstLineChars="200"/>
        <w:jc w:val="both"/>
        <w:textAlignment w:val="auto"/>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t>（9）两馆及周边附属设施维修改造项目</w:t>
      </w:r>
      <w:r>
        <w:rPr>
          <w:rFonts w:ascii="仿宋" w:cs="仿宋" w:eastAsia="仿宋" w:hAnsi="仿宋" w:hint="eastAsia"/>
          <w:color w:val="auto"/>
          <w:sz w:val="32"/>
          <w:szCs w:val="32"/>
          <w:highlight w:val="none"/>
        </w:rPr>
        <w:t>项目开工率100%，实施进度</w:t>
      </w:r>
      <w:r>
        <w:rPr>
          <w:rFonts w:ascii="仿宋" w:cs="仿宋" w:eastAsia="仿宋" w:hAnsi="仿宋" w:hint="eastAsia"/>
          <w:color w:val="auto"/>
          <w:sz w:val="32"/>
          <w:szCs w:val="32"/>
          <w:highlight w:val="none"/>
          <w:lang w:val="en-US" w:eastAsia="zh-CN"/>
        </w:rPr>
        <w:t>10</w:t>
      </w:r>
      <w:r>
        <w:rPr>
          <w:rFonts w:ascii="仿宋" w:cs="仿宋" w:eastAsia="仿宋" w:hAnsi="仿宋" w:hint="eastAsia"/>
          <w:color w:val="auto"/>
          <w:sz w:val="32"/>
          <w:szCs w:val="32"/>
          <w:highlight w:val="none"/>
        </w:rPr>
        <w:t>0%，完成及时率</w:t>
      </w:r>
      <w:r>
        <w:rPr>
          <w:rFonts w:ascii="仿宋" w:cs="仿宋" w:eastAsia="仿宋" w:hAnsi="仿宋" w:hint="eastAsia"/>
          <w:color w:val="auto"/>
          <w:sz w:val="32"/>
          <w:szCs w:val="32"/>
          <w:highlight w:val="none"/>
          <w:lang w:val="en-US" w:eastAsia="zh-CN"/>
        </w:rPr>
        <w:t>10</w:t>
      </w:r>
      <w:r>
        <w:rPr>
          <w:rFonts w:ascii="仿宋" w:cs="仿宋" w:eastAsia="仿宋" w:hAnsi="仿宋" w:hint="eastAsia"/>
          <w:color w:val="auto"/>
          <w:sz w:val="32"/>
          <w:szCs w:val="32"/>
          <w:highlight w:val="none"/>
        </w:rPr>
        <w:t>0%</w:t>
      </w:r>
      <w:r>
        <w:rPr>
          <w:rFonts w:ascii="仿宋" w:cs="仿宋" w:eastAsia="仿宋" w:hAnsi="仿宋" w:hint="eastAsia"/>
          <w:color w:val="auto"/>
          <w:sz w:val="32"/>
          <w:szCs w:val="32"/>
          <w:highlight w:val="none"/>
          <w:lang w:eastAsia="zh-CN"/>
        </w:rPr>
        <w:t>。</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w:t>
      </w:r>
      <w:r>
        <w:rPr>
          <w:rFonts w:ascii="仿宋" w:cs="仿宋" w:eastAsia="仿宋" w:hAnsi="仿宋" w:hint="eastAsia"/>
          <w:sz w:val="32"/>
          <w:szCs w:val="32"/>
          <w:lang w:val="en-US" w:eastAsia="zh-CN"/>
        </w:rPr>
        <w:t>2）</w:t>
      </w:r>
      <w:r>
        <w:rPr>
          <w:rFonts w:ascii="仿宋" w:cs="仿宋" w:eastAsia="仿宋" w:hAnsi="仿宋" w:hint="eastAsia"/>
          <w:sz w:val="32"/>
          <w:szCs w:val="32"/>
          <w:lang w:eastAsia="zh-CN"/>
        </w:rPr>
        <w:t>项目完成质量</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（1）高考考点经费保证了2021年高考怀铁一中考点的顺利实施</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default"/>
          <w:sz w:val="32"/>
          <w:szCs w:val="32"/>
          <w:lang w:val="en-US" w:eastAsia="zh-CN"/>
        </w:rPr>
      </w:pPr>
      <w:r>
        <w:rPr>
          <w:rFonts w:ascii="仿宋" w:cs="仿宋" w:eastAsia="仿宋" w:hAnsi="仿宋" w:hint="eastAsia"/>
          <w:sz w:val="32"/>
          <w:szCs w:val="32"/>
          <w:lang w:val="en-US" w:eastAsia="zh-CN"/>
        </w:rPr>
        <w:t>（2）校方责任险和校园保安费项目保障了全校师生的生命财产安全，维护了学校正常教学秩序</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val="en-US" w:eastAsia="zh-CN"/>
        </w:rPr>
        <w:t>（3）学生公寓建设、高压线路改迁、机器人实验室、食堂改造及设施购置项目、两馆及周边附属设施维修改造项目等项目的实施，改善的学校的办学条件和校园环境，有利于教师安心教学，学生安心听课、学习，提高了学习效率，提高了升学率和成材率。</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3.项目的效益性分析</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（1）项目预期目标完成程度</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highlight w:val="none"/>
          <w:lang w:eastAsia="zh-CN"/>
        </w:rPr>
        <w:t>通过专项工程的实施，改善了校园环境，达到了改善办学条件目标，确保了怀化市铁路第一中学的教学秩序的正常运转，杜绝了因校园环境原因而休学、转学现象的发生。学校赢得良好社会声誉，办学效益进一步提高。</w:t>
      </w:r>
      <w:r>
        <w:rPr>
          <w:rFonts w:ascii="仿宋" w:cs="仿宋" w:eastAsia="仿宋" w:hAnsi="仿宋" w:hint="eastAsia"/>
          <w:sz w:val="32"/>
          <w:szCs w:val="32"/>
          <w:lang w:eastAsia="zh-CN"/>
        </w:rPr>
        <w:t>经济和社会效益达到预期目标。</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val="en-US" w:eastAsia="zh-CN"/>
        </w:rPr>
      </w:pPr>
      <w:r>
        <w:rPr>
          <w:rFonts w:ascii="仿宋" w:cs="仿宋" w:eastAsia="仿宋" w:hAnsi="仿宋" w:hint="eastAsia"/>
          <w:sz w:val="32"/>
          <w:szCs w:val="32"/>
          <w:lang w:eastAsia="zh-CN"/>
        </w:rPr>
        <w:t>（2）项目实施对经济和社会的影响</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通过专项工程的实施，校园布局规范，功能分区合理，楼群呼应，樟桂成荫，墙能说话，花草赋诗，自然景观与人文景观水乳交融，特色独具。</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sz w:val="32"/>
          <w:szCs w:val="32"/>
          <w:lang w:eastAsia="zh-CN"/>
        </w:rPr>
      </w:pPr>
      <w:r>
        <w:rPr>
          <w:rFonts w:ascii="仿宋" w:cs="仿宋" w:eastAsia="仿宋" w:hAnsi="仿宋" w:hint="eastAsia"/>
          <w:sz w:val="32"/>
          <w:szCs w:val="32"/>
          <w:lang w:eastAsia="zh-CN"/>
        </w:rPr>
        <w:t>教研教改工作求真求新，课题研究再结硕果。</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360"/>
        <w:ind w:firstLine="640" w:firstLineChars="200"/>
        <w:jc w:val="both"/>
        <w:textAlignment w:val="auto"/>
        <w:rPr>
          <w:rFonts w:ascii="仿宋_GB2312" w:eastAsia="仿宋" w:hAnsi="黑体" w:hint="eastAsia"/>
          <w:sz w:val="32"/>
          <w:szCs w:val="32"/>
          <w:lang w:eastAsia="zh-CN"/>
        </w:rPr>
      </w:pPr>
      <w:r>
        <w:rPr>
          <w:rFonts w:ascii="仿宋" w:cs="仿宋" w:eastAsia="仿宋" w:hAnsi="仿宋" w:hint="eastAsia"/>
          <w:sz w:val="32"/>
          <w:szCs w:val="32"/>
          <w:lang w:eastAsia="zh-CN"/>
        </w:rPr>
        <w:t>加强了队伍建设，打造师生成长平台；大兴校园文化，构建核心价值体系；建设特色名片，完美铁一品牌形象；基础建设加大</w:t>
      </w:r>
      <w:r>
        <w:rPr>
          <w:rFonts w:ascii="仿宋" w:cs="仿宋" w:eastAsia="仿宋" w:hAnsi="仿宋" w:hint="eastAsia"/>
          <w:sz w:val="30"/>
          <w:szCs w:val="30"/>
        </w:rPr>
        <w:t>投入，办学实力逐步增强</w:t>
      </w:r>
      <w:r>
        <w:rPr>
          <w:rFonts w:ascii="仿宋" w:cs="仿宋" w:eastAsia="仿宋" w:hAnsi="仿宋" w:hint="eastAsia"/>
          <w:sz w:val="30"/>
          <w:szCs w:val="30"/>
          <w:lang w:eastAsia="zh-CN"/>
        </w:rPr>
        <w:t>。</w:t>
      </w:r>
    </w:p>
    <w:p>
      <w:pPr>
        <w:pStyle w:val="style0"/>
        <w:keepNext w:val="false"/>
        <w:keepLines w:val="false"/>
        <w:pageBreakBefore w:val="false"/>
        <w:numPr>
          <w:ilvl w:val="0"/>
          <w:numId w:val="6"/>
        </w:numPr>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b/>
          <w:bCs/>
          <w:sz w:val="32"/>
          <w:szCs w:val="32"/>
        </w:rPr>
      </w:pPr>
      <w:r>
        <w:rPr>
          <w:rFonts w:ascii="仿宋" w:cs="仿宋" w:eastAsia="仿宋" w:hAnsi="仿宋" w:hint="eastAsia"/>
          <w:b/>
          <w:bCs/>
          <w:sz w:val="32"/>
          <w:szCs w:val="32"/>
        </w:rPr>
        <w:t>综合评价情况及评价结论（附相关评分表）。</w:t>
      </w:r>
    </w:p>
    <w:p>
      <w:pPr>
        <w:pStyle w:val="style67"/>
        <w:spacing w:after="0" w:lineRule="exact" w:line="600"/>
        <w:ind w:firstLine="640"/>
        <w:rPr>
          <w:rFonts w:ascii="仿宋" w:cs="仿宋" w:eastAsia="仿宋" w:hAnsi="仿宋" w:hint="eastAsia"/>
          <w:sz w:val="32"/>
          <w:szCs w:val="32"/>
          <w:lang w:eastAsia="zh-CN"/>
        </w:rPr>
      </w:pPr>
      <w:r>
        <w:rPr>
          <w:rFonts w:ascii="仿宋" w:cs="仿宋" w:eastAsia="仿宋" w:hAnsi="仿宋" w:hint="eastAsia"/>
          <w:color w:val="auto"/>
          <w:sz w:val="32"/>
          <w:szCs w:val="32"/>
          <w:highlight w:val="none"/>
        </w:rPr>
        <w:t>20</w:t>
      </w:r>
      <w:r>
        <w:rPr>
          <w:rFonts w:ascii="仿宋" w:cs="仿宋" w:eastAsia="仿宋" w:hAnsi="仿宋" w:hint="eastAsia"/>
          <w:color w:val="auto"/>
          <w:sz w:val="32"/>
          <w:szCs w:val="32"/>
          <w:highlight w:val="none"/>
          <w:lang w:val="en-US" w:eastAsia="zh-CN"/>
        </w:rPr>
        <w:t>21</w:t>
      </w:r>
      <w:r>
        <w:rPr>
          <w:rFonts w:ascii="仿宋" w:cs="仿宋" w:eastAsia="仿宋" w:hAnsi="仿宋" w:hint="eastAsia"/>
          <w:color w:val="auto"/>
          <w:sz w:val="32"/>
          <w:szCs w:val="32"/>
          <w:highlight w:val="none"/>
        </w:rPr>
        <w:t>年度</w:t>
      </w:r>
      <w:r>
        <w:rPr>
          <w:rFonts w:ascii="仿宋" w:cs="仿宋" w:eastAsia="仿宋" w:hAnsi="仿宋" w:hint="eastAsia"/>
          <w:color w:val="auto"/>
          <w:kern w:val="0"/>
          <w:sz w:val="32"/>
          <w:szCs w:val="32"/>
          <w:highlight w:val="none"/>
        </w:rPr>
        <w:t>专项资金</w:t>
      </w:r>
      <w:r>
        <w:rPr>
          <w:rFonts w:ascii="仿宋" w:cs="仿宋" w:eastAsia="仿宋" w:hAnsi="仿宋" w:hint="eastAsia"/>
          <w:color w:val="auto"/>
          <w:sz w:val="32"/>
          <w:szCs w:val="32"/>
          <w:highlight w:val="none"/>
        </w:rPr>
        <w:t>项目</w:t>
      </w:r>
      <w:r>
        <w:rPr>
          <w:rFonts w:ascii="仿宋" w:cs="仿宋" w:eastAsia="仿宋" w:hAnsi="仿宋" w:hint="eastAsia"/>
          <w:color w:val="auto"/>
          <w:sz w:val="32"/>
          <w:szCs w:val="32"/>
          <w:highlight w:val="none"/>
          <w:lang w:eastAsia="zh-CN"/>
        </w:rPr>
        <w:t>实</w:t>
      </w:r>
      <w:r>
        <w:rPr>
          <w:rFonts w:ascii="仿宋" w:cs="仿宋" w:eastAsia="仿宋" w:hAnsi="仿宋" w:hint="eastAsia"/>
          <w:color w:val="auto"/>
          <w:sz w:val="32"/>
          <w:szCs w:val="32"/>
          <w:highlight w:val="none"/>
        </w:rPr>
        <w:t>施情况总体良好，对提</w:t>
      </w:r>
      <w:r>
        <w:rPr>
          <w:rFonts w:ascii="仿宋" w:cs="仿宋" w:eastAsia="仿宋" w:hAnsi="仿宋" w:hint="eastAsia"/>
          <w:color w:val="auto"/>
          <w:sz w:val="32"/>
          <w:szCs w:val="32"/>
          <w:highlight w:val="none"/>
          <w:lang w:eastAsia="zh-CN"/>
        </w:rPr>
        <w:t>升我校校园</w:t>
      </w:r>
      <w:r>
        <w:rPr>
          <w:rFonts w:ascii="仿宋" w:cs="仿宋" w:eastAsia="仿宋" w:hAnsi="仿宋" w:hint="eastAsia"/>
          <w:color w:val="auto"/>
          <w:sz w:val="32"/>
          <w:szCs w:val="32"/>
          <w:highlight w:val="none"/>
          <w:lang w:val="en-US" w:eastAsia="zh-CN"/>
        </w:rPr>
        <w:t>软</w:t>
      </w:r>
      <w:r>
        <w:rPr>
          <w:rFonts w:ascii="仿宋" w:cs="仿宋" w:eastAsia="仿宋" w:hAnsi="仿宋" w:hint="eastAsia"/>
          <w:color w:val="auto"/>
          <w:sz w:val="32"/>
          <w:szCs w:val="32"/>
          <w:highlight w:val="none"/>
          <w:lang w:eastAsia="zh-CN"/>
        </w:rPr>
        <w:t>硬件环境</w:t>
      </w:r>
      <w:r>
        <w:rPr>
          <w:rFonts w:ascii="仿宋" w:cs="仿宋" w:eastAsia="仿宋" w:hAnsi="仿宋" w:hint="eastAsia"/>
          <w:color w:val="auto"/>
          <w:sz w:val="32"/>
          <w:szCs w:val="32"/>
          <w:highlight w:val="none"/>
        </w:rPr>
        <w:t>起到了积极的作用。</w:t>
      </w:r>
      <w:r>
        <w:rPr>
          <w:rFonts w:ascii="仿宋" w:cs="仿宋" w:eastAsia="仿宋" w:hAnsi="仿宋" w:hint="eastAsia"/>
          <w:color w:val="auto"/>
          <w:sz w:val="32"/>
          <w:szCs w:val="32"/>
          <w:highlight w:val="none"/>
          <w:lang w:eastAsia="zh-CN"/>
        </w:rPr>
        <w:t>校园</w:t>
      </w:r>
      <w:r>
        <w:rPr>
          <w:rFonts w:ascii="仿宋" w:cs="仿宋" w:eastAsia="仿宋" w:hAnsi="仿宋" w:hint="eastAsia"/>
          <w:color w:val="auto"/>
          <w:sz w:val="32"/>
          <w:szCs w:val="32"/>
          <w:highlight w:val="none"/>
          <w:lang w:val="en-US" w:eastAsia="zh-CN"/>
        </w:rPr>
        <w:t>软</w:t>
      </w:r>
      <w:r>
        <w:rPr>
          <w:rFonts w:ascii="仿宋" w:cs="仿宋" w:eastAsia="仿宋" w:hAnsi="仿宋" w:hint="eastAsia"/>
          <w:color w:val="auto"/>
          <w:sz w:val="32"/>
          <w:szCs w:val="32"/>
          <w:highlight w:val="none"/>
          <w:lang w:eastAsia="zh-CN"/>
        </w:rPr>
        <w:t>硬件环境的改善，使得我校教师能够心无旁骛地开展教研工作，</w:t>
      </w:r>
      <w:r>
        <w:rPr>
          <w:rFonts w:ascii="仿宋" w:cs="仿宋" w:eastAsia="仿宋" w:hAnsi="仿宋" w:hint="eastAsia"/>
          <w:color w:val="333333"/>
          <w:sz w:val="32"/>
          <w:szCs w:val="32"/>
        </w:rPr>
        <w:t>组织教育教学、科学研究活动，保证教育教学质量，培养德、智、体、美等全面发展的学生</w:t>
      </w:r>
      <w:r>
        <w:rPr>
          <w:rFonts w:ascii="仿宋" w:cs="仿宋" w:eastAsia="仿宋" w:hAnsi="仿宋" w:hint="eastAsia"/>
          <w:color w:val="333333"/>
          <w:sz w:val="32"/>
          <w:szCs w:val="32"/>
          <w:lang w:eastAsia="zh-CN"/>
        </w:rPr>
        <w:t>；</w:t>
      </w:r>
      <w:r>
        <w:rPr>
          <w:rFonts w:ascii="仿宋" w:cs="仿宋" w:eastAsia="仿宋" w:hAnsi="仿宋" w:hint="eastAsia"/>
          <w:b w:val="false"/>
          <w:bCs/>
          <w:sz w:val="32"/>
          <w:szCs w:val="32"/>
        </w:rPr>
        <w:t>教研教改工作求真求新，课题研究再结硕果</w:t>
      </w:r>
      <w:r>
        <w:rPr>
          <w:rFonts w:ascii="仿宋" w:cs="仿宋" w:eastAsia="仿宋" w:hAnsi="仿宋" w:hint="eastAsia"/>
          <w:b w:val="false"/>
          <w:bCs/>
          <w:sz w:val="32"/>
          <w:szCs w:val="32"/>
          <w:lang w:eastAsia="zh-CN"/>
        </w:rPr>
        <w:t>。学生们有了更好的学习环境，有助于学习成绩的提高。</w:t>
      </w:r>
    </w:p>
    <w:p>
      <w:pPr>
        <w:pStyle w:val="style0"/>
        <w:keepNext w:val="false"/>
        <w:keepLines w:val="false"/>
        <w:pageBreakBefore w:val="false"/>
        <w:numPr>
          <w:ilvl w:val="0"/>
          <w:numId w:val="6"/>
        </w:numPr>
        <w:kinsoku/>
        <w:wordWrap/>
        <w:overflowPunct/>
        <w:topLinePunct w:val="false"/>
        <w:autoSpaceDE/>
        <w:autoSpaceDN/>
        <w:bidi w:val="false"/>
        <w:adjustRightInd/>
        <w:snapToGrid/>
        <w:spacing w:lineRule="auto" w:line="360"/>
        <w:ind w:left="0" w:leftChars="0" w:firstLine="640" w:firstLineChars="200"/>
        <w:jc w:val="both"/>
        <w:textAlignment w:val="auto"/>
        <w:rPr>
          <w:rFonts w:ascii="仿宋" w:cs="仿宋" w:eastAsia="仿宋" w:hAnsi="仿宋" w:hint="eastAsia"/>
          <w:b/>
          <w:bCs/>
          <w:sz w:val="32"/>
          <w:szCs w:val="32"/>
        </w:rPr>
      </w:pPr>
      <w:r>
        <w:rPr>
          <w:rFonts w:ascii="仿宋" w:cs="仿宋" w:eastAsia="仿宋" w:hAnsi="仿宋" w:hint="eastAsia"/>
          <w:b/>
          <w:bCs/>
          <w:sz w:val="32"/>
          <w:szCs w:val="32"/>
        </w:rPr>
        <w:t>绩效评价结果应用建议（以后年度预算安排、评价结果公开等）。</w:t>
      </w:r>
    </w:p>
    <w:p>
      <w:pPr>
        <w:pStyle w:val="style157"/>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0" w:firstLineChars="200"/>
        <w:jc w:val="both"/>
        <w:textAlignment w:val="auto"/>
        <w:rPr>
          <w:rFonts w:ascii="仿宋" w:cs="仿宋" w:eastAsia="仿宋" w:hAnsi="仿宋" w:hint="eastAsia"/>
          <w:b/>
          <w:bCs/>
          <w:sz w:val="32"/>
          <w:szCs w:val="32"/>
          <w:lang w:val="en-US" w:eastAsia="zh-CN"/>
        </w:rPr>
      </w:pPr>
      <w:r>
        <w:rPr>
          <w:rFonts w:ascii="仿宋" w:cs="仿宋" w:eastAsia="仿宋" w:hAnsi="仿宋" w:hint="eastAsia"/>
          <w:color w:val="auto"/>
          <w:sz w:val="32"/>
          <w:szCs w:val="32"/>
          <w:highlight w:val="none"/>
        </w:rPr>
        <w:t>进一步提高</w:t>
      </w:r>
      <w:r>
        <w:rPr>
          <w:rFonts w:ascii="仿宋" w:cs="仿宋" w:eastAsia="仿宋" w:hAnsi="仿宋" w:hint="eastAsia"/>
          <w:color w:val="auto"/>
          <w:sz w:val="32"/>
          <w:szCs w:val="32"/>
          <w:highlight w:val="none"/>
          <w:lang w:eastAsia="zh-CN"/>
        </w:rPr>
        <w:t>专项</w:t>
      </w:r>
      <w:r>
        <w:rPr>
          <w:rFonts w:ascii="仿宋" w:cs="仿宋" w:eastAsia="仿宋" w:hAnsi="仿宋" w:hint="eastAsia"/>
          <w:color w:val="auto"/>
          <w:sz w:val="32"/>
          <w:szCs w:val="32"/>
          <w:highlight w:val="none"/>
        </w:rPr>
        <w:t>资金使用绩效，充分发挥引导杠杆作用，</w:t>
      </w:r>
      <w:r>
        <w:rPr>
          <w:rFonts w:ascii="仿宋" w:cs="仿宋" w:eastAsia="仿宋" w:hAnsi="仿宋" w:hint="eastAsia"/>
          <w:color w:val="auto"/>
          <w:sz w:val="32"/>
          <w:szCs w:val="32"/>
          <w:highlight w:val="none"/>
          <w:lang w:eastAsia="zh-CN"/>
        </w:rPr>
        <w:t>提升我校的办学水平</w:t>
      </w:r>
      <w:r>
        <w:rPr>
          <w:rFonts w:ascii="仿宋" w:cs="仿宋" w:eastAsia="仿宋" w:hAnsi="仿宋" w:hint="eastAsia"/>
          <w:color w:val="auto"/>
          <w:sz w:val="32"/>
          <w:szCs w:val="32"/>
          <w:highlight w:val="none"/>
        </w:rPr>
        <w:t>。</w:t>
      </w:r>
      <w:r>
        <w:rPr>
          <w:rFonts w:ascii="仿宋" w:cs="仿宋" w:eastAsia="仿宋" w:hAnsi="仿宋" w:hint="eastAsia"/>
          <w:color w:val="auto"/>
          <w:sz w:val="32"/>
          <w:szCs w:val="32"/>
          <w:highlight w:val="none"/>
          <w:lang w:eastAsia="zh-CN"/>
        </w:rPr>
        <w:t>为把怀化建设成为教育强市贡献一份力量。</w:t>
      </w:r>
    </w:p>
    <w:p>
      <w:pPr>
        <w:pStyle w:val="style0"/>
        <w:keepNext w:val="false"/>
        <w:keepLines w:val="false"/>
        <w:pageBreakBefore w:val="false"/>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b/>
          <w:bCs/>
          <w:sz w:val="32"/>
          <w:szCs w:val="32"/>
        </w:rPr>
      </w:pPr>
      <w:r>
        <w:rPr>
          <w:rFonts w:ascii="仿宋" w:cs="仿宋" w:eastAsia="仿宋" w:hAnsi="仿宋" w:hint="eastAsia"/>
          <w:b/>
          <w:bCs/>
          <w:sz w:val="32"/>
          <w:szCs w:val="32"/>
          <w:lang w:eastAsia="zh-CN"/>
        </w:rPr>
        <w:t>六</w:t>
      </w:r>
      <w:r>
        <w:rPr>
          <w:rFonts w:ascii="仿宋" w:cs="仿宋" w:eastAsia="仿宋" w:hAnsi="仿宋" w:hint="eastAsia"/>
          <w:b/>
          <w:bCs/>
          <w:sz w:val="32"/>
          <w:szCs w:val="32"/>
        </w:rPr>
        <w:t>、主要经验及做法、存在的问题和建议</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27" w:firstLineChars="196"/>
        <w:jc w:val="both"/>
        <w:textAlignment w:val="auto"/>
        <w:rPr>
          <w:rFonts w:ascii="仿宋" w:cs="仿宋" w:eastAsia="仿宋" w:hAnsi="仿宋" w:hint="eastAsia"/>
          <w:b/>
          <w:color w:val="auto"/>
          <w:kern w:val="10"/>
          <w:sz w:val="32"/>
          <w:szCs w:val="32"/>
          <w:highlight w:val="none"/>
        </w:rPr>
      </w:pPr>
      <w:r>
        <w:rPr>
          <w:rFonts w:ascii="仿宋" w:cs="仿宋" w:eastAsia="仿宋" w:hAnsi="仿宋" w:hint="eastAsia"/>
          <w:b/>
          <w:color w:val="auto"/>
          <w:kern w:val="10"/>
          <w:sz w:val="32"/>
          <w:szCs w:val="32"/>
          <w:highlight w:val="none"/>
        </w:rPr>
        <w:t>（一）主要经验和做法</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27" w:firstLineChars="196"/>
        <w:jc w:val="both"/>
        <w:textAlignment w:val="auto"/>
        <w:rPr>
          <w:rFonts w:ascii="仿宋" w:cs="仿宋" w:eastAsia="仿宋" w:hAnsi="仿宋" w:hint="eastAsia"/>
          <w:b/>
          <w:color w:val="auto"/>
          <w:sz w:val="32"/>
          <w:szCs w:val="32"/>
          <w:highlight w:val="none"/>
        </w:rPr>
      </w:pPr>
      <w:r>
        <w:rPr>
          <w:rFonts w:ascii="仿宋" w:cs="仿宋" w:eastAsia="仿宋" w:hAnsi="仿宋" w:hint="eastAsia"/>
          <w:b/>
          <w:color w:val="auto"/>
          <w:sz w:val="32"/>
          <w:szCs w:val="32"/>
          <w:highlight w:val="none"/>
          <w:lang w:val="en-US" w:eastAsia="zh-CN"/>
        </w:rPr>
        <w:t>1.</w:t>
      </w:r>
      <w:r>
        <w:rPr>
          <w:rFonts w:ascii="仿宋" w:cs="仿宋" w:eastAsia="仿宋" w:hAnsi="仿宋" w:hint="eastAsia"/>
          <w:b/>
          <w:color w:val="auto"/>
          <w:sz w:val="32"/>
          <w:szCs w:val="32"/>
          <w:highlight w:val="none"/>
        </w:rPr>
        <w:t>明确目标定位</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27" w:firstLineChars="196"/>
        <w:jc w:val="both"/>
        <w:textAlignment w:val="auto"/>
        <w:rPr>
          <w:rFonts w:ascii="仿宋" w:cs="仿宋" w:eastAsia="仿宋" w:hAnsi="仿宋" w:hint="eastAsia"/>
          <w:color w:val="auto"/>
          <w:sz w:val="32"/>
          <w:szCs w:val="32"/>
          <w:highlight w:val="none"/>
        </w:rPr>
      </w:pPr>
      <w:r>
        <w:rPr>
          <w:rFonts w:ascii="仿宋" w:cs="仿宋" w:eastAsia="仿宋" w:hAnsi="仿宋" w:hint="eastAsia"/>
          <w:sz w:val="32"/>
          <w:szCs w:val="32"/>
          <w:lang w:eastAsia="zh-CN"/>
        </w:rPr>
        <w:t>我校紧紧围绕怀化市“一极两带”、“一个中心、四个怀化”发展战略布局</w:t>
      </w:r>
      <w:r>
        <w:rPr>
          <w:rFonts w:ascii="宋体" w:eastAsia="宋体" w:hAnsi="宋体" w:hint="eastAsia"/>
          <w:szCs w:val="28"/>
          <w:lang w:eastAsia="zh-CN"/>
        </w:rPr>
        <w:t>，</w:t>
      </w:r>
      <w:r>
        <w:rPr>
          <w:rFonts w:ascii="仿宋" w:cs="仿宋" w:eastAsia="仿宋" w:hAnsi="仿宋" w:hint="eastAsia"/>
          <w:sz w:val="32"/>
          <w:szCs w:val="32"/>
          <w:lang w:eastAsia="zh-CN"/>
        </w:rPr>
        <w:t>按照“党建为纲，创新生机和谐; 德育为先，落实立德树人; 质量为重，推进内涵发展; 特色为要，突破发展瓶颈; 建设为基，改善办学条件”的发展思路，明确专项资金的使用方向，</w:t>
      </w:r>
      <w:r>
        <w:rPr>
          <w:rFonts w:ascii="仿宋" w:cs="仿宋" w:eastAsia="仿宋" w:hAnsi="仿宋" w:hint="eastAsia"/>
          <w:color w:val="auto"/>
          <w:sz w:val="32"/>
          <w:szCs w:val="32"/>
          <w:highlight w:val="none"/>
        </w:rPr>
        <w:t>注重经济社会效益，加强对</w:t>
      </w:r>
      <w:r>
        <w:rPr>
          <w:rFonts w:ascii="仿宋" w:cs="仿宋" w:eastAsia="仿宋" w:hAnsi="仿宋" w:hint="eastAsia"/>
          <w:color w:val="auto"/>
          <w:sz w:val="32"/>
          <w:szCs w:val="32"/>
          <w:highlight w:val="none"/>
          <w:lang w:eastAsia="zh-CN"/>
        </w:rPr>
        <w:t>项目</w:t>
      </w:r>
      <w:r>
        <w:rPr>
          <w:rFonts w:ascii="仿宋" w:cs="仿宋" w:eastAsia="仿宋" w:hAnsi="仿宋" w:hint="eastAsia"/>
          <w:color w:val="auto"/>
          <w:sz w:val="32"/>
          <w:szCs w:val="32"/>
          <w:highlight w:val="none"/>
        </w:rPr>
        <w:t>的预期评估和任务目标可行性评价，降低专项资金使用风险。</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right="0" w:rightChars="0" w:firstLine="640" w:firstLineChars="200"/>
        <w:jc w:val="both"/>
        <w:textAlignment w:val="auto"/>
        <w:rPr>
          <w:rFonts w:ascii="仿宋" w:cs="仿宋" w:eastAsia="仿宋" w:hAnsi="仿宋" w:hint="eastAsia"/>
          <w:b/>
          <w:color w:val="auto"/>
          <w:sz w:val="32"/>
          <w:szCs w:val="32"/>
          <w:highlight w:val="none"/>
        </w:rPr>
      </w:pPr>
      <w:r>
        <w:rPr>
          <w:rFonts w:ascii="仿宋" w:cs="仿宋" w:eastAsia="仿宋" w:hAnsi="仿宋" w:hint="eastAsia"/>
          <w:b/>
          <w:color w:val="auto"/>
          <w:sz w:val="32"/>
          <w:szCs w:val="32"/>
          <w:highlight w:val="none"/>
          <w:lang w:val="en-US" w:eastAsia="zh-CN"/>
        </w:rPr>
        <w:t>2.</w:t>
      </w:r>
      <w:r>
        <w:rPr>
          <w:rFonts w:ascii="仿宋" w:cs="仿宋" w:eastAsia="仿宋" w:hAnsi="仿宋" w:hint="eastAsia"/>
          <w:b/>
          <w:color w:val="auto"/>
          <w:sz w:val="32"/>
          <w:szCs w:val="32"/>
          <w:highlight w:val="none"/>
        </w:rPr>
        <w:t>加强合同管理</w:t>
      </w:r>
    </w:p>
    <w:p>
      <w:pPr>
        <w:pStyle w:val="style0"/>
        <w:keepNext w:val="false"/>
        <w:keepLines w:val="false"/>
        <w:pageBreakBefore w:val="false"/>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color w:val="auto"/>
          <w:sz w:val="32"/>
          <w:szCs w:val="32"/>
          <w:highlight w:val="none"/>
        </w:rPr>
      </w:pPr>
      <w:r>
        <w:rPr>
          <w:rFonts w:ascii="仿宋" w:cs="仿宋" w:eastAsia="仿宋" w:hAnsi="仿宋" w:hint="eastAsia"/>
          <w:color w:val="auto"/>
          <w:sz w:val="32"/>
          <w:szCs w:val="32"/>
          <w:highlight w:val="none"/>
        </w:rPr>
        <w:t>我</w:t>
      </w:r>
      <w:r>
        <w:rPr>
          <w:rFonts w:ascii="仿宋" w:cs="仿宋" w:eastAsia="仿宋" w:hAnsi="仿宋" w:hint="eastAsia"/>
          <w:color w:val="auto"/>
          <w:sz w:val="32"/>
          <w:szCs w:val="32"/>
          <w:highlight w:val="none"/>
          <w:lang w:eastAsia="zh-CN"/>
        </w:rPr>
        <w:t>校</w:t>
      </w:r>
      <w:r>
        <w:rPr>
          <w:rFonts w:ascii="仿宋" w:cs="仿宋" w:eastAsia="仿宋" w:hAnsi="仿宋" w:hint="eastAsia"/>
          <w:color w:val="auto"/>
          <w:sz w:val="32"/>
          <w:szCs w:val="32"/>
          <w:highlight w:val="none"/>
        </w:rPr>
        <w:t>与各个项目</w:t>
      </w:r>
      <w:r>
        <w:rPr>
          <w:rFonts w:ascii="仿宋" w:cs="仿宋" w:eastAsia="仿宋" w:hAnsi="仿宋" w:hint="eastAsia"/>
          <w:color w:val="auto"/>
          <w:sz w:val="32"/>
          <w:szCs w:val="32"/>
          <w:highlight w:val="none"/>
          <w:lang w:eastAsia="zh-CN"/>
        </w:rPr>
        <w:t>承建</w:t>
      </w:r>
      <w:r>
        <w:rPr>
          <w:rFonts w:ascii="仿宋" w:cs="仿宋" w:eastAsia="仿宋" w:hAnsi="仿宋" w:hint="eastAsia"/>
          <w:color w:val="auto"/>
          <w:sz w:val="32"/>
          <w:szCs w:val="32"/>
          <w:highlight w:val="none"/>
        </w:rPr>
        <w:t>单位签订了项目</w:t>
      </w:r>
      <w:r>
        <w:rPr>
          <w:rFonts w:ascii="仿宋" w:cs="仿宋" w:eastAsia="仿宋" w:hAnsi="仿宋" w:hint="eastAsia"/>
          <w:color w:val="auto"/>
          <w:sz w:val="32"/>
          <w:szCs w:val="32"/>
          <w:highlight w:val="none"/>
          <w:lang w:eastAsia="zh-CN"/>
        </w:rPr>
        <w:t>施工</w:t>
      </w:r>
      <w:r>
        <w:rPr>
          <w:rFonts w:ascii="仿宋" w:cs="仿宋" w:eastAsia="仿宋" w:hAnsi="仿宋" w:hint="eastAsia"/>
          <w:color w:val="auto"/>
          <w:sz w:val="32"/>
          <w:szCs w:val="32"/>
          <w:highlight w:val="none"/>
        </w:rPr>
        <w:t>合同，项目</w:t>
      </w:r>
      <w:r>
        <w:rPr>
          <w:rFonts w:ascii="仿宋" w:cs="仿宋" w:eastAsia="仿宋" w:hAnsi="仿宋" w:hint="eastAsia"/>
          <w:color w:val="auto"/>
          <w:sz w:val="32"/>
          <w:szCs w:val="32"/>
          <w:highlight w:val="none"/>
          <w:lang w:eastAsia="zh-CN"/>
        </w:rPr>
        <w:t>施工</w:t>
      </w:r>
      <w:r>
        <w:rPr>
          <w:rFonts w:ascii="仿宋" w:cs="仿宋" w:eastAsia="仿宋" w:hAnsi="仿宋" w:hint="eastAsia"/>
          <w:color w:val="auto"/>
          <w:sz w:val="32"/>
          <w:szCs w:val="32"/>
          <w:highlight w:val="none"/>
        </w:rPr>
        <w:t>合同中明确</w:t>
      </w:r>
      <w:r>
        <w:rPr>
          <w:rFonts w:ascii="仿宋" w:cs="仿宋" w:eastAsia="仿宋" w:hAnsi="仿宋" w:hint="eastAsia"/>
          <w:color w:val="auto"/>
          <w:sz w:val="32"/>
          <w:szCs w:val="32"/>
          <w:highlight w:val="none"/>
          <w:lang w:eastAsia="zh-CN"/>
        </w:rPr>
        <w:t>了工程价款、工程质量、</w:t>
      </w:r>
      <w:r>
        <w:rPr>
          <w:rFonts w:ascii="仿宋" w:cs="仿宋" w:eastAsia="仿宋" w:hAnsi="仿宋" w:hint="eastAsia"/>
          <w:color w:val="auto"/>
          <w:sz w:val="32"/>
          <w:szCs w:val="32"/>
          <w:highlight w:val="none"/>
        </w:rPr>
        <w:t>计划</w:t>
      </w:r>
      <w:r>
        <w:rPr>
          <w:rFonts w:ascii="仿宋" w:cs="仿宋" w:eastAsia="仿宋" w:hAnsi="仿宋" w:hint="eastAsia"/>
          <w:color w:val="auto"/>
          <w:sz w:val="32"/>
          <w:szCs w:val="32"/>
          <w:highlight w:val="none"/>
          <w:lang w:eastAsia="zh-CN"/>
        </w:rPr>
        <w:t>施工</w:t>
      </w:r>
      <w:r>
        <w:rPr>
          <w:rFonts w:ascii="仿宋" w:cs="仿宋" w:eastAsia="仿宋" w:hAnsi="仿宋" w:hint="eastAsia"/>
          <w:color w:val="auto"/>
          <w:sz w:val="32"/>
          <w:szCs w:val="32"/>
          <w:highlight w:val="none"/>
        </w:rPr>
        <w:t>进度等内容</w:t>
      </w:r>
      <w:r>
        <w:rPr>
          <w:rFonts w:ascii="仿宋" w:cs="仿宋" w:eastAsia="仿宋" w:hAnsi="仿宋" w:hint="eastAsia"/>
          <w:color w:val="auto"/>
          <w:sz w:val="32"/>
          <w:szCs w:val="32"/>
          <w:highlight w:val="none"/>
          <w:lang w:eastAsia="zh-CN"/>
        </w:rPr>
        <w:t>。财务部、基建办负责</w:t>
      </w:r>
      <w:r>
        <w:rPr>
          <w:rFonts w:ascii="仿宋" w:cs="仿宋" w:eastAsia="仿宋" w:hAnsi="仿宋" w:hint="eastAsia"/>
          <w:color w:val="auto"/>
          <w:sz w:val="32"/>
          <w:szCs w:val="32"/>
          <w:highlight w:val="none"/>
        </w:rPr>
        <w:t>项目实施，并</w:t>
      </w:r>
      <w:r>
        <w:rPr>
          <w:rFonts w:ascii="仿宋" w:cs="仿宋" w:eastAsia="仿宋" w:hAnsi="仿宋" w:hint="eastAsia"/>
          <w:color w:val="auto"/>
          <w:sz w:val="32"/>
          <w:szCs w:val="32"/>
          <w:highlight w:val="none"/>
          <w:lang w:eastAsia="zh-CN"/>
        </w:rPr>
        <w:t>及时向校党委和校分管领导汇报相关情况。严格按照专项工程的完工进度申报支付工程款；</w:t>
      </w:r>
      <w:r>
        <w:rPr>
          <w:rFonts w:ascii="仿宋" w:cs="仿宋" w:eastAsia="仿宋" w:hAnsi="仿宋" w:hint="eastAsia"/>
          <w:sz w:val="32"/>
          <w:szCs w:val="32"/>
        </w:rPr>
        <w:t>保证工程实施质量，校领导、办公室、基建办经常深入工地督导工作，</w:t>
      </w:r>
      <w:r>
        <w:rPr>
          <w:rFonts w:ascii="仿宋" w:cs="仿宋" w:eastAsia="仿宋" w:hAnsi="仿宋" w:hint="eastAsia"/>
          <w:sz w:val="32"/>
          <w:szCs w:val="32"/>
          <w:lang w:eastAsia="zh-CN"/>
        </w:rPr>
        <w:t>检查施工日志，</w:t>
      </w:r>
      <w:r>
        <w:rPr>
          <w:rFonts w:ascii="仿宋" w:cs="仿宋" w:eastAsia="仿宋" w:hAnsi="仿宋" w:hint="eastAsia"/>
          <w:sz w:val="32"/>
          <w:szCs w:val="32"/>
        </w:rPr>
        <w:t>认真履行职责，做好项目的管理。</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0" w:firstLineChars="200"/>
        <w:jc w:val="both"/>
        <w:textAlignment w:val="auto"/>
        <w:rPr>
          <w:rFonts w:ascii="仿宋" w:cs="仿宋" w:eastAsia="仿宋" w:hAnsi="仿宋" w:hint="eastAsia"/>
          <w:b/>
          <w:color w:val="auto"/>
          <w:sz w:val="32"/>
          <w:szCs w:val="32"/>
          <w:highlight w:val="none"/>
        </w:rPr>
      </w:pPr>
      <w:r>
        <w:rPr>
          <w:rFonts w:ascii="仿宋" w:cs="仿宋" w:eastAsia="仿宋" w:hAnsi="仿宋" w:hint="eastAsia"/>
          <w:b/>
          <w:color w:val="auto"/>
          <w:sz w:val="32"/>
          <w:szCs w:val="32"/>
          <w:highlight w:val="none"/>
        </w:rPr>
        <w:t>（二）存在的问题和建议</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0" w:firstLineChars="200"/>
        <w:jc w:val="both"/>
        <w:textAlignment w:val="auto"/>
        <w:rPr>
          <w:rFonts w:ascii="仿宋" w:cs="仿宋" w:eastAsia="仿宋" w:hAnsi="仿宋" w:hint="eastAsia"/>
          <w:b/>
          <w:color w:val="auto"/>
          <w:sz w:val="32"/>
          <w:szCs w:val="32"/>
          <w:highlight w:val="none"/>
        </w:rPr>
      </w:pPr>
      <w:r>
        <w:rPr>
          <w:rFonts w:ascii="仿宋" w:cs="仿宋" w:eastAsia="仿宋" w:hAnsi="仿宋" w:hint="eastAsia"/>
          <w:b/>
          <w:color w:val="auto"/>
          <w:sz w:val="32"/>
          <w:szCs w:val="32"/>
          <w:highlight w:val="none"/>
        </w:rPr>
        <w:t>1．存在的主要问题</w:t>
      </w:r>
    </w:p>
    <w:p>
      <w:pPr>
        <w:pStyle w:val="style0"/>
        <w:widowControl/>
        <w:shd w:val="clear" w:color="auto" w:fill="ffffff"/>
        <w:spacing w:lineRule="atLeast" w:line="600"/>
        <w:ind w:firstLine="640"/>
        <w:rPr>
          <w:rFonts w:ascii="仿宋" w:cs="仿宋" w:eastAsia="仿宋" w:hAnsi="仿宋" w:hint="eastAsia"/>
          <w:spacing w:val="-2"/>
          <w:sz w:val="32"/>
          <w:szCs w:val="32"/>
          <w:lang w:val="en-US" w:eastAsia="zh-CN"/>
        </w:rPr>
      </w:pPr>
      <w:r>
        <w:rPr>
          <w:rFonts w:ascii="仿宋" w:cs="仿宋" w:eastAsia="仿宋" w:hAnsi="仿宋" w:hint="eastAsia"/>
          <w:spacing w:val="-2"/>
          <w:sz w:val="32"/>
          <w:szCs w:val="32"/>
          <w:lang w:eastAsia="zh-CN"/>
        </w:rPr>
        <w:t>（</w:t>
      </w:r>
      <w:r>
        <w:rPr>
          <w:rFonts w:ascii="仿宋" w:cs="仿宋" w:eastAsia="仿宋" w:hAnsi="仿宋" w:hint="eastAsia"/>
          <w:spacing w:val="-2"/>
          <w:sz w:val="32"/>
          <w:szCs w:val="32"/>
          <w:lang w:val="en-US" w:eastAsia="zh-CN"/>
        </w:rPr>
        <w:t>1）</w:t>
      </w:r>
      <w:r>
        <w:rPr>
          <w:rFonts w:ascii="仿宋" w:cs="仿宋" w:eastAsia="仿宋" w:hAnsi="仿宋" w:hint="eastAsia"/>
          <w:spacing w:val="-2"/>
          <w:sz w:val="32"/>
          <w:szCs w:val="32"/>
          <w:lang w:eastAsia="zh-CN"/>
        </w:rPr>
        <w:t>专项工程时间跨度长，工程款金额大，并且工程款存在跨年度结算和支付的问题，导致专项工程分年度的实际支出与预算支出的差额较大，缺乏可比较性，资金存在跨年度结转的情况。</w:t>
      </w:r>
    </w:p>
    <w:p>
      <w:pPr>
        <w:pStyle w:val="style0"/>
        <w:keepNext w:val="false"/>
        <w:keepLines w:val="false"/>
        <w:pageBreakBefore w:val="false"/>
        <w:kinsoku/>
        <w:wordWrap/>
        <w:overflowPunct/>
        <w:topLinePunct w:val="false"/>
        <w:autoSpaceDE/>
        <w:autoSpaceDN/>
        <w:bidi w:val="false"/>
        <w:adjustRightInd/>
        <w:snapToGrid/>
        <w:spacing w:lineRule="exact" w:line="540"/>
        <w:ind w:left="0" w:leftChars="0" w:right="0" w:rightChars="0" w:firstLine="640" w:firstLineChars="200"/>
        <w:textAlignment w:val="auto"/>
        <w:rPr>
          <w:rFonts w:ascii="仿宋" w:cs="仿宋" w:eastAsia="仿宋" w:hAnsi="仿宋" w:hint="eastAsia"/>
          <w:b/>
          <w:color w:val="auto"/>
          <w:sz w:val="32"/>
          <w:szCs w:val="32"/>
          <w:highlight w:val="none"/>
          <w:lang w:val="en-US" w:eastAsia="zh-CN"/>
        </w:rPr>
      </w:pPr>
      <w:r>
        <w:rPr>
          <w:rFonts w:ascii="仿宋" w:cs="仿宋" w:eastAsia="仿宋" w:hAnsi="仿宋" w:hint="eastAsia"/>
          <w:b w:val="false"/>
          <w:bCs/>
          <w:color w:val="auto"/>
          <w:sz w:val="32"/>
          <w:szCs w:val="32"/>
          <w:highlight w:val="none"/>
          <w:lang w:eastAsia="zh-CN"/>
        </w:rPr>
        <w:t>（</w:t>
      </w:r>
      <w:r>
        <w:rPr>
          <w:rFonts w:ascii="仿宋" w:cs="仿宋" w:eastAsia="仿宋" w:hAnsi="仿宋" w:hint="eastAsia"/>
          <w:b w:val="false"/>
          <w:bCs/>
          <w:color w:val="auto"/>
          <w:sz w:val="32"/>
          <w:szCs w:val="32"/>
          <w:highlight w:val="none"/>
          <w:lang w:val="en-US" w:eastAsia="zh-CN"/>
        </w:rPr>
        <w:t>2）</w:t>
      </w:r>
      <w:r>
        <w:rPr>
          <w:rFonts w:ascii="仿宋" w:cs="仿宋" w:eastAsia="仿宋" w:hAnsi="仿宋" w:hint="eastAsia"/>
          <w:b w:val="false"/>
          <w:bCs/>
          <w:color w:val="auto"/>
          <w:sz w:val="32"/>
          <w:szCs w:val="32"/>
          <w:highlight w:val="none"/>
        </w:rPr>
        <w:t>内控制度建设有待进一步完善。</w:t>
      </w:r>
      <w:r>
        <w:rPr>
          <w:rFonts w:ascii="仿宋" w:cs="仿宋" w:eastAsia="仿宋" w:hAnsi="仿宋" w:hint="eastAsia"/>
          <w:color w:val="auto"/>
          <w:sz w:val="32"/>
          <w:szCs w:val="32"/>
          <w:highlight w:val="none"/>
        </w:rPr>
        <w:t>专项资金管理制度，</w:t>
      </w:r>
      <w:r>
        <w:rPr>
          <w:rFonts w:ascii="仿宋" w:cs="仿宋" w:eastAsia="仿宋" w:hAnsi="仿宋" w:hint="eastAsia"/>
          <w:color w:val="auto"/>
          <w:sz w:val="32"/>
          <w:szCs w:val="32"/>
          <w:highlight w:val="none"/>
          <w:lang w:eastAsia="zh-CN"/>
        </w:rPr>
        <w:t>有些</w:t>
      </w:r>
      <w:r>
        <w:rPr>
          <w:rFonts w:ascii="仿宋" w:cs="仿宋" w:eastAsia="仿宋" w:hAnsi="仿宋" w:hint="eastAsia"/>
          <w:color w:val="auto"/>
          <w:sz w:val="32"/>
          <w:szCs w:val="32"/>
          <w:highlight w:val="none"/>
        </w:rPr>
        <w:t>比较粗泛，实用性、操作性不强，且内部缺乏一定的监督制约机制。如专项资金管理制度未与最新政策精神同步接轨等。</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0" w:firstLineChars="200"/>
        <w:jc w:val="both"/>
        <w:textAlignment w:val="auto"/>
        <w:rPr>
          <w:rFonts w:ascii="仿宋" w:cs="仿宋" w:eastAsia="仿宋" w:hAnsi="仿宋" w:hint="eastAsia"/>
          <w:b/>
          <w:color w:val="auto"/>
          <w:sz w:val="32"/>
          <w:szCs w:val="32"/>
          <w:highlight w:val="none"/>
        </w:rPr>
      </w:pPr>
      <w:r>
        <w:rPr>
          <w:rFonts w:ascii="仿宋" w:cs="仿宋" w:eastAsia="仿宋" w:hAnsi="仿宋" w:hint="eastAsia"/>
          <w:b/>
          <w:color w:val="auto"/>
          <w:sz w:val="32"/>
          <w:szCs w:val="32"/>
          <w:highlight w:val="none"/>
        </w:rPr>
        <w:t>2．建议</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5"/>
        <w:jc w:val="both"/>
        <w:textAlignment w:val="auto"/>
        <w:rPr>
          <w:rFonts w:ascii="仿宋" w:cs="仿宋" w:eastAsia="仿宋" w:hAnsi="仿宋" w:hint="eastAsia"/>
          <w:b/>
          <w:color w:val="auto"/>
          <w:sz w:val="32"/>
          <w:szCs w:val="32"/>
          <w:highlight w:val="none"/>
        </w:rPr>
      </w:pPr>
      <w:r>
        <w:rPr>
          <w:rFonts w:ascii="仿宋" w:cs="仿宋" w:eastAsia="仿宋" w:hAnsi="仿宋" w:hint="eastAsia"/>
          <w:b/>
          <w:color w:val="auto"/>
          <w:sz w:val="32"/>
          <w:szCs w:val="32"/>
          <w:highlight w:val="none"/>
        </w:rPr>
        <w:t>（1）严格项目管理，实行信息公开</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5"/>
        <w:jc w:val="both"/>
        <w:textAlignment w:val="auto"/>
        <w:rPr>
          <w:rFonts w:ascii="仿宋" w:cs="仿宋" w:eastAsia="仿宋" w:hAnsi="仿宋" w:hint="eastAsia"/>
          <w:color w:val="auto"/>
          <w:sz w:val="32"/>
          <w:szCs w:val="32"/>
          <w:highlight w:val="none"/>
        </w:rPr>
      </w:pPr>
      <w:r>
        <w:rPr>
          <w:rFonts w:ascii="仿宋" w:cs="仿宋" w:eastAsia="仿宋" w:hAnsi="仿宋" w:hint="eastAsia"/>
          <w:color w:val="auto"/>
          <w:sz w:val="32"/>
          <w:szCs w:val="32"/>
          <w:highlight w:val="none"/>
        </w:rPr>
        <w:t>一是严格执行经费管理办法的相关要求，对不按合同执行、挪用资金的行为予以坚决制止，二是按照项目合同及时开展结题验收工作，对没有达到结题验收标准的项目要求说明原因。三是对项目申报、立项、实施、结题验收环节等非保密信息通过网站进行公开公示，接收社会监督。</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right="0" w:rightChars="0" w:firstLine="640" w:firstLineChars="200"/>
        <w:jc w:val="both"/>
        <w:textAlignment w:val="auto"/>
        <w:rPr>
          <w:rFonts w:ascii="仿宋" w:cs="仿宋" w:eastAsia="仿宋" w:hAnsi="仿宋" w:hint="eastAsia"/>
          <w:b/>
          <w:color w:val="auto"/>
          <w:sz w:val="32"/>
          <w:szCs w:val="32"/>
          <w:highlight w:val="none"/>
        </w:rPr>
      </w:pPr>
      <w:r>
        <w:rPr>
          <w:rFonts w:ascii="仿宋" w:cs="仿宋" w:eastAsia="仿宋" w:hAnsi="仿宋" w:hint="eastAsia"/>
          <w:b/>
          <w:color w:val="auto"/>
          <w:sz w:val="32"/>
          <w:szCs w:val="32"/>
          <w:highlight w:val="none"/>
          <w:lang w:eastAsia="zh-CN"/>
        </w:rPr>
        <w:t>（</w:t>
      </w:r>
      <w:r>
        <w:rPr>
          <w:rFonts w:ascii="仿宋" w:cs="仿宋" w:eastAsia="仿宋" w:hAnsi="仿宋" w:hint="eastAsia"/>
          <w:b/>
          <w:color w:val="auto"/>
          <w:sz w:val="32"/>
          <w:szCs w:val="32"/>
          <w:highlight w:val="none"/>
          <w:lang w:val="en-US" w:eastAsia="zh-CN"/>
        </w:rPr>
        <w:t>2）</w:t>
      </w:r>
      <w:r>
        <w:rPr>
          <w:rFonts w:ascii="仿宋" w:cs="仿宋" w:eastAsia="仿宋" w:hAnsi="仿宋" w:hint="eastAsia"/>
          <w:b/>
          <w:color w:val="auto"/>
          <w:sz w:val="32"/>
          <w:szCs w:val="32"/>
          <w:highlight w:val="none"/>
        </w:rPr>
        <w:t>严格资金管理，做到专款专用</w:t>
      </w:r>
    </w:p>
    <w:p>
      <w:pPr>
        <w:pStyle w:val="style0"/>
        <w:keepNext w:val="false"/>
        <w:keepLines w:val="false"/>
        <w:pageBreakBefore w:val="false"/>
        <w:numPr>
          <w:ilvl w:val="0"/>
          <w:numId w:val="0"/>
        </w:numPr>
        <w:kinsoku/>
        <w:wordWrap/>
        <w:overflowPunct/>
        <w:topLinePunct w:val="false"/>
        <w:autoSpaceDE/>
        <w:autoSpaceDN/>
        <w:bidi w:val="false"/>
        <w:adjustRightInd/>
        <w:snapToGrid/>
        <w:spacing w:lineRule="auto" w:line="360"/>
        <w:ind w:right="0" w:rightChars="0" w:firstLine="640" w:firstLineChars="200"/>
        <w:jc w:val="both"/>
        <w:textAlignment w:val="auto"/>
        <w:rPr>
          <w:rFonts w:ascii="仿宋" w:cs="仿宋" w:eastAsia="仿宋" w:hAnsi="仿宋" w:hint="eastAsia"/>
          <w:b/>
          <w:color w:val="auto"/>
          <w:sz w:val="32"/>
          <w:szCs w:val="32"/>
          <w:highlight w:val="none"/>
        </w:rPr>
      </w:pPr>
      <w:r>
        <w:rPr>
          <w:rFonts w:ascii="仿宋" w:cs="仿宋" w:eastAsia="仿宋" w:hAnsi="仿宋" w:hint="eastAsia"/>
          <w:color w:val="auto"/>
          <w:sz w:val="32"/>
          <w:szCs w:val="32"/>
          <w:highlight w:val="none"/>
        </w:rPr>
        <w:t>加大对资金管理和使用情况监督检查力度，加强对项目的绩效管理，在项目立项和资金拨付等环节明确要求资金使用管理规范，项目经费必须纳入单位财务统一管理，建立专账，确保专款专用、合理使用、规范管理，避免挤占挪用。</w:t>
      </w:r>
    </w:p>
    <w:p>
      <w:pPr>
        <w:pStyle w:val="style0"/>
        <w:keepNext w:val="false"/>
        <w:keepLines w:val="false"/>
        <w:pageBreakBefore w:val="false"/>
        <w:kinsoku/>
        <w:wordWrap/>
        <w:overflowPunct/>
        <w:topLinePunct w:val="false"/>
        <w:autoSpaceDE/>
        <w:autoSpaceDN/>
        <w:bidi w:val="false"/>
        <w:adjustRightInd/>
        <w:snapToGrid/>
        <w:spacing w:lineRule="auto" w:line="360"/>
        <w:ind w:left="0" w:leftChars="0" w:right="0" w:rightChars="0" w:firstLine="640" w:firstLineChars="200"/>
        <w:jc w:val="both"/>
        <w:textAlignment w:val="auto"/>
        <w:rPr>
          <w:rFonts w:ascii="仿宋" w:cs="仿宋" w:eastAsia="仿宋" w:hAnsi="仿宋" w:hint="eastAsia"/>
          <w:color w:val="auto"/>
          <w:sz w:val="32"/>
          <w:szCs w:val="32"/>
          <w:highlight w:val="none"/>
          <w:lang w:eastAsia="zh-CN"/>
        </w:rPr>
      </w:pPr>
      <w:r>
        <w:rPr>
          <w:rFonts w:ascii="仿宋" w:cs="仿宋" w:eastAsia="仿宋" w:hAnsi="仿宋" w:hint="eastAsia"/>
          <w:b/>
          <w:color w:val="auto"/>
          <w:sz w:val="32"/>
          <w:szCs w:val="32"/>
          <w:highlight w:val="none"/>
        </w:rPr>
        <w:t>（3）</w:t>
      </w:r>
      <w:r>
        <w:rPr>
          <w:rFonts w:ascii="仿宋" w:cs="仿宋" w:eastAsia="仿宋" w:hAnsi="仿宋" w:hint="eastAsia"/>
          <w:b/>
          <w:color w:val="auto"/>
          <w:sz w:val="32"/>
          <w:szCs w:val="32"/>
          <w:highlight w:val="none"/>
          <w:lang w:eastAsia="zh-CN"/>
        </w:rPr>
        <w:t>加强对专项工程的动态绩效评价</w:t>
      </w:r>
    </w:p>
    <w:p>
      <w:pPr>
        <w:pStyle w:val="style0"/>
        <w:widowControl/>
        <w:shd w:val="clear" w:color="auto" w:fill="ffffff"/>
        <w:spacing w:lineRule="atLeast" w:line="600"/>
        <w:ind w:firstLine="640"/>
        <w:rPr>
          <w:rFonts w:ascii="仿宋" w:cs="仿宋" w:eastAsia="仿宋" w:hAnsi="仿宋" w:hint="eastAsia"/>
          <w:b/>
          <w:bCs/>
          <w:sz w:val="32"/>
          <w:szCs w:val="32"/>
        </w:rPr>
      </w:pPr>
      <w:r>
        <w:rPr>
          <w:rFonts w:ascii="仿宋" w:cs="仿宋" w:eastAsia="仿宋" w:hAnsi="仿宋" w:hint="eastAsia"/>
          <w:spacing w:val="-2"/>
          <w:sz w:val="32"/>
          <w:szCs w:val="32"/>
          <w:lang w:eastAsia="zh-CN"/>
        </w:rPr>
        <w:t>加强对专项工程的动态管理并进行动态的绩效评价，尤其是专项工程款存在跨年度结算和支付的问题，导致专项工程分年度的实际支出与预算支出的差额较大，缺乏可比较性，资金存在跨年度结转的情况下。</w:t>
      </w:r>
    </w:p>
    <w:p>
      <w:pPr>
        <w:pStyle w:val="style0"/>
        <w:keepNext w:val="false"/>
        <w:keepLines w:val="false"/>
        <w:pageBreakBefore w:val="false"/>
        <w:kinsoku/>
        <w:wordWrap/>
        <w:overflowPunct/>
        <w:topLinePunct w:val="false"/>
        <w:autoSpaceDE/>
        <w:autoSpaceDN/>
        <w:bidi w:val="false"/>
        <w:adjustRightInd/>
        <w:snapToGrid/>
        <w:spacing w:lineRule="auto" w:line="360"/>
        <w:ind w:firstLine="640" w:firstLineChars="200"/>
        <w:jc w:val="both"/>
        <w:textAlignment w:val="auto"/>
        <w:rPr>
          <w:rFonts w:ascii="仿宋" w:cs="仿宋" w:eastAsia="仿宋" w:hAnsi="仿宋" w:hint="eastAsia"/>
          <w:b/>
          <w:bCs/>
          <w:sz w:val="32"/>
          <w:szCs w:val="32"/>
        </w:rPr>
      </w:pPr>
      <w:r>
        <w:rPr>
          <w:rFonts w:ascii="仿宋" w:cs="仿宋" w:eastAsia="仿宋" w:hAnsi="仿宋" w:hint="eastAsia"/>
          <w:b/>
          <w:bCs/>
          <w:sz w:val="32"/>
          <w:szCs w:val="32"/>
          <w:lang w:eastAsia="zh-CN"/>
        </w:rPr>
        <w:t>七</w:t>
      </w:r>
      <w:r>
        <w:rPr>
          <w:rFonts w:ascii="仿宋" w:cs="仿宋" w:eastAsia="仿宋" w:hAnsi="仿宋" w:hint="eastAsia"/>
          <w:b/>
          <w:bCs/>
          <w:sz w:val="32"/>
          <w:szCs w:val="32"/>
        </w:rPr>
        <w:t>、其他需说明的问题</w:t>
      </w:r>
    </w:p>
    <w:p>
      <w:pPr>
        <w:pStyle w:val="style0"/>
        <w:widowControl/>
        <w:shd w:val="clear" w:color="auto" w:fill="ffffff"/>
        <w:spacing w:lineRule="atLeast" w:line="600"/>
        <w:ind w:firstLine="640"/>
        <w:rPr>
          <w:rFonts w:ascii="仿宋" w:cs="仿宋" w:eastAsia="仿宋" w:hAnsi="仿宋" w:hint="eastAsia"/>
          <w:spacing w:val="-2"/>
          <w:sz w:val="32"/>
          <w:szCs w:val="32"/>
          <w:lang w:eastAsia="zh-CN"/>
        </w:rPr>
      </w:pPr>
      <w:r>
        <w:rPr>
          <w:rFonts w:ascii="仿宋" w:cs="仿宋" w:eastAsia="仿宋" w:hAnsi="仿宋" w:hint="eastAsia"/>
          <w:spacing w:val="-2"/>
          <w:sz w:val="32"/>
          <w:szCs w:val="32"/>
          <w:lang w:eastAsia="zh-CN"/>
        </w:rPr>
        <w:t>无</w:t>
      </w:r>
    </w:p>
    <w:p>
      <w:pPr>
        <w:pStyle w:val="style0"/>
        <w:widowControl/>
        <w:shd w:val="clear" w:color="auto" w:fill="ffffff"/>
        <w:spacing w:lineRule="atLeast" w:line="600"/>
        <w:ind w:firstLine="640"/>
        <w:rPr>
          <w:rFonts w:ascii="仿宋" w:cs="仿宋" w:eastAsia="仿宋" w:hAnsi="仿宋" w:hint="eastAsia"/>
          <w:spacing w:val="-2"/>
          <w:sz w:val="32"/>
          <w:szCs w:val="32"/>
          <w:lang w:eastAsia="zh-CN"/>
        </w:rPr>
      </w:pPr>
      <w:r>
        <w:rPr>
          <w:rFonts w:ascii="仿宋" w:cs="仿宋" w:eastAsia="仿宋" w:hAnsi="仿宋" w:hint="eastAsia"/>
          <w:spacing w:val="-2"/>
          <w:sz w:val="32"/>
          <w:szCs w:val="32"/>
          <w:lang w:eastAsia="zh-CN"/>
        </w:rPr>
        <w:t>附件：财政专项资金绩效评价共性指标表</w:t>
      </w:r>
    </w:p>
    <w:p>
      <w:pPr>
        <w:pStyle w:val="style0"/>
        <w:jc w:val="left"/>
        <w:rPr>
          <w:rFonts w:ascii="仿宋" w:cs="仿宋" w:eastAsia="仿宋" w:hAnsi="仿宋" w:hint="eastAsia"/>
          <w:spacing w:val="-2"/>
          <w:sz w:val="32"/>
          <w:szCs w:val="32"/>
          <w:highlight w:val="none"/>
          <w:lang w:val="en-US" w:eastAsia="zh-CN"/>
        </w:rPr>
      </w:pPr>
    </w:p>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eastAsia"/>
          <w:kern w:val="0"/>
          <w:sz w:val="32"/>
          <w:szCs w:val="32"/>
        </w:rPr>
      </w:pPr>
      <w:r>
        <w:rPr>
          <w:rFonts w:ascii="黑体" w:cs="宋体" w:eastAsia="黑体" w:hAnsi="宋体" w:hint="eastAsia"/>
          <w:kern w:val="0"/>
          <w:sz w:val="32"/>
          <w:szCs w:val="32"/>
        </w:rPr>
        <w:t>附件</w:t>
      </w:r>
      <w:r>
        <w:rPr>
          <w:rFonts w:ascii="黑体" w:cs="宋体" w:eastAsia="黑体" w:hAnsi="宋体" w:hint="eastAsia"/>
          <w:kern w:val="0"/>
          <w:sz w:val="32"/>
          <w:szCs w:val="32"/>
          <w:lang w:val="en-US" w:eastAsia="zh-CN"/>
        </w:rPr>
        <w:t>5</w:t>
      </w:r>
    </w:p>
    <w:p>
      <w:pPr>
        <w:pStyle w:val="style0"/>
        <w:widowControl/>
        <w:ind w:left="93"/>
        <w:jc w:val="center"/>
        <w:rPr>
          <w:rFonts w:ascii="方正小标宋_GBK" w:cs="宋体" w:eastAsia="方正小标宋_GBK" w:hAnsi="宋体"/>
          <w:kern w:val="0"/>
          <w:sz w:val="36"/>
          <w:szCs w:val="36"/>
        </w:rPr>
      </w:pPr>
      <w:r>
        <w:rPr>
          <w:rFonts w:ascii="方正小标宋_GBK" w:cs="宋体" w:eastAsia="方正小标宋_GBK" w:hAnsi="宋体" w:hint="eastAsia"/>
          <w:kern w:val="0"/>
          <w:sz w:val="36"/>
          <w:szCs w:val="36"/>
        </w:rPr>
        <w:t>专项资金绩效评价共性指标表</w:t>
      </w:r>
    </w:p>
    <w:p>
      <w:pPr>
        <w:pStyle w:val="style0"/>
        <w:widowControl/>
        <w:tabs>
          <w:tab w:val="left" w:leader="none" w:pos="833"/>
          <w:tab w:val="left" w:leader="none" w:pos="1533"/>
          <w:tab w:val="left" w:leader="none" w:pos="2533"/>
          <w:tab w:val="left" w:leader="none" w:pos="4833"/>
        </w:tabs>
        <w:ind w:left="93"/>
        <w:jc w:val="left"/>
        <w:rPr>
          <w:rFonts w:ascii="宋体" w:cs="宋体"/>
          <w:kern w:val="0"/>
          <w:sz w:val="24"/>
        </w:rPr>
      </w:pPr>
    </w:p>
    <w:tbl>
      <w:tblPr>
        <w:tblStyle w:val="style105"/>
        <w:tblW w:w="0" w:type="auto"/>
        <w:tblInd w:w="0" w:type="dxa"/>
        <w:tblLayout w:type="fixed"/>
        <w:tblCellMar>
          <w:top w:w="0" w:type="dxa"/>
          <w:left w:w="108" w:type="dxa"/>
          <w:bottom w:w="0" w:type="dxa"/>
          <w:right w:w="108" w:type="dxa"/>
        </w:tblCellMar>
      </w:tblPr>
      <w:tblGrid>
        <w:gridCol w:w="385"/>
        <w:gridCol w:w="364"/>
        <w:gridCol w:w="855"/>
        <w:gridCol w:w="416"/>
        <w:gridCol w:w="2316"/>
        <w:gridCol w:w="5138"/>
        <w:gridCol w:w="600"/>
      </w:tblGrid>
      <w:tr>
        <w:trPr>
          <w:tblHeader/>
        </w:trPr>
        <w:tc>
          <w:tcPr>
            <w:tcW w:w="385" w:type="dxa"/>
            <w:tcBorders>
              <w:top w:val="single" w:sz="4" w:space="0" w:color="auto"/>
              <w:left w:val="single" w:sz="4" w:space="0" w:color="auto"/>
              <w:bottom w:val="nil"/>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一级</w:t>
            </w:r>
          </w:p>
        </w:tc>
        <w:tc>
          <w:tcPr>
            <w:tcW w:w="364" w:type="dxa"/>
            <w:tcBorders>
              <w:top w:val="single" w:sz="4" w:space="0" w:color="auto"/>
              <w:left w:val="nil"/>
              <w:bottom w:val="nil"/>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二级</w:t>
            </w:r>
          </w:p>
        </w:tc>
        <w:tc>
          <w:tcPr>
            <w:tcW w:w="855" w:type="dxa"/>
            <w:vMerge w:val="restart"/>
            <w:tcBorders>
              <w:top w:val="single" w:sz="4" w:space="0" w:color="auto"/>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三级指标</w:t>
            </w:r>
          </w:p>
        </w:tc>
        <w:tc>
          <w:tcPr>
            <w:tcW w:w="416" w:type="dxa"/>
            <w:vMerge w:val="restart"/>
            <w:tcBorders>
              <w:top w:val="single" w:sz="4" w:space="0" w:color="auto"/>
              <w:left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分值</w:t>
            </w:r>
          </w:p>
        </w:tc>
        <w:tc>
          <w:tcPr>
            <w:tcW w:w="2316" w:type="dxa"/>
            <w:vMerge w:val="restart"/>
            <w:tcBorders>
              <w:top w:val="single" w:sz="4" w:space="0" w:color="auto"/>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指标解释</w:t>
            </w:r>
          </w:p>
        </w:tc>
        <w:tc>
          <w:tcPr>
            <w:tcW w:w="5138" w:type="dxa"/>
            <w:vMerge w:val="restart"/>
            <w:tcBorders>
              <w:top w:val="single" w:sz="4" w:space="0" w:color="auto"/>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指标说明</w:t>
            </w:r>
          </w:p>
        </w:tc>
        <w:tc>
          <w:tcPr>
            <w:tcW w:w="600" w:type="dxa"/>
            <w:vMerge w:val="restart"/>
            <w:tcBorders>
              <w:top w:val="single" w:sz="4" w:space="0" w:color="auto"/>
              <w:left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得分</w:t>
            </w:r>
          </w:p>
        </w:tc>
      </w:tr>
      <w:tr>
        <w:tblPrEx/>
        <w:trPr>
          <w:tblHeader/>
        </w:trPr>
        <w:tc>
          <w:tcPr>
            <w:tcW w:w="385" w:type="dxa"/>
            <w:tcBorders>
              <w:top w:val="nil"/>
              <w:left w:val="single" w:sz="4" w:space="0" w:color="auto"/>
              <w:bottom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指标</w:t>
            </w:r>
          </w:p>
        </w:tc>
        <w:tc>
          <w:tcPr>
            <w:tcW w:w="364"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b/>
                <w:bCs/>
                <w:color w:val="000000"/>
                <w:kern w:val="0"/>
                <w:sz w:val="20"/>
                <w:szCs w:val="20"/>
              </w:rPr>
            </w:pPr>
            <w:r>
              <w:rPr>
                <w:rFonts w:ascii="仿宋_GB2312" w:cs="宋体" w:eastAsia="仿宋_GB2312" w:hAnsi="宋体" w:hint="eastAsia"/>
                <w:b/>
                <w:bCs/>
                <w:color w:val="000000"/>
                <w:kern w:val="0"/>
                <w:sz w:val="20"/>
                <w:szCs w:val="20"/>
              </w:rPr>
              <w:t>指标</w:t>
            </w:r>
          </w:p>
        </w:tc>
        <w:tc>
          <w:tcPr>
            <w:tcW w:w="855" w:type="dxa"/>
            <w:vMerge w:val="continue"/>
            <w:tcBorders>
              <w:top w:val="single" w:sz="4" w:space="0" w:color="auto"/>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b/>
                <w:bCs/>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b/>
                <w:bCs/>
                <w:color w:val="000000"/>
                <w:kern w:val="0"/>
                <w:sz w:val="20"/>
                <w:szCs w:val="20"/>
              </w:rPr>
            </w:pPr>
          </w:p>
        </w:tc>
        <w:tc>
          <w:tcPr>
            <w:tcW w:w="2316" w:type="dxa"/>
            <w:vMerge w:val="continue"/>
            <w:tcBorders>
              <w:top w:val="single" w:sz="4" w:space="0" w:color="auto"/>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b/>
                <w:bCs/>
                <w:color w:val="000000"/>
                <w:kern w:val="0"/>
                <w:sz w:val="20"/>
                <w:szCs w:val="20"/>
              </w:rPr>
            </w:pPr>
          </w:p>
        </w:tc>
        <w:tc>
          <w:tcPr>
            <w:tcW w:w="5138" w:type="dxa"/>
            <w:vMerge w:val="continue"/>
            <w:tcBorders>
              <w:top w:val="single" w:sz="4" w:space="0" w:color="auto"/>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b/>
                <w:bCs/>
                <w:color w:val="000000"/>
                <w:kern w:val="0"/>
                <w:sz w:val="20"/>
                <w:szCs w:val="20"/>
              </w:rPr>
            </w:pPr>
          </w:p>
        </w:tc>
        <w:tc>
          <w:tcPr>
            <w:tcW w:w="600"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b/>
                <w:bCs/>
                <w:color w:val="000000"/>
                <w:kern w:val="0"/>
                <w:sz w:val="20"/>
                <w:szCs w:val="20"/>
              </w:rPr>
            </w:pPr>
          </w:p>
        </w:tc>
      </w:tr>
      <w:tr>
        <w:tblPrEx/>
        <w:trPr>
          <w:trHeight w:val="280" w:hRule="atLeast"/>
        </w:trPr>
        <w:tc>
          <w:tcPr>
            <w:tcW w:w="38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投入</w:t>
            </w:r>
          </w:p>
        </w:tc>
        <w:tc>
          <w:tcPr>
            <w:tcW w:w="364"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项目立项</w:t>
            </w: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项目立项规范性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6</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项目的申请、设立过程是否符合相关要求，用以反映和考核项目立项的规范情况。</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①项目是否按照规定的程序申请设立；</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②所提交的文件、材料是否符合相关要求；</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6</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③事前是否已经过必要的可行性研究、专家论证、风险评估、集体决策等。</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绩效目标合理性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4</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项目所设定的绩效目标是否依椐充分，是否符合客观实际，用以反映和考核项目绩效目标与项目实施的相符情况。</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①是否符合国家相关法律法规，国民经济发展规划和党委政府决策；</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②是否与项目实施单位或委托单位职责密切相关；</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③项目是否为促进事业发展所必需；</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4</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④项目顸期产出效益和效果是否符合正常的业绩水平。</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绩效指标明确性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4</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依椐绩效目标设定的绩效指标是否清晰、细化、可衡量等，用以反映和考核项目绩效目标的明细化情况。</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①是否将项目绩效目标细化分解为具体的绩效指标；</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4</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②是否通过清晰、可衡量的指标值予以体现；</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③是否与项目年度任务教或计划数相对应；</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④是否与预期确定的项目投资</w:t>
            </w:r>
            <w:r>
              <w:rPr>
                <w:rFonts w:ascii="宋体" w:cs="宋体" w:hAnsi="宋体" w:hint="eastAsia"/>
                <w:color w:val="000000"/>
                <w:kern w:val="0"/>
                <w:sz w:val="20"/>
                <w:szCs w:val="20"/>
              </w:rPr>
              <w:t>额</w:t>
            </w:r>
            <w:r>
              <w:rPr>
                <w:rFonts w:ascii="仿宋_GB2312" w:cs="仿宋_GB2312" w:eastAsia="仿宋_GB2312" w:hAnsi="仿宋_GB2312" w:hint="eastAsia"/>
                <w:color w:val="000000"/>
                <w:kern w:val="0"/>
                <w:sz w:val="20"/>
                <w:szCs w:val="20"/>
              </w:rPr>
              <w:t>或资金量相匹配。</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资金落实</w:t>
            </w: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资金到位率</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3</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实际到位资金与计划投入资金的比率，用以反映和考核资金落实情况对项目实施的总体保障程度。</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资金到位率</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（实际到位资金</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计划投入资金）×</w:t>
            </w:r>
            <w:r>
              <w:rPr>
                <w:rFonts w:ascii="仿宋_GB2312" w:cs="宋体" w:eastAsia="仿宋_GB2312" w:hAnsi="宋体"/>
                <w:color w:val="000000"/>
                <w:kern w:val="0"/>
                <w:sz w:val="20"/>
                <w:szCs w:val="20"/>
              </w:rPr>
              <w:t>100%</w:t>
            </w:r>
            <w:r>
              <w:rPr>
                <w:rFonts w:ascii="仿宋_GB2312" w:cs="宋体" w:eastAsia="仿宋_GB2312" w:hAnsi="宋体" w:hint="eastAsia"/>
                <w:color w:val="000000"/>
                <w:kern w:val="0"/>
                <w:sz w:val="20"/>
                <w:szCs w:val="20"/>
              </w:rPr>
              <w:t>。</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实际到位资金：一定时期（本年度或项目期）内实际落实到具体项目的资金。</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3</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计划投入资金：一定时期（本年度或项目期）内计划投入到具体项目的资金。</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到位及时率</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3</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及时到位资金与应到位资金的比率，用以反映和考核项目资金落实的及时性程度。</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到位及时率＝（及时到位资金</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应到位资金）×</w:t>
            </w:r>
            <w:r>
              <w:rPr>
                <w:rFonts w:ascii="仿宋_GB2312" w:cs="宋体" w:eastAsia="仿宋_GB2312" w:hAnsi="宋体"/>
                <w:color w:val="000000"/>
                <w:kern w:val="0"/>
                <w:sz w:val="20"/>
                <w:szCs w:val="20"/>
              </w:rPr>
              <w:t>100%</w:t>
            </w:r>
            <w:r>
              <w:rPr>
                <w:rFonts w:ascii="仿宋_GB2312" w:cs="宋体" w:eastAsia="仿宋_GB2312" w:hAnsi="宋体" w:hint="eastAsia"/>
                <w:color w:val="000000"/>
                <w:kern w:val="0"/>
                <w:sz w:val="20"/>
                <w:szCs w:val="20"/>
              </w:rPr>
              <w:t>。</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及时到位资金：截至规定时点实际落实到具体项目的资金。</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rHeight w:val="764" w:hRule="atLeast"/>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应到位资金：按照合同或项目进度要求截至规定时点应落实到具体项目的资金。</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3</w:t>
            </w:r>
          </w:p>
        </w:tc>
      </w:tr>
      <w:tr>
        <w:tblPrEx/>
        <w:trPr/>
        <w:tc>
          <w:tcPr>
            <w:tcW w:w="38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过程</w:t>
            </w:r>
          </w:p>
        </w:tc>
        <w:tc>
          <w:tcPr>
            <w:tcW w:w="364"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r>
              <w:rPr>
                <w:rFonts w:ascii="仿宋_GB2312" w:cs="宋体" w:eastAsia="仿宋_GB2312" w:hAnsi="宋体" w:hint="eastAsia"/>
                <w:color w:val="000000"/>
                <w:kern w:val="0"/>
                <w:sz w:val="20"/>
                <w:szCs w:val="20"/>
              </w:rPr>
              <w:t>业务管理</w:t>
            </w: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p>
            <w:pPr>
              <w:pStyle w:val="style0"/>
              <w:widowControl/>
              <w:spacing w:lineRule="exact" w:line="240"/>
              <w:jc w:val="center"/>
              <w:rPr>
                <w:rFonts w:ascii="仿宋_GB2312" w:cs="宋体" w:eastAsia="仿宋_GB2312" w:hAnsi="宋体" w:hint="eastAsia"/>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管理制度健全性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项目实施单位的业务管理制度是否健全，用以反映和考核业务管理制度对项目顺利实施的保障情况。</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①是否已制定或具有相应的业务管理制度；</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rHeight w:val="836" w:hRule="atLeast"/>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②业务管理制度是否合法、合规、完整。</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4</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制度执行有效性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项目实施是否符合相关业务管理规定，用以反映和考核业务管理制度的有效执行</w:t>
            </w:r>
            <w:r>
              <w:rPr>
                <w:rFonts w:ascii="仿宋_GB2312" w:cs="宋体" w:eastAsia="仿宋_GB2312" w:hAnsi="宋体" w:hint="eastAsia"/>
                <w:color w:val="000000"/>
                <w:kern w:val="0"/>
                <w:sz w:val="20"/>
                <w:szCs w:val="20"/>
                <w:lang w:eastAsia="zh-CN"/>
              </w:rPr>
              <w:t>情况</w:t>
            </w:r>
            <w:r>
              <w:rPr>
                <w:rFonts w:ascii="仿宋_GB2312" w:cs="宋体" w:eastAsia="仿宋_GB2312" w:hAnsi="宋体" w:hint="eastAsia"/>
                <w:color w:val="000000"/>
                <w:kern w:val="0"/>
                <w:sz w:val="20"/>
                <w:szCs w:val="20"/>
              </w:rPr>
              <w:t>。</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①是否遵守相关法律法规和业务管理规定；</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②项目调整及支出调整手续是否完备；</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③项目合同书、验收报告、技术审定等资料是否齐全并及时归档</w:t>
            </w:r>
            <w:r>
              <w:rPr>
                <w:rFonts w:ascii="仿宋_GB2312" w:cs="宋体" w:eastAsia="仿宋_GB2312" w:hAnsi="宋体"/>
                <w:color w:val="000000"/>
                <w:kern w:val="0"/>
                <w:sz w:val="20"/>
                <w:szCs w:val="20"/>
              </w:rPr>
              <w:t>;</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rHeight w:val="909" w:hRule="atLeast"/>
        </w:trPr>
        <w:tc>
          <w:tcPr>
            <w:tcW w:w="385" w:type="dxa"/>
            <w:vMerge w:val="continue"/>
            <w:tcBorders>
              <w:top w:val="nil"/>
              <w:left w:val="single" w:sz="4" w:space="0" w:color="auto"/>
              <w:bottom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④项目实施的人员条件、场地设备，信息支撑等是否落实到位。</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restart"/>
            <w:tcBorders>
              <w:top w:val="single" w:sz="4" w:space="0" w:color="auto"/>
              <w:left w:val="single" w:sz="4" w:space="0" w:color="auto"/>
              <w:bottom w:val="single" w:sz="4" w:space="0" w:color="000000"/>
              <w:right w:val="single" w:sz="4" w:space="0" w:color="auto"/>
            </w:tcBorders>
            <w:vAlign w:val="center"/>
          </w:tcPr>
          <w:p>
            <w:pPr>
              <w:pStyle w:val="style0"/>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过程</w:t>
            </w:r>
          </w:p>
        </w:tc>
        <w:tc>
          <w:tcPr>
            <w:tcW w:w="364" w:type="dxa"/>
            <w:vMerge w:val="restart"/>
            <w:tcBorders>
              <w:top w:val="single" w:sz="4" w:space="0" w:color="auto"/>
              <w:left w:val="single" w:sz="4" w:space="0" w:color="auto"/>
              <w:bottom w:val="single" w:sz="4" w:space="0" w:color="000000"/>
              <w:right w:val="single" w:sz="4" w:space="0" w:color="auto"/>
            </w:tcBorders>
            <w:vAlign w:val="center"/>
          </w:tcPr>
          <w:p>
            <w:pPr>
              <w:pStyle w:val="style0"/>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业务管理</w:t>
            </w: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项目质量可控性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项目实施单位是否为达到项目质量要求而采取了必需的措施，用以反映和考核项目实施单位对项目质量的控制情况。</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①是否已制定或其有相应的项目质量要求或标准；</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②是否采取了相应的项目质量检查、验收等必需的控制措施或手段。</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财务管理</w:t>
            </w: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管理制度健全性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项目实施单位的财务制度是否健全，用以反映和考核财务管理制度对资金规范安全运行的保障情况。</w:t>
            </w: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①是否已制定或具有相应的项目资金管理办法；</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②项目资金管理办法是否符合相关财务会计制度的规定。</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资金使用合规性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项目资金使用是否符合相关的财务管理制度规定，用以反映和考核项目资金的规范运行情况。</w:t>
            </w: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①是否符合国家财经法规和财务管理以及有关专项资金管理办法的规定；</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②资金的拨付是否有完整的审批程序和手续；</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③项目的重大开支是否经过评估认证；</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④是否符合项目预算批复或合同规定的用途；</w:t>
            </w:r>
          </w:p>
        </w:tc>
        <w:tc>
          <w:tcPr>
            <w:tcW w:w="600" w:type="dxa"/>
            <w:tcBorders>
              <w:top w:val="nil"/>
              <w:left w:val="nil"/>
              <w:bottom w:val="nil"/>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⑤是否存在截留、挤占、挪用、虚列支出等情况。</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财务监控有效性</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项目实施单位是否为保障资金的安全、规范运行而采取了必要的监控措施，用以反映和考核项目实施单位对资金运行的控制情况。</w:t>
            </w: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评价要点：</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①是否已制定或具有相应的监控机制；</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②是否采取了相应的财务检查等必要的监控措施或手段。</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c>
          <w:tcPr>
            <w:tcW w:w="38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产出</w:t>
            </w:r>
          </w:p>
        </w:tc>
        <w:tc>
          <w:tcPr>
            <w:tcW w:w="364"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项目产出</w:t>
            </w: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实际完成率</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项目实施的实际产出数与计划产出数的比率，用以反映和考核项目产出数量目标的实现程度。</w:t>
            </w: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实际完成率＝（实际产出数</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计划产出数）×</w:t>
            </w:r>
            <w:r>
              <w:rPr>
                <w:rFonts w:ascii="仿宋_GB2312" w:cs="宋体" w:eastAsia="仿宋_GB2312" w:hAnsi="宋体"/>
                <w:color w:val="000000"/>
                <w:kern w:val="0"/>
                <w:sz w:val="20"/>
                <w:szCs w:val="20"/>
              </w:rPr>
              <w:t>100%</w:t>
            </w:r>
            <w:r>
              <w:rPr>
                <w:rFonts w:ascii="仿宋_GB2312" w:cs="宋体" w:eastAsia="仿宋_GB2312" w:hAnsi="宋体" w:hint="eastAsia"/>
                <w:color w:val="000000"/>
                <w:kern w:val="0"/>
                <w:sz w:val="20"/>
                <w:szCs w:val="20"/>
              </w:rPr>
              <w:t>。</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实际产出数：一定时期（本年度或项目期）内项目实际产出的产品或提供的服务数。</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rHeight w:val="707" w:hRule="atLeast"/>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计划产出数：项目绩效目标确定的在一定时期（本年度或项目期）内计划产出的产品或提供的服务数量。</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完成及时率</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项目实际提前完成时间与计划完成时间的比率，用以反映和考核项目产出时效目标的实现程度</w:t>
            </w: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完成及时率</w:t>
            </w:r>
            <w:r>
              <w:rPr>
                <w:rFonts w:ascii="仿宋_GB2312" w:cs="宋体" w:eastAsia="仿宋_GB2312" w:hAnsi="宋体"/>
                <w:color w:val="000000"/>
                <w:kern w:val="0"/>
                <w:sz w:val="20"/>
                <w:szCs w:val="20"/>
              </w:rPr>
              <w:t>[ (</w:t>
            </w:r>
            <w:r>
              <w:rPr>
                <w:rFonts w:ascii="仿宋_GB2312" w:cs="宋体" w:eastAsia="仿宋_GB2312" w:hAnsi="宋体" w:hint="eastAsia"/>
                <w:color w:val="000000"/>
                <w:kern w:val="0"/>
                <w:sz w:val="20"/>
                <w:szCs w:val="20"/>
              </w:rPr>
              <w:t>计划完成时间</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实际完成时间）</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计划完成时间</w:t>
            </w:r>
            <w:r>
              <w:rPr>
                <w:rFonts w:ascii="仿宋_GB2312" w:cs="宋体" w:eastAsia="仿宋_GB2312" w:hAnsi="宋体"/>
                <w:color w:val="000000"/>
                <w:kern w:val="0"/>
                <w:sz w:val="20"/>
                <w:szCs w:val="20"/>
              </w:rPr>
              <w:t>] </w:t>
            </w:r>
            <w:r>
              <w:rPr>
                <w:rFonts w:ascii="仿宋_GB2312" w:cs="宋体" w:eastAsia="仿宋_GB2312" w:hAnsi="宋体" w:hint="eastAsia"/>
                <w:color w:val="000000"/>
                <w:kern w:val="0"/>
                <w:sz w:val="20"/>
                <w:szCs w:val="20"/>
              </w:rPr>
              <w:t>×</w:t>
            </w:r>
            <w:r>
              <w:rPr>
                <w:rFonts w:ascii="仿宋_GB2312" w:cs="宋体" w:eastAsia="仿宋_GB2312" w:hAnsi="宋体"/>
                <w:color w:val="000000"/>
                <w:kern w:val="0"/>
                <w:sz w:val="20"/>
                <w:szCs w:val="20"/>
              </w:rPr>
              <w:t>100%</w:t>
            </w:r>
            <w:r>
              <w:rPr>
                <w:rFonts w:ascii="仿宋_GB2312" w:cs="宋体" w:eastAsia="仿宋_GB2312" w:hAnsi="宋体" w:hint="eastAsia"/>
                <w:color w:val="000000"/>
                <w:kern w:val="0"/>
                <w:sz w:val="20"/>
                <w:szCs w:val="20"/>
              </w:rPr>
              <w:t>。</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实际完成时间：项目实施单位完成该项目实际所耗用的时间。</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rHeight w:val="641" w:hRule="atLeast"/>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计划完成时间：桉照项目实施计划或相关规定完成该项目所需的时间。</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质量达标率</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项目完成的质量达标产出数与实际产出数的比率，用以反映和考核项目产出质量目标的实现程度。</w:t>
            </w: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质量达标率＝（质量达标产出数</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实际产出数）</w:t>
            </w:r>
            <w:r>
              <w:rPr>
                <w:rFonts w:ascii="仿宋_GB2312" w:cs="宋体" w:eastAsia="仿宋_GB2312" w:hAnsi="宋体"/>
                <w:color w:val="000000"/>
                <w:kern w:val="0"/>
                <w:sz w:val="20"/>
                <w:szCs w:val="20"/>
              </w:rPr>
              <w:t>/100%</w:t>
            </w:r>
            <w:r>
              <w:rPr>
                <w:rFonts w:ascii="仿宋_GB2312" w:cs="宋体" w:eastAsia="仿宋_GB2312" w:hAnsi="宋体" w:hint="eastAsia"/>
                <w:color w:val="000000"/>
                <w:kern w:val="0"/>
                <w:sz w:val="20"/>
                <w:szCs w:val="20"/>
              </w:rPr>
              <w:t>。</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质量达标产出数：一定时期（本年度或项目期）内实际达到既定质量标准的产品或服务数量。</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rHeight w:val="878" w:hRule="atLeast"/>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既定质量标准是指项目实施单位设立绩效目标时依据计划标准、行业标准、历史标准或其他标准而设定的绩效指标值。</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成本节约率</w:t>
            </w:r>
          </w:p>
        </w:tc>
        <w:tc>
          <w:tcPr>
            <w:tcW w:w="416"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5</w:t>
            </w:r>
          </w:p>
        </w:tc>
        <w:tc>
          <w:tcPr>
            <w:tcW w:w="2316"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完成项目计划工作目标的实际节约成本与计划成本的比率，用以反映和考核项目的成本节约程度。</w:t>
            </w: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成本节约率＝</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计划成本</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实际成本</w:t>
            </w:r>
            <w:r>
              <w:rPr>
                <w:rFonts w:ascii="仿宋_GB2312" w:cs="宋体" w:eastAsia="仿宋_GB2312" w:hAnsi="宋体"/>
                <w:color w:val="000000"/>
                <w:kern w:val="0"/>
                <w:sz w:val="20"/>
                <w:szCs w:val="20"/>
              </w:rPr>
              <w:t>) /</w:t>
            </w:r>
            <w:r>
              <w:rPr>
                <w:rFonts w:ascii="仿宋_GB2312" w:cs="宋体" w:eastAsia="仿宋_GB2312" w:hAnsi="宋体" w:hint="eastAsia"/>
                <w:color w:val="000000"/>
                <w:kern w:val="0"/>
                <w:sz w:val="20"/>
                <w:szCs w:val="20"/>
              </w:rPr>
              <w:t>计划成本×</w:t>
            </w:r>
            <w:r>
              <w:rPr>
                <w:rFonts w:ascii="仿宋_GB2312" w:cs="宋体" w:eastAsia="仿宋_GB2312" w:hAnsi="宋体"/>
                <w:color w:val="000000"/>
                <w:kern w:val="0"/>
                <w:sz w:val="20"/>
                <w:szCs w:val="20"/>
              </w:rPr>
              <w:t>100%</w:t>
            </w:r>
            <w:r>
              <w:rPr>
                <w:rFonts w:ascii="仿宋_GB2312" w:cs="宋体" w:eastAsia="仿宋_GB2312" w:hAnsi="宋体" w:hint="eastAsia"/>
                <w:color w:val="000000"/>
                <w:kern w:val="0"/>
                <w:sz w:val="20"/>
                <w:szCs w:val="20"/>
              </w:rPr>
              <w:t>。</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实际成本：项目实施单位如期、保质、保量完成既定工作目标实际所耗费的支出。</w:t>
            </w:r>
          </w:p>
        </w:tc>
        <w:tc>
          <w:tcPr>
            <w:tcW w:w="600" w:type="dxa"/>
            <w:tcBorders>
              <w:top w:val="nil"/>
              <w:left w:val="nil"/>
              <w:bottom w:val="nil"/>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rHeight w:val="765" w:hRule="atLeast"/>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416"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2316"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计划成本：项目实施单位为完成工作目标计划安排的支出，一般以项目预算为参考。</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r>
        <w:tblPrEx/>
        <w:trPr/>
        <w:tc>
          <w:tcPr>
            <w:tcW w:w="385"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效果</w:t>
            </w:r>
          </w:p>
        </w:tc>
        <w:tc>
          <w:tcPr>
            <w:tcW w:w="364"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项目效益</w:t>
            </w:r>
          </w:p>
        </w:tc>
        <w:tc>
          <w:tcPr>
            <w:tcW w:w="855"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经济效益</w:t>
            </w:r>
          </w:p>
        </w:tc>
        <w:tc>
          <w:tcPr>
            <w:tcW w:w="416"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6</w:t>
            </w:r>
          </w:p>
        </w:tc>
        <w:tc>
          <w:tcPr>
            <w:tcW w:w="2316"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项目实施对经济发展所带来的直接或间接影响情况。</w:t>
            </w:r>
          </w:p>
        </w:tc>
        <w:tc>
          <w:tcPr>
            <w:tcW w:w="5138" w:type="dxa"/>
            <w:vMerge w:val="restart"/>
            <w:tcBorders>
              <w:top w:val="nil"/>
              <w:left w:val="single" w:sz="4" w:space="0" w:color="auto"/>
              <w:bottom w:val="single" w:sz="4" w:space="0" w:color="000000"/>
              <w:right w:val="single" w:sz="4" w:space="0" w:color="auto"/>
            </w:tcBorders>
            <w:vAlign w:val="center"/>
          </w:tcPr>
          <w:p>
            <w:pPr>
              <w:pStyle w:val="style0"/>
              <w:widowControl/>
              <w:spacing w:lineRule="exact" w:line="240"/>
              <w:rPr>
                <w:rFonts w:ascii="仿宋_GB2312" w:cs="宋体" w:eastAsia="仿宋_GB2312" w:hAnsi="宋体" w:hint="eastAsia"/>
                <w:color w:val="000000"/>
                <w:kern w:val="0"/>
                <w:sz w:val="20"/>
                <w:szCs w:val="20"/>
                <w:lang w:val="en-US" w:eastAsia="zh-CN"/>
              </w:rPr>
            </w:pPr>
            <w:r>
              <w:rPr>
                <w:rFonts w:ascii="仿宋_GB2312" w:cs="宋体" w:eastAsia="仿宋_GB2312" w:hAnsi="宋体" w:hint="eastAsia"/>
                <w:color w:val="000000"/>
                <w:kern w:val="0"/>
                <w:sz w:val="20"/>
                <w:szCs w:val="20"/>
              </w:rPr>
              <w:t>此四项指标为设置项目支出</w:t>
            </w:r>
            <w:r>
              <w:rPr>
                <w:rFonts w:ascii="宋体" w:cs="宋体" w:hAnsi="宋体" w:hint="eastAsia"/>
                <w:color w:val="000000"/>
                <w:kern w:val="0"/>
                <w:sz w:val="20"/>
                <w:szCs w:val="20"/>
              </w:rPr>
              <w:t>績</w:t>
            </w:r>
            <w:r>
              <w:rPr>
                <w:rFonts w:ascii="仿宋_GB2312" w:cs="仿宋_GB2312" w:eastAsia="仿宋_GB2312" w:hAnsi="仿宋_GB2312" w:hint="eastAsia"/>
                <w:color w:val="000000"/>
                <w:kern w:val="0"/>
                <w:sz w:val="20"/>
                <w:szCs w:val="20"/>
              </w:rPr>
              <w:t>效评价指标时必须考虑的共性要素，可根据项目实际并结合绩效目标设立情况有选择的</w:t>
            </w:r>
            <w:r>
              <w:rPr>
                <w:rFonts w:ascii="宋体" w:cs="宋体" w:hAnsi="宋体" w:hint="eastAsia"/>
                <w:color w:val="000000"/>
                <w:kern w:val="0"/>
                <w:sz w:val="20"/>
                <w:szCs w:val="20"/>
              </w:rPr>
              <w:t>进</w:t>
            </w:r>
            <w:r>
              <w:rPr>
                <w:rFonts w:ascii="仿宋_GB2312" w:cs="仿宋_GB2312" w:eastAsia="仿宋_GB2312" w:hAnsi="仿宋_GB2312" w:hint="eastAsia"/>
                <w:color w:val="000000"/>
                <w:kern w:val="0"/>
                <w:sz w:val="20"/>
                <w:szCs w:val="20"/>
              </w:rPr>
              <w:t>行设置，并将其细化为相应的个性化指标。</w:t>
            </w:r>
          </w:p>
        </w:tc>
        <w:tc>
          <w:tcPr>
            <w:tcW w:w="600" w:type="dxa"/>
            <w:vMerge w:val="restart"/>
            <w:tcBorders>
              <w:top w:val="nil"/>
              <w:left w:val="single" w:sz="4" w:space="0" w:color="auto"/>
              <w:right w:val="single" w:sz="4" w:space="0" w:color="auto"/>
            </w:tcBorders>
            <w:vAlign w:val="center"/>
          </w:tcPr>
          <w:p>
            <w:pPr>
              <w:pStyle w:val="style0"/>
              <w:widowControl/>
              <w:spacing w:lineRule="exact" w:line="240"/>
              <w:rPr>
                <w:rFonts w:ascii="仿宋_GB2312" w:cs="宋体" w:eastAsia="仿宋_GB2312" w:hAnsi="宋体" w:hint="default"/>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22</w:t>
            </w: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社会效益</w:t>
            </w:r>
          </w:p>
        </w:tc>
        <w:tc>
          <w:tcPr>
            <w:tcW w:w="416" w:type="dxa"/>
            <w:tcBorders>
              <w:top w:val="single" w:sz="4" w:space="0" w:color="auto"/>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6</w:t>
            </w:r>
          </w:p>
        </w:tc>
        <w:tc>
          <w:tcPr>
            <w:tcW w:w="2316"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项目实施对社会发展所带来的直接或间接影响情况。</w:t>
            </w:r>
          </w:p>
        </w:tc>
        <w:tc>
          <w:tcPr>
            <w:tcW w:w="5138"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600"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生态效益</w:t>
            </w:r>
          </w:p>
        </w:tc>
        <w:tc>
          <w:tcPr>
            <w:tcW w:w="416" w:type="dxa"/>
            <w:tcBorders>
              <w:top w:val="single" w:sz="4" w:space="0" w:color="auto"/>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6</w:t>
            </w:r>
          </w:p>
        </w:tc>
        <w:tc>
          <w:tcPr>
            <w:tcW w:w="2316"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项目实施对生态环境所带来的直接或间接影响情况。</w:t>
            </w:r>
          </w:p>
        </w:tc>
        <w:tc>
          <w:tcPr>
            <w:tcW w:w="5138"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600" w:type="dxa"/>
            <w:vMerge w:val="continue"/>
            <w:tcBorders>
              <w:left w:val="single" w:sz="4" w:space="0" w:color="auto"/>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可持续影响</w:t>
            </w:r>
          </w:p>
        </w:tc>
        <w:tc>
          <w:tcPr>
            <w:tcW w:w="416" w:type="dxa"/>
            <w:tcBorders>
              <w:top w:val="single" w:sz="4" w:space="0" w:color="auto"/>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6</w:t>
            </w:r>
          </w:p>
        </w:tc>
        <w:tc>
          <w:tcPr>
            <w:tcW w:w="2316"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项目后续运行及成效发挥的可持续影响情况。</w:t>
            </w:r>
          </w:p>
        </w:tc>
        <w:tc>
          <w:tcPr>
            <w:tcW w:w="5138"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600" w:type="dxa"/>
            <w:vMerge w:val="continue"/>
            <w:tcBorders>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r>
      <w:tr>
        <w:tblPrEx/>
        <w:trPr/>
        <w:tc>
          <w:tcPr>
            <w:tcW w:w="385"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364" w:type="dxa"/>
            <w:vMerge w:val="continue"/>
            <w:tcBorders>
              <w:top w:val="nil"/>
              <w:left w:val="single" w:sz="4" w:space="0" w:color="auto"/>
              <w:bottom w:val="single" w:sz="4" w:space="0" w:color="000000"/>
              <w:right w:val="single" w:sz="4" w:space="0" w:color="auto"/>
            </w:tcBorders>
            <w:vAlign w:val="center"/>
          </w:tcPr>
          <w:p>
            <w:pPr>
              <w:pStyle w:val="style0"/>
              <w:widowControl/>
              <w:spacing w:lineRule="exact" w:line="240"/>
              <w:jc w:val="left"/>
              <w:rPr>
                <w:rFonts w:ascii="仿宋_GB2312" w:cs="宋体" w:eastAsia="仿宋_GB2312" w:hAnsi="宋体"/>
                <w:color w:val="000000"/>
                <w:kern w:val="0"/>
                <w:sz w:val="20"/>
                <w:szCs w:val="20"/>
              </w:rPr>
            </w:pPr>
          </w:p>
        </w:tc>
        <w:tc>
          <w:tcPr>
            <w:tcW w:w="855" w:type="dxa"/>
            <w:tcBorders>
              <w:top w:val="nil"/>
              <w:left w:val="nil"/>
              <w:bottom w:val="single" w:sz="4" w:space="0" w:color="auto"/>
              <w:right w:val="single" w:sz="4" w:space="0" w:color="auto"/>
            </w:tcBorders>
            <w:vAlign w:val="center"/>
          </w:tcPr>
          <w:p>
            <w:pPr>
              <w:pStyle w:val="style0"/>
              <w:widowControl/>
              <w:spacing w:lineRule="exact" w:line="240"/>
              <w:jc w:val="center"/>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社会公众或服务对象满意度</w:t>
            </w:r>
          </w:p>
        </w:tc>
        <w:tc>
          <w:tcPr>
            <w:tcW w:w="416" w:type="dxa"/>
            <w:tcBorders>
              <w:top w:val="single" w:sz="4" w:space="0" w:color="auto"/>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color w:val="000000"/>
                <w:kern w:val="0"/>
                <w:sz w:val="20"/>
                <w:szCs w:val="20"/>
              </w:rPr>
              <w:t>6</w:t>
            </w:r>
          </w:p>
        </w:tc>
        <w:tc>
          <w:tcPr>
            <w:tcW w:w="2316"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社会公众或服务对象对项目实施效策的满意程度</w:t>
            </w:r>
          </w:p>
        </w:tc>
        <w:tc>
          <w:tcPr>
            <w:tcW w:w="5138"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color w:val="000000"/>
                <w:kern w:val="0"/>
                <w:sz w:val="20"/>
                <w:szCs w:val="20"/>
              </w:rPr>
            </w:pPr>
            <w:r>
              <w:rPr>
                <w:rFonts w:ascii="仿宋_GB2312" w:cs="宋体" w:eastAsia="仿宋_GB2312" w:hAnsi="宋体" w:hint="eastAsia"/>
                <w:color w:val="000000"/>
                <w:kern w:val="0"/>
                <w:sz w:val="20"/>
                <w:szCs w:val="20"/>
              </w:rPr>
              <w:t>社会公众或服务对象是指因该项目实施而受到影响的部门</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单位</w:t>
            </w:r>
            <w:r>
              <w:rPr>
                <w:rFonts w:ascii="仿宋_GB2312" w:cs="宋体" w:eastAsia="仿宋_GB2312" w:hAnsi="宋体"/>
                <w:color w:val="000000"/>
                <w:kern w:val="0"/>
                <w:sz w:val="20"/>
                <w:szCs w:val="20"/>
              </w:rPr>
              <w:t>)</w:t>
            </w:r>
            <w:r>
              <w:rPr>
                <w:rFonts w:ascii="仿宋_GB2312" w:cs="宋体" w:eastAsia="仿宋_GB2312" w:hAnsi="宋体" w:hint="eastAsia"/>
                <w:color w:val="000000"/>
                <w:kern w:val="0"/>
                <w:sz w:val="20"/>
                <w:szCs w:val="20"/>
              </w:rPr>
              <w:t>、群体或个人。一般采取社会调查的方式。</w:t>
            </w:r>
          </w:p>
        </w:tc>
        <w:tc>
          <w:tcPr>
            <w:tcW w:w="600" w:type="dxa"/>
            <w:tcBorders>
              <w:top w:val="nil"/>
              <w:left w:val="nil"/>
              <w:bottom w:val="single" w:sz="4" w:space="0" w:color="auto"/>
              <w:right w:val="single" w:sz="4" w:space="0" w:color="auto"/>
            </w:tcBorders>
            <w:vAlign w:val="center"/>
          </w:tcPr>
          <w:p>
            <w:pPr>
              <w:pStyle w:val="style0"/>
              <w:widowControl/>
              <w:spacing w:lineRule="exact" w:line="240"/>
              <w:rPr>
                <w:rFonts w:ascii="仿宋_GB2312" w:cs="宋体" w:eastAsia="仿宋_GB2312" w:hAnsi="宋体" w:hint="default"/>
                <w:color w:val="000000"/>
                <w:kern w:val="0"/>
                <w:sz w:val="20"/>
                <w:szCs w:val="20"/>
                <w:lang w:val="en-US" w:eastAsia="zh-CN"/>
              </w:rPr>
            </w:pPr>
            <w:r>
              <w:rPr>
                <w:rFonts w:ascii="仿宋_GB2312" w:cs="宋体" w:eastAsia="仿宋_GB2312" w:hAnsi="宋体" w:hint="eastAsia"/>
                <w:color w:val="000000"/>
                <w:kern w:val="0"/>
                <w:sz w:val="20"/>
                <w:szCs w:val="20"/>
                <w:lang w:val="en-US" w:eastAsia="zh-CN"/>
              </w:rPr>
              <w:t>5</w:t>
            </w:r>
          </w:p>
        </w:tc>
      </w:tr>
    </w:tbl>
    <w:p>
      <w:pPr>
        <w:pStyle w:val="style0"/>
        <w:rPr>
          <w:rFonts w:eastAsia="宋体" w:hint="default"/>
          <w:lang w:val="en-US" w:eastAsia="zh-CN"/>
        </w:rPr>
      </w:pPr>
      <w:r>
        <w:rPr>
          <w:rFonts w:hint="eastAsia"/>
          <w:lang w:val="en-US" w:eastAsia="zh-CN"/>
        </w:rPr>
        <w:t xml:space="preserve">                                                               合计96分</w:t>
      </w:r>
    </w:p>
    <w:p>
      <w:pPr>
        <w:pStyle w:val="style0"/>
        <w:jc w:val="left"/>
        <w:rPr>
          <w:rFonts w:ascii="仿宋" w:cs="仿宋" w:eastAsia="仿宋" w:hAnsi="仿宋" w:hint="eastAsia"/>
          <w:spacing w:val="-2"/>
          <w:sz w:val="32"/>
          <w:szCs w:val="32"/>
          <w:highlight w:val="none"/>
          <w:lang w:val="en-US" w:eastAsia="zh-CN"/>
        </w:rPr>
      </w:pPr>
    </w:p>
    <w:p>
      <w:pPr>
        <w:pStyle w:val="style0"/>
        <w:spacing w:lineRule="exact" w:line="560"/>
        <w:rPr>
          <w:rFonts w:ascii="黑体" w:cs="宋体" w:eastAsia="黑体" w:hAnsi="宋体" w:hint="default"/>
          <w:kern w:val="0"/>
          <w:sz w:val="32"/>
          <w:szCs w:val="32"/>
          <w:lang w:val="en-US" w:eastAsia="zh-CN"/>
        </w:rPr>
      </w:pPr>
      <w:r>
        <w:rPr>
          <w:rFonts w:ascii="黑体" w:cs="宋体" w:eastAsia="黑体" w:hAnsi="宋体" w:hint="eastAsia"/>
          <w:kern w:val="0"/>
          <w:sz w:val="32"/>
          <w:szCs w:val="32"/>
          <w:lang w:val="en-US" w:eastAsia="zh-CN"/>
        </w:rPr>
        <w:t>附件6-1：</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高考高考经费</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9.00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11.64</w:t>
            </w: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129.33%</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9.00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11.64</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129.33%</w:t>
            </w: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宋体" w:cs="宋体" w:hAnsi="宋体" w:hint="default"/>
                <w:color w:val="000000"/>
                <w:kern w:val="0"/>
                <w:szCs w:val="21"/>
                <w:lang w:val="en-US"/>
              </w:rPr>
            </w:pPr>
            <w:r>
              <w:rPr>
                <w:rFonts w:ascii="宋体" w:cs="宋体" w:hAnsi="宋体" w:hint="eastAsia"/>
                <w:color w:val="000000"/>
                <w:kern w:val="0"/>
                <w:szCs w:val="21"/>
                <w:lang w:val="en-US" w:eastAsia="zh-CN"/>
              </w:rPr>
              <w:t>确保铁一考点顺利进行</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宋体" w:cs="宋体" w:hAnsi="宋体" w:hint="eastAsia"/>
                <w:color w:val="000000"/>
                <w:kern w:val="0"/>
                <w:szCs w:val="21"/>
                <w:lang w:val="en-US" w:eastAsia="zh-CN"/>
              </w:rPr>
              <w:t>确保铁一考点顺利进行</w:t>
            </w: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质量达标率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高考考点经费成本</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11.64</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提高怀化整体教育水平</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bl>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default"/>
          <w:kern w:val="0"/>
          <w:sz w:val="32"/>
          <w:szCs w:val="32"/>
          <w:lang w:val="en-US" w:eastAsia="zh-CN"/>
        </w:rPr>
      </w:pPr>
      <w:r>
        <w:rPr>
          <w:rFonts w:ascii="黑体" w:cs="宋体" w:eastAsia="黑体" w:hAnsi="宋体" w:hint="eastAsia"/>
          <w:kern w:val="0"/>
          <w:sz w:val="32"/>
          <w:szCs w:val="32"/>
          <w:lang w:val="en-US" w:eastAsia="zh-CN"/>
        </w:rPr>
        <w:t>附件6-2：</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校方责任险</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3.80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3.83</w:t>
            </w: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100.79%</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3.80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3.83</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100.79%</w:t>
            </w: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lang w:val="en-US" w:eastAsia="zh-CN"/>
              </w:rPr>
              <w:t>保障学校和师生的生命财产安全</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保障学校和师生的生命财产安全</w:t>
            </w: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质量达标率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校方责任险成本</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3.80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3.83</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626"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保障学校和师生的生命财产安全</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bl>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default"/>
          <w:kern w:val="0"/>
          <w:sz w:val="32"/>
          <w:szCs w:val="32"/>
          <w:lang w:val="en-US" w:eastAsia="zh-CN"/>
        </w:rPr>
      </w:pPr>
      <w:r>
        <w:rPr>
          <w:rFonts w:ascii="黑体" w:cs="宋体" w:eastAsia="黑体" w:hAnsi="宋体" w:hint="eastAsia"/>
          <w:kern w:val="0"/>
          <w:sz w:val="32"/>
          <w:szCs w:val="32"/>
          <w:lang w:val="en-US" w:eastAsia="zh-CN"/>
        </w:rPr>
        <w:t>附件6-3：</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校方保安费</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21.80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32.59</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149.50%</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21.80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32.59</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149.50%</w:t>
            </w: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lang w:val="en-US" w:eastAsia="zh-CN"/>
              </w:rPr>
              <w:t>保障学校和师生的生命财产安全</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保障学校和师生的生命财产安全</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质量达标率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校园安保费</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21.80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32.59</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626"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保障学校和师生的生命财产安全</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vMerge w:val="restart"/>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bl>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default"/>
          <w:kern w:val="0"/>
          <w:sz w:val="32"/>
          <w:szCs w:val="32"/>
          <w:lang w:val="en-US" w:eastAsia="zh-CN"/>
        </w:rPr>
      </w:pPr>
      <w:r>
        <w:rPr>
          <w:rFonts w:ascii="黑体" w:cs="宋体" w:eastAsia="黑体" w:hAnsi="宋体" w:hint="eastAsia"/>
          <w:kern w:val="0"/>
          <w:sz w:val="32"/>
          <w:szCs w:val="32"/>
          <w:lang w:val="en-US" w:eastAsia="zh-CN"/>
        </w:rPr>
        <w:t>附件6-4：</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学生公寓建设</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106.11</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106.11</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100.00%</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106.11</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106.11</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100.00%</w:t>
            </w: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宋体" w:cs="宋体" w:eastAsia="宋体" w:hAnsi="宋体" w:hint="default"/>
                <w:color w:val="000000"/>
                <w:kern w:val="0"/>
                <w:szCs w:val="21"/>
                <w:lang w:val="en-US" w:eastAsia="zh-CN"/>
              </w:rPr>
            </w:pPr>
            <w:r>
              <w:rPr>
                <w:rFonts w:ascii="宋体" w:cs="宋体" w:hAnsi="宋体" w:hint="eastAsia"/>
                <w:color w:val="000000"/>
                <w:kern w:val="0"/>
                <w:szCs w:val="21"/>
                <w:lang w:val="en-US" w:eastAsia="zh-CN"/>
              </w:rPr>
              <w:t>2021年度完成投资106.11万元</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2021年度完成投资106.11万元</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质量达标率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投资成本</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106.11</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106.11</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626"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改善办学条件</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vMerge w:val="restart"/>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bl>
    <w:p>
      <w:pPr>
        <w:pStyle w:val="style0"/>
        <w:rPr/>
      </w:pPr>
    </w:p>
    <w:p>
      <w:pPr>
        <w:pStyle w:val="style0"/>
        <w:spacing w:lineRule="exact" w:line="560"/>
        <w:rPr>
          <w:rFonts w:ascii="黑体" w:cs="宋体" w:eastAsia="黑体" w:hAnsi="宋体" w:hint="default"/>
          <w:kern w:val="0"/>
          <w:sz w:val="32"/>
          <w:szCs w:val="32"/>
          <w:lang w:val="en-US" w:eastAsia="zh-CN"/>
        </w:rPr>
      </w:pPr>
      <w:r>
        <w:rPr>
          <w:rFonts w:ascii="仿宋" w:cs="仿宋" w:eastAsia="仿宋" w:hAnsi="仿宋" w:hint="eastAsia"/>
          <w:spacing w:val="-2"/>
          <w:sz w:val="32"/>
          <w:szCs w:val="32"/>
          <w:highlight w:val="none"/>
          <w:lang w:val="en-US" w:eastAsia="zh-CN"/>
        </w:rPr>
        <w:br w:type="page"/>
      </w:r>
      <w:r>
        <w:rPr>
          <w:rFonts w:ascii="黑体" w:cs="宋体" w:eastAsia="黑体" w:hAnsi="宋体" w:hint="eastAsia"/>
          <w:kern w:val="0"/>
          <w:sz w:val="32"/>
          <w:szCs w:val="32"/>
          <w:lang w:val="en-US" w:eastAsia="zh-CN"/>
        </w:rPr>
        <w:t>附件6-5：</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高压线路改迁</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42.06</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42.06</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宋体" w:cs="宋体" w:eastAsia="宋体" w:hAnsi="宋体" w:hint="default"/>
                <w:color w:val="000000"/>
                <w:kern w:val="0"/>
                <w:szCs w:val="21"/>
                <w:lang w:val="en-US" w:eastAsia="zh-CN"/>
              </w:rPr>
            </w:pPr>
            <w:r>
              <w:rPr>
                <w:rFonts w:ascii="宋体" w:cs="宋体" w:hAnsi="宋体" w:hint="eastAsia"/>
                <w:color w:val="000000"/>
                <w:kern w:val="0"/>
                <w:szCs w:val="21"/>
                <w:lang w:val="en-US" w:eastAsia="zh-CN"/>
              </w:rPr>
              <w:t>高压线路改迁完成扫尾工程</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宋体" w:cs="宋体" w:hAnsi="宋体" w:hint="eastAsia"/>
                <w:color w:val="000000"/>
                <w:kern w:val="0"/>
                <w:szCs w:val="21"/>
                <w:lang w:val="en-US" w:eastAsia="zh-CN"/>
              </w:rPr>
              <w:t>高压线路改迁完成扫尾工程</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质量达标率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改迁成本</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42.06</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626"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改善办学条件</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vMerge w:val="restart"/>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bl>
    <w:p>
      <w:pPr>
        <w:pStyle w:val="style0"/>
        <w:rPr/>
      </w:pPr>
    </w:p>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default"/>
          <w:kern w:val="0"/>
          <w:sz w:val="32"/>
          <w:szCs w:val="32"/>
          <w:lang w:val="en-US" w:eastAsia="zh-CN"/>
        </w:rPr>
      </w:pPr>
      <w:r>
        <w:rPr>
          <w:rFonts w:ascii="黑体" w:cs="宋体" w:eastAsia="黑体" w:hAnsi="宋体" w:hint="eastAsia"/>
          <w:kern w:val="0"/>
          <w:sz w:val="32"/>
          <w:szCs w:val="32"/>
          <w:lang w:val="en-US" w:eastAsia="zh-CN"/>
        </w:rPr>
        <w:t>附件6-6：</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机器人实验室</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93.03</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93.03</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宋体" w:cs="宋体" w:eastAsia="宋体" w:hAnsi="宋体" w:hint="default"/>
                <w:color w:val="000000"/>
                <w:kern w:val="0"/>
                <w:szCs w:val="21"/>
                <w:lang w:val="en-US" w:eastAsia="zh-CN"/>
              </w:rPr>
            </w:pPr>
            <w:r>
              <w:rPr>
                <w:rFonts w:ascii="宋体" w:cs="宋体" w:hAnsi="宋体" w:hint="eastAsia"/>
                <w:color w:val="000000"/>
                <w:kern w:val="0"/>
                <w:szCs w:val="21"/>
                <w:lang w:val="en-US" w:eastAsia="zh-CN"/>
              </w:rPr>
              <w:t>完成机器人实验室的建设</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hint="default"/>
                <w:color w:val="000000"/>
                <w:kern w:val="0"/>
                <w:szCs w:val="21"/>
                <w:lang w:val="en-US" w:eastAsia="zh-CN"/>
              </w:rPr>
            </w:pPr>
            <w:r>
              <w:rPr>
                <w:rFonts w:ascii="宋体" w:cs="宋体" w:hAnsi="宋体" w:hint="eastAsia"/>
                <w:color w:val="000000"/>
                <w:kern w:val="0"/>
                <w:szCs w:val="21"/>
                <w:lang w:val="en-US" w:eastAsia="zh-CN"/>
              </w:rPr>
              <w:t>完成机器人实验室的建设</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质量达标率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购置成本</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93.03</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626"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改善办学条件</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bl>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default"/>
          <w:kern w:val="0"/>
          <w:sz w:val="32"/>
          <w:szCs w:val="32"/>
          <w:lang w:val="en-US" w:eastAsia="zh-CN"/>
        </w:rPr>
      </w:pPr>
      <w:r>
        <w:rPr>
          <w:rFonts w:ascii="黑体" w:cs="宋体" w:eastAsia="黑体" w:hAnsi="宋体" w:hint="eastAsia"/>
          <w:kern w:val="0"/>
          <w:sz w:val="32"/>
          <w:szCs w:val="32"/>
          <w:lang w:val="en-US" w:eastAsia="zh-CN"/>
        </w:rPr>
        <w:t>附件6-7：</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食堂改造及设施购置</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100.00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97.72</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97.72%</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100.00</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97.72</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97.72%</w:t>
            </w: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宋体" w:cs="宋体" w:eastAsia="宋体" w:hAnsi="宋体" w:hint="default"/>
                <w:color w:val="000000"/>
                <w:kern w:val="0"/>
                <w:szCs w:val="21"/>
                <w:lang w:val="en-US" w:eastAsia="zh-CN"/>
              </w:rPr>
            </w:pPr>
            <w:r>
              <w:rPr>
                <w:rFonts w:ascii="宋体" w:cs="宋体" w:hAnsi="宋体" w:hint="eastAsia"/>
                <w:color w:val="000000"/>
                <w:kern w:val="0"/>
                <w:szCs w:val="21"/>
                <w:lang w:val="en-US" w:eastAsia="zh-CN"/>
              </w:rPr>
              <w:t>完成</w:t>
            </w:r>
            <w:r>
              <w:rPr>
                <w:rFonts w:ascii="仿宋_GB2312" w:cs="宋体" w:eastAsia="仿宋_GB2312" w:hAnsi="宋体" w:hint="eastAsia"/>
                <w:color w:val="000000"/>
                <w:kern w:val="0"/>
                <w:szCs w:val="21"/>
                <w:lang w:val="en-US" w:eastAsia="zh-CN"/>
              </w:rPr>
              <w:t>食堂改造及设施购置</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hint="default"/>
                <w:color w:val="000000"/>
                <w:kern w:val="0"/>
                <w:szCs w:val="21"/>
                <w:lang w:val="en-US" w:eastAsia="zh-CN"/>
              </w:rPr>
            </w:pPr>
            <w:r>
              <w:rPr>
                <w:rFonts w:ascii="宋体" w:cs="宋体" w:hAnsi="宋体" w:hint="eastAsia"/>
                <w:color w:val="000000"/>
                <w:kern w:val="0"/>
                <w:szCs w:val="21"/>
                <w:lang w:val="en-US" w:eastAsia="zh-CN"/>
              </w:rPr>
              <w:t>完成</w:t>
            </w:r>
            <w:r>
              <w:rPr>
                <w:rFonts w:ascii="仿宋_GB2312" w:cs="宋体" w:eastAsia="仿宋_GB2312" w:hAnsi="宋体" w:hint="eastAsia"/>
                <w:color w:val="000000"/>
                <w:kern w:val="0"/>
                <w:szCs w:val="21"/>
                <w:lang w:val="en-US" w:eastAsia="zh-CN"/>
              </w:rPr>
              <w:t>食堂改造及设施购置</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验收合格率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建设和购置成本</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100.00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97.72</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626"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改善办学条件</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vMerge w:val="restart"/>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bl>
    <w:p>
      <w:pPr>
        <w:pStyle w:val="style0"/>
        <w:rPr/>
      </w:pPr>
    </w:p>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default"/>
          <w:kern w:val="0"/>
          <w:sz w:val="32"/>
          <w:szCs w:val="32"/>
          <w:lang w:val="en-US" w:eastAsia="zh-CN"/>
        </w:rPr>
      </w:pPr>
      <w:r>
        <w:rPr>
          <w:rFonts w:ascii="黑体" w:cs="宋体" w:eastAsia="黑体" w:hAnsi="宋体" w:hint="eastAsia"/>
          <w:kern w:val="0"/>
          <w:sz w:val="32"/>
          <w:szCs w:val="32"/>
          <w:lang w:val="en-US" w:eastAsia="zh-CN"/>
        </w:rPr>
        <w:t>附件6-8：</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2021年省级师培</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6.48</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6.48</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100%</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default"/>
                <w:color w:val="000000"/>
                <w:kern w:val="0"/>
                <w:szCs w:val="21"/>
                <w:lang w:val="en-US"/>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6.48</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6.48</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 w:cs="仿宋" w:eastAsia="仿宋" w:hAnsi="仿宋" w:hint="eastAsia"/>
                <w:color w:val="000000"/>
                <w:kern w:val="0"/>
                <w:szCs w:val="21"/>
                <w:lang w:val="en-US" w:eastAsia="zh-CN"/>
              </w:rPr>
            </w:pPr>
            <w:r>
              <w:rPr>
                <w:rFonts w:ascii="仿宋" w:cs="仿宋" w:eastAsia="仿宋" w:hAnsi="仿宋" w:hint="eastAsia"/>
                <w:color w:val="000000"/>
                <w:kern w:val="0"/>
                <w:szCs w:val="21"/>
                <w:lang w:val="en-US" w:eastAsia="zh-CN"/>
              </w:rPr>
              <w:t>完成青年班主任的培训</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 w:cs="仿宋" w:eastAsia="仿宋" w:hAnsi="仿宋" w:hint="eastAsia"/>
                <w:color w:val="000000"/>
                <w:kern w:val="0"/>
                <w:szCs w:val="21"/>
                <w:lang w:val="en-US" w:eastAsia="zh-CN"/>
              </w:rPr>
            </w:pPr>
            <w:r>
              <w:rPr>
                <w:rFonts w:ascii="仿宋" w:cs="仿宋" w:eastAsia="仿宋" w:hAnsi="仿宋" w:hint="eastAsia"/>
                <w:color w:val="000000"/>
                <w:kern w:val="0"/>
                <w:szCs w:val="21"/>
                <w:lang w:val="en-US" w:eastAsia="zh-CN"/>
              </w:rPr>
              <w:t>完成青年班主任的培训</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验收合格率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师培成本</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100.00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97.72</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626"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提高教学水平</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vMerge w:val="restart"/>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bl>
    <w:p>
      <w:pPr>
        <w:pStyle w:val="style0"/>
        <w:rPr/>
      </w:pPr>
    </w:p>
    <w:p>
      <w:pPr>
        <w:pStyle w:val="style0"/>
        <w:rPr>
          <w:rFonts w:ascii="仿宋" w:cs="仿宋" w:eastAsia="仿宋" w:hAnsi="仿宋" w:hint="eastAsia"/>
          <w:spacing w:val="-2"/>
          <w:sz w:val="32"/>
          <w:szCs w:val="32"/>
          <w:highlight w:val="none"/>
          <w:lang w:val="en-US" w:eastAsia="zh-CN"/>
        </w:rPr>
      </w:pPr>
      <w:r>
        <w:rPr>
          <w:rFonts w:ascii="仿宋" w:cs="仿宋" w:eastAsia="仿宋" w:hAnsi="仿宋" w:hint="eastAsia"/>
          <w:spacing w:val="-2"/>
          <w:sz w:val="32"/>
          <w:szCs w:val="32"/>
          <w:highlight w:val="none"/>
          <w:lang w:val="en-US" w:eastAsia="zh-CN"/>
        </w:rPr>
        <w:br w:type="page"/>
      </w:r>
    </w:p>
    <w:p>
      <w:pPr>
        <w:pStyle w:val="style0"/>
        <w:spacing w:lineRule="exact" w:line="560"/>
        <w:rPr>
          <w:rFonts w:ascii="黑体" w:cs="宋体" w:eastAsia="黑体" w:hAnsi="宋体" w:hint="default"/>
          <w:kern w:val="0"/>
          <w:sz w:val="32"/>
          <w:szCs w:val="32"/>
          <w:lang w:val="en-US" w:eastAsia="zh-CN"/>
        </w:rPr>
      </w:pPr>
      <w:r>
        <w:rPr>
          <w:rFonts w:ascii="黑体" w:cs="宋体" w:eastAsia="黑体" w:hAnsi="宋体" w:hint="eastAsia"/>
          <w:kern w:val="0"/>
          <w:sz w:val="32"/>
          <w:szCs w:val="32"/>
          <w:lang w:val="en-US" w:eastAsia="zh-CN"/>
        </w:rPr>
        <w:t>附件6-9：</w:t>
      </w:r>
    </w:p>
    <w:p>
      <w:pPr>
        <w:pStyle w:val="style0"/>
        <w:spacing w:lineRule="exact" w:line="560"/>
        <w:ind w:firstLine="2240" w:firstLineChars="700"/>
        <w:rPr>
          <w:rFonts w:ascii="黑体" w:cs="宋体" w:eastAsia="黑体" w:hAnsi="宋体" w:hint="eastAsia"/>
          <w:kern w:val="0"/>
          <w:sz w:val="32"/>
          <w:szCs w:val="32"/>
          <w:lang w:val="en-US" w:eastAsia="zh-CN"/>
        </w:rPr>
      </w:pPr>
      <w:r>
        <w:rPr>
          <w:rFonts w:ascii="黑体" w:cs="宋体" w:eastAsia="黑体" w:hAnsi="宋体" w:hint="eastAsia"/>
          <w:kern w:val="0"/>
          <w:sz w:val="32"/>
          <w:szCs w:val="32"/>
          <w:lang w:val="en-US" w:eastAsia="zh-CN"/>
        </w:rPr>
        <w:t>专项资金绩效目标自评表</w:t>
      </w:r>
    </w:p>
    <w:tbl>
      <w:tblPr>
        <w:tblStyle w:val="style105"/>
        <w:tblW w:w="10060" w:type="dxa"/>
        <w:jc w:val="center"/>
        <w:tblLayout w:type="fixed"/>
        <w:tblCellMar>
          <w:top w:w="0" w:type="dxa"/>
          <w:left w:w="108" w:type="dxa"/>
          <w:bottom w:w="0" w:type="dxa"/>
          <w:right w:w="108" w:type="dxa"/>
        </w:tblCellMar>
      </w:tblPr>
      <w:tblGrid>
        <w:gridCol w:w="769"/>
        <w:gridCol w:w="675"/>
        <w:gridCol w:w="709"/>
        <w:gridCol w:w="1923"/>
        <w:gridCol w:w="1621"/>
        <w:gridCol w:w="1427"/>
        <w:gridCol w:w="1320"/>
        <w:gridCol w:w="1616"/>
      </w:tblGrid>
      <w:tr>
        <w:trPr>
          <w:trHeight w:val="98" w:hRule="atLeast"/>
          <w:jc w:val="center"/>
        </w:trPr>
        <w:tc>
          <w:tcPr>
            <w:tcW w:w="10060" w:type="dxa"/>
            <w:gridSpan w:val="8"/>
            <w:tcBorders>
              <w:top w:val="nil"/>
              <w:left w:val="nil"/>
              <w:bottom w:val="single" w:sz="4" w:space="0" w:color="auto"/>
              <w:right w:val="nil"/>
            </w:tcBorders>
            <w:vAlign w:val="center"/>
          </w:tcPr>
          <w:p>
            <w:pPr>
              <w:pStyle w:val="style0"/>
              <w:widowControl/>
              <w:jc w:val="center"/>
              <w:rPr>
                <w:rFonts w:ascii="楷体_GB2312" w:cs="宋体" w:eastAsia="楷体_GB2312" w:hAnsi="宋体"/>
                <w:b/>
                <w:bCs/>
                <w:color w:val="000000"/>
                <w:kern w:val="0"/>
                <w:sz w:val="22"/>
              </w:rPr>
            </w:pP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两馆及周边附属设施维修改造</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负责人</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及电话</w:t>
            </w:r>
          </w:p>
        </w:tc>
        <w:tc>
          <w:tcPr>
            <w:tcW w:w="2936" w:type="dxa"/>
            <w:gridSpan w:val="2"/>
            <w:tcBorders>
              <w:top w:val="single" w:sz="4" w:space="0" w:color="auto"/>
              <w:left w:val="single" w:sz="4" w:space="0" w:color="auto"/>
              <w:bottom w:val="single" w:sz="4" w:space="0" w:color="auto"/>
              <w:right w:val="single" w:sz="4" w:space="0" w:color="auto"/>
            </w:tcBorders>
            <w:vAlign w:val="bottom"/>
          </w:tcPr>
          <w:p>
            <w:pPr>
              <w:pStyle w:val="style0"/>
              <w:widowControl/>
              <w:jc w:val="left"/>
              <w:rPr>
                <w:rFonts w:ascii="宋体" w:cs="宋体" w:hAnsi="宋体"/>
                <w:color w:val="000000"/>
                <w:kern w:val="0"/>
                <w:szCs w:val="21"/>
              </w:rPr>
            </w:pPr>
            <w:r>
              <w:rPr>
                <w:rFonts w:ascii="宋体" w:cs="宋体"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nil"/>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怀化市铁一中</w:t>
            </w:r>
            <w:r>
              <w:rPr>
                <w:rFonts w:ascii="仿宋_GB2312" w:cs="宋体" w:eastAsia="仿宋_GB2312" w:hAnsi="宋体" w:hint="eastAsia"/>
                <w:color w:val="000000"/>
                <w:kern w:val="0"/>
                <w:szCs w:val="21"/>
              </w:rPr>
              <w:t>　</w:t>
            </w:r>
          </w:p>
        </w:tc>
      </w:tr>
      <w:tr>
        <w:tblPrEx/>
        <w:trPr>
          <w:trHeight w:val="425" w:hRule="atLeast"/>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实施单位</w:t>
            </w:r>
          </w:p>
        </w:tc>
        <w:tc>
          <w:tcPr>
            <w:tcW w:w="2936" w:type="dxa"/>
            <w:gridSpan w:val="2"/>
            <w:tcBorders>
              <w:top w:val="single" w:sz="4" w:space="0" w:color="auto"/>
              <w:left w:val="single" w:sz="4" w:space="0" w:color="auto"/>
              <w:bottom w:val="single" w:sz="4" w:space="0" w:color="auto"/>
              <w:right w:val="single" w:sz="4" w:space="0" w:color="auto"/>
            </w:tcBorders>
            <w:noWrap/>
            <w:vAlign w:val="bottom"/>
          </w:tcPr>
          <w:p>
            <w:pPr>
              <w:pStyle w:val="style0"/>
              <w:widowControl/>
              <w:jc w:val="left"/>
              <w:rPr>
                <w:rFonts w:ascii="宋体" w:cs="宋体" w:eastAsia="宋体" w:hAnsi="宋体" w:hint="default"/>
                <w:color w:val="000000"/>
                <w:kern w:val="0"/>
                <w:szCs w:val="21"/>
                <w:lang w:val="en-US" w:eastAsia="zh-CN"/>
              </w:rPr>
            </w:pPr>
            <w:r>
              <w:rPr>
                <w:rFonts w:ascii="宋体" w:cs="宋体" w:hAnsi="宋体" w:hint="eastAsia"/>
                <w:color w:val="000000"/>
                <w:kern w:val="0"/>
                <w:szCs w:val="21"/>
              </w:rPr>
              <w:t>　</w:t>
            </w:r>
            <w:r>
              <w:rPr>
                <w:rFonts w:ascii="宋体" w:cs="宋体" w:hAnsi="宋体" w:hint="eastAsia"/>
                <w:color w:val="000000"/>
                <w:kern w:val="0"/>
                <w:szCs w:val="21"/>
                <w:lang w:val="en-US" w:eastAsia="zh-CN"/>
              </w:rPr>
              <w:t>怀化市铁一中</w:t>
            </w:r>
          </w:p>
        </w:tc>
      </w:tr>
      <w:tr>
        <w:tblPrEx/>
        <w:trPr>
          <w:trHeight w:val="425" w:hRule="atLeast"/>
          <w:jc w:val="center"/>
        </w:trPr>
        <w:tc>
          <w:tcPr>
            <w:tcW w:w="2153" w:type="dxa"/>
            <w:gridSpan w:val="3"/>
            <w:vMerge w:val="restart"/>
            <w:tcBorders>
              <w:top w:val="single" w:sz="4" w:space="0" w:color="auto"/>
              <w:left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项目资金（万元）</w:t>
            </w: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全年预算数（A）</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全年执行数（B）</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执行率（B／A）</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年度资金总额</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228.91</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228.91</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100%</w:t>
            </w:r>
          </w:p>
        </w:tc>
      </w:tr>
      <w:tr>
        <w:tblPrEx/>
        <w:trPr>
          <w:trHeight w:val="425"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其中：中央补助</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default"/>
                <w:color w:val="000000"/>
                <w:kern w:val="0"/>
                <w:szCs w:val="21"/>
                <w:lang w:val="en-US"/>
              </w:rPr>
              <w:t>　</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40"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ind w:firstLine="420" w:firstLineChars="2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xml:space="preserve"> 省级资金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val="en-US" w:eastAsia="zh-CN"/>
              </w:rPr>
            </w:pPr>
            <w:r>
              <w:rPr>
                <w:rFonts w:ascii="仿宋_GB2312" w:cs="宋体" w:eastAsia="仿宋_GB2312" w:hAnsi="宋体" w:hint="eastAsia"/>
                <w:color w:val="000000"/>
                <w:kern w:val="0"/>
                <w:szCs w:val="21"/>
                <w:lang w:val="en-US" w:eastAsia="zh-CN"/>
              </w:rPr>
              <w:t xml:space="preserve">    市级资金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228.91</w:t>
            </w: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default"/>
                <w:color w:val="000000"/>
                <w:kern w:val="0"/>
                <w:szCs w:val="21"/>
                <w:lang w:val="en-US"/>
              </w:rPr>
            </w:pPr>
            <w:r>
              <w:rPr>
                <w:rFonts w:ascii="仿宋_GB2312" w:cs="宋体" w:eastAsia="仿宋_GB2312" w:hAnsi="宋体" w:hint="eastAsia"/>
                <w:color w:val="000000"/>
                <w:kern w:val="0"/>
                <w:szCs w:val="21"/>
                <w:lang w:val="en-US" w:eastAsia="zh-CN"/>
              </w:rPr>
              <w:t>228.91</w:t>
            </w: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r>
      <w:tr>
        <w:tblPrEx/>
        <w:trPr>
          <w:trHeight w:val="302" w:hRule="atLeast"/>
          <w:jc w:val="center"/>
        </w:trPr>
        <w:tc>
          <w:tcPr>
            <w:tcW w:w="2153" w:type="dxa"/>
            <w:gridSpan w:val="3"/>
            <w:vMerge w:val="continue"/>
            <w:tcBorders>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lang w:eastAsia="zh-CN"/>
              </w:rPr>
            </w:pPr>
            <w:r>
              <w:rPr>
                <w:rFonts w:ascii="仿宋_GB2312" w:cs="宋体" w:eastAsia="仿宋_GB2312" w:hAnsi="宋体" w:hint="eastAsia"/>
                <w:color w:val="000000"/>
                <w:kern w:val="0"/>
                <w:szCs w:val="21"/>
                <w:lang w:val="en-US" w:eastAsia="zh-CN"/>
              </w:rPr>
              <w:t xml:space="preserve">    </w:t>
            </w:r>
            <w:r>
              <w:rPr>
                <w:rFonts w:ascii="仿宋_GB2312" w:cs="宋体" w:eastAsia="仿宋_GB2312" w:hAnsi="宋体" w:hint="eastAsia"/>
                <w:color w:val="000000"/>
                <w:kern w:val="0"/>
                <w:szCs w:val="21"/>
                <w:lang w:eastAsia="zh-CN"/>
              </w:rPr>
              <w:t>其他资金</w:t>
            </w:r>
          </w:p>
        </w:tc>
        <w:tc>
          <w:tcPr>
            <w:tcW w:w="1621"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2747" w:type="dxa"/>
            <w:gridSpan w:val="2"/>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c>
          <w:tcPr>
            <w:tcW w:w="1616"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宋体" w:cs="宋体" w:hAnsi="宋体"/>
                <w:color w:val="000000"/>
                <w:kern w:val="0"/>
                <w:szCs w:val="21"/>
              </w:rPr>
            </w:pPr>
            <w:r>
              <w:rPr>
                <w:rFonts w:ascii="仿宋_GB2312" w:cs="宋体" w:eastAsia="仿宋_GB2312" w:hAnsi="宋体" w:hint="eastAsia"/>
                <w:color w:val="000000"/>
                <w:kern w:val="0"/>
                <w:szCs w:val="21"/>
              </w:rPr>
              <w:t>年初设定目标</w:t>
            </w:r>
            <w:r>
              <w:rPr>
                <w:rFonts w:ascii="宋体" w:cs="宋体" w:hAnsi="宋体" w:hint="eastAsia"/>
                <w:color w:val="000000"/>
                <w:kern w:val="0"/>
                <w:szCs w:val="21"/>
              </w:rPr>
              <w:t>　</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全年实际完成情况</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 w:cs="仿宋" w:eastAsia="仿宋" w:hAnsi="仿宋" w:hint="eastAsia"/>
                <w:color w:val="000000"/>
                <w:kern w:val="0"/>
                <w:szCs w:val="21"/>
                <w:lang w:val="en-US" w:eastAsia="zh-CN"/>
              </w:rPr>
            </w:pPr>
            <w:r>
              <w:rPr>
                <w:rFonts w:ascii="仿宋" w:cs="仿宋" w:eastAsia="仿宋" w:hAnsi="仿宋" w:hint="eastAsia"/>
                <w:color w:val="000000"/>
                <w:kern w:val="0"/>
                <w:szCs w:val="21"/>
                <w:lang w:val="en-US" w:eastAsia="zh-CN"/>
              </w:rPr>
              <w:t>完成</w:t>
            </w:r>
            <w:r>
              <w:rPr>
                <w:rFonts w:ascii="仿宋_GB2312" w:cs="宋体" w:eastAsia="仿宋_GB2312" w:hAnsi="宋体" w:hint="eastAsia"/>
                <w:color w:val="000000"/>
                <w:kern w:val="0"/>
                <w:szCs w:val="21"/>
                <w:lang w:val="en-US" w:eastAsia="zh-CN"/>
              </w:rPr>
              <w:t>两馆及周边附属设施维修改造</w:t>
            </w:r>
          </w:p>
        </w:tc>
        <w:tc>
          <w:tcPr>
            <w:tcW w:w="4363" w:type="dxa"/>
            <w:gridSpan w:val="3"/>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 w:cs="仿宋" w:eastAsia="仿宋" w:hAnsi="仿宋" w:hint="eastAsia"/>
                <w:color w:val="000000"/>
                <w:kern w:val="0"/>
                <w:szCs w:val="21"/>
                <w:lang w:val="en-US" w:eastAsia="zh-CN"/>
              </w:rPr>
            </w:pPr>
            <w:r>
              <w:rPr>
                <w:rFonts w:ascii="仿宋_GB2312" w:cs="宋体" w:eastAsia="仿宋_GB2312" w:hAnsi="宋体" w:hint="eastAsia"/>
                <w:color w:val="000000"/>
                <w:kern w:val="0"/>
                <w:szCs w:val="21"/>
                <w:lang w:val="en-US" w:eastAsia="zh-CN"/>
              </w:rPr>
              <w:t>完成两馆及周边附属设施维修改造</w:t>
            </w:r>
          </w:p>
        </w:tc>
      </w:tr>
      <w:tr>
        <w:tblPrEx/>
        <w:trPr>
          <w:trHeight w:val="425"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tcBorders>
              <w:top w:val="single" w:sz="4" w:space="0" w:color="auto"/>
              <w:left w:val="nil"/>
              <w:bottom w:val="single" w:sz="4" w:space="0" w:color="auto"/>
              <w:right w:val="nil"/>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二级指标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三级指标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年度指标值</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全年</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完成值</w:t>
            </w:r>
          </w:p>
        </w:tc>
        <w:tc>
          <w:tcPr>
            <w:tcW w:w="1616" w:type="dxa"/>
            <w:tcBorders>
              <w:top w:val="single" w:sz="4" w:space="0" w:color="auto"/>
              <w:left w:val="nil"/>
              <w:bottom w:val="single" w:sz="4" w:space="0" w:color="auto"/>
              <w:right w:val="single" w:sz="4" w:space="0" w:color="auto"/>
            </w:tcBorders>
            <w:vAlign w:val="center"/>
          </w:tcPr>
          <w:p>
            <w:pPr>
              <w:pStyle w:val="style0"/>
              <w:widowControl/>
              <w:jc w:val="center"/>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未完成原因和</w:t>
            </w:r>
          </w:p>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改进措施</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产   出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数量指标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工作任务覆盖率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lang w:val="en-US" w:eastAsia="zh-CN"/>
              </w:rPr>
              <w:t>100%</w:t>
            </w: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质量指标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验收合格率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时效指标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完成及时率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100%</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成本指标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维修改造成本</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228.91</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ind w:firstLine="210" w:firstLineChars="100"/>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228.91</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rPr>
            </w:pP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经济效益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促进怀化经济发展</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425"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626" w:hRule="atLeast"/>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绩  效    指  标</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jc w:val="left"/>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效   益   指   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生态效益  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lang w:val="en-US" w:eastAsia="zh-CN"/>
              </w:rPr>
              <w:t>改善办学条件</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效果明显</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可持续影响指标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397"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spacing w:lineRule="exact" w:line="280"/>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满意度指标</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服务对象满意度指标</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社会公众满意率</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hint="default"/>
                <w:color w:val="000000"/>
                <w:kern w:val="0"/>
                <w:szCs w:val="21"/>
                <w:lang w:val="en-US" w:eastAsia="zh-CN"/>
              </w:rPr>
            </w:pPr>
            <w:r>
              <w:rPr>
                <w:rFonts w:ascii="仿宋_GB2312" w:cs="宋体" w:eastAsia="仿宋_GB2312" w:hAnsi="宋体" w:hint="eastAsia"/>
                <w:color w:val="000000"/>
                <w:kern w:val="0"/>
                <w:szCs w:val="21"/>
              </w:rPr>
              <w:t>　</w:t>
            </w:r>
            <w:r>
              <w:rPr>
                <w:rFonts w:ascii="仿宋_GB2312" w:cs="宋体" w:eastAsia="仿宋_GB2312" w:hAnsi="宋体" w:hint="eastAsia"/>
                <w:color w:val="000000"/>
                <w:kern w:val="0"/>
                <w:szCs w:val="21"/>
                <w:lang w:val="en-US" w:eastAsia="zh-CN"/>
              </w:rPr>
              <w:t>95%</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270" w:hRule="atLeast"/>
          <w:jc w:val="center"/>
        </w:trPr>
        <w:tc>
          <w:tcPr>
            <w:tcW w:w="769"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675" w:type="dxa"/>
            <w:vMerge w:val="continue"/>
            <w:tcBorders>
              <w:top w:val="single" w:sz="4" w:space="0" w:color="auto"/>
              <w:left w:val="single" w:sz="4" w:space="0" w:color="auto"/>
              <w:bottom w:val="single" w:sz="4" w:space="0" w:color="auto"/>
              <w:right w:val="single" w:sz="4" w:space="0" w:color="auto"/>
            </w:tcBorders>
            <w:vAlign w:val="center"/>
          </w:tcPr>
          <w:p>
            <w:pPr>
              <w:pStyle w:val="style0"/>
              <w:widowControl/>
              <w:jc w:val="left"/>
              <w:rPr>
                <w:rFonts w:ascii="仿宋_GB2312" w:cs="宋体" w:eastAsia="仿宋_GB2312" w:hAnsi="宋体"/>
                <w:color w:val="000000"/>
                <w:kern w:val="0"/>
                <w:szCs w:val="21"/>
              </w:rPr>
            </w:pPr>
          </w:p>
        </w:tc>
        <w:tc>
          <w:tcPr>
            <w:tcW w:w="709" w:type="dxa"/>
            <w:tcBorders>
              <w:top w:val="single" w:sz="4" w:space="0" w:color="auto"/>
              <w:left w:val="nil"/>
              <w:bottom w:val="single" w:sz="4" w:space="0" w:color="auto"/>
              <w:right w:val="single" w:sz="4" w:space="0" w:color="auto"/>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w:t>
            </w:r>
          </w:p>
        </w:tc>
        <w:tc>
          <w:tcPr>
            <w:tcW w:w="1923"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21"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427"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320"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c>
          <w:tcPr>
            <w:tcW w:w="1616" w:type="dxa"/>
            <w:tcBorders>
              <w:top w:val="single" w:sz="4" w:space="0" w:color="auto"/>
              <w:left w:val="nil"/>
              <w:bottom w:val="single" w:sz="4" w:space="0" w:color="auto"/>
              <w:right w:val="single" w:sz="4" w:space="0" w:color="auto"/>
            </w:tcBorders>
            <w:noWrap/>
            <w:vAlign w:val="center"/>
          </w:tcPr>
          <w:p>
            <w:pPr>
              <w:pStyle w:val="style0"/>
              <w:widowControl/>
              <w:jc w:val="both"/>
              <w:rPr>
                <w:rFonts w:ascii="仿宋_GB2312" w:cs="宋体" w:eastAsia="仿宋_GB2312" w:hAnsi="宋体"/>
                <w:color w:val="000000"/>
                <w:kern w:val="0"/>
                <w:szCs w:val="21"/>
              </w:rPr>
            </w:pPr>
            <w:r>
              <w:rPr>
                <w:rFonts w:ascii="仿宋_GB2312" w:cs="宋体" w:eastAsia="仿宋_GB2312" w:hAnsi="宋体" w:hint="eastAsia"/>
                <w:color w:val="000000"/>
                <w:kern w:val="0"/>
                <w:szCs w:val="21"/>
              </w:rPr>
              <w:t>　</w:t>
            </w:r>
          </w:p>
        </w:tc>
      </w:tr>
      <w:tr>
        <w:tblPrEx/>
        <w:trPr>
          <w:trHeight w:val="952" w:hRule="atLeast"/>
          <w:jc w:val="center"/>
        </w:trPr>
        <w:tc>
          <w:tcPr>
            <w:tcW w:w="769" w:type="dxa"/>
            <w:tcBorders>
              <w:top w:val="single" w:sz="4" w:space="0" w:color="auto"/>
              <w:left w:val="single" w:sz="4" w:space="0" w:color="auto"/>
              <w:bottom w:val="nil"/>
              <w:right w:val="single" w:sz="4" w:space="0" w:color="auto"/>
            </w:tcBorders>
            <w:noWrap/>
            <w:vAlign w:val="center"/>
          </w:tcPr>
          <w:p>
            <w:pPr>
              <w:pStyle w:val="style0"/>
              <w:widowControl/>
              <w:rPr>
                <w:rFonts w:ascii="仿宋_GB2312" w:cs="宋体" w:eastAsia="仿宋_GB2312" w:hAnsi="宋体"/>
                <w:color w:val="000000"/>
                <w:kern w:val="0"/>
                <w:szCs w:val="21"/>
              </w:rPr>
            </w:pPr>
            <w:r>
              <w:rPr>
                <w:rFonts w:ascii="仿宋_GB2312" w:cs="宋体" w:eastAsia="仿宋_GB2312" w:hAnsi="宋体" w:hint="eastAsia"/>
                <w:color w:val="000000"/>
                <w:kern w:val="0"/>
                <w:szCs w:val="21"/>
              </w:rPr>
              <w:t>说明</w:t>
            </w:r>
          </w:p>
        </w:tc>
        <w:tc>
          <w:tcPr>
            <w:tcW w:w="9291" w:type="dxa"/>
            <w:gridSpan w:val="7"/>
            <w:tcBorders>
              <w:top w:val="single" w:sz="4" w:space="0" w:color="auto"/>
              <w:left w:val="nil"/>
              <w:bottom w:val="nil"/>
              <w:right w:val="single" w:sz="4" w:space="0" w:color="000000"/>
            </w:tcBorders>
            <w:noWrap/>
            <w:vAlign w:val="center"/>
          </w:tcPr>
          <w:p>
            <w:pPr>
              <w:pStyle w:val="style0"/>
              <w:widowControl/>
              <w:jc w:val="center"/>
              <w:rPr>
                <w:rFonts w:ascii="仿宋_GB2312" w:cs="宋体" w:eastAsia="仿宋_GB2312" w:hAnsi="宋体"/>
                <w:color w:val="000000"/>
                <w:kern w:val="0"/>
                <w:szCs w:val="21"/>
              </w:rPr>
            </w:pPr>
            <w:r>
              <w:rPr>
                <w:rFonts w:ascii="仿宋_GB2312" w:cs="宋体" w:eastAsia="仿宋_GB2312" w:hAnsi="宋体" w:hint="eastAsia"/>
                <w:color w:val="000000"/>
                <w:kern w:val="0"/>
                <w:szCs w:val="21"/>
              </w:rPr>
              <w:t>无</w:t>
            </w:r>
          </w:p>
        </w:tc>
      </w:tr>
      <w:tr>
        <w:tblPrEx/>
        <w:trPr>
          <w:trHeight w:val="1785" w:hRule="atLeast"/>
          <w:jc w:val="center"/>
        </w:trPr>
        <w:tc>
          <w:tcPr>
            <w:tcW w:w="10060" w:type="dxa"/>
            <w:gridSpan w:val="8"/>
            <w:vMerge w:val="restart"/>
            <w:tcBorders>
              <w:top w:val="single" w:sz="8" w:space="0" w:color="auto"/>
              <w:left w:val="nil"/>
              <w:bottom w:val="nil"/>
              <w:right w:val="nil"/>
            </w:tcBorders>
          </w:tcPr>
          <w:p>
            <w:pPr>
              <w:pStyle w:val="style0"/>
              <w:widowControl/>
              <w:ind w:firstLine="420" w:firstLineChars="200"/>
              <w:jc w:val="left"/>
              <w:rPr>
                <w:rFonts w:ascii="仿宋_GB2312" w:cs="宋体" w:eastAsia="仿宋_GB2312" w:hAnsi="宋体" w:hint="eastAsia"/>
                <w:color w:val="000000"/>
                <w:kern w:val="0"/>
                <w:szCs w:val="21"/>
              </w:rPr>
            </w:pP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 xml:space="preserve">注：1、其他资金包括和中央补助、地方财政资金共同投入到同一项目的自有资金、社会资金，以及以前年度的结转结余资金等。 </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2、定量指标，资金使用单位填写本地区实际完成数。</w:t>
            </w:r>
            <w:r>
              <w:rPr>
                <w:rFonts w:ascii="仿宋_GB2312" w:cs="宋体" w:eastAsia="仿宋_GB2312" w:hAnsi="宋体" w:hint="eastAsia"/>
                <w:color w:val="000000"/>
                <w:kern w:val="0"/>
                <w:szCs w:val="21"/>
                <w:lang w:eastAsia="zh-CN"/>
              </w:rPr>
              <w:t>市</w:t>
            </w:r>
            <w:r>
              <w:rPr>
                <w:rFonts w:ascii="仿宋_GB2312" w:cs="宋体" w:eastAsia="仿宋_GB2312" w:hAnsi="宋体" w:hint="eastAsia"/>
                <w:color w:val="000000"/>
                <w:kern w:val="0"/>
                <w:szCs w:val="21"/>
              </w:rPr>
              <w:t>直各部门汇总时，对绝对值直接累加计算，相对值按照资金额度加权平均计算。</w:t>
            </w:r>
          </w:p>
          <w:p>
            <w:pPr>
              <w:pStyle w:val="style0"/>
              <w:widowControl/>
              <w:spacing w:lineRule="exact" w:line="360"/>
              <w:ind w:firstLine="420" w:firstLineChars="200"/>
              <w:jc w:val="left"/>
              <w:rPr>
                <w:rFonts w:ascii="仿宋_GB2312" w:cs="宋体" w:eastAsia="仿宋_GB2312" w:hAnsi="宋体" w:hint="eastAsia"/>
                <w:color w:val="000000"/>
                <w:kern w:val="0"/>
                <w:szCs w:val="21"/>
              </w:rPr>
            </w:pPr>
            <w:r>
              <w:rPr>
                <w:rFonts w:ascii="仿宋_GB2312" w:cs="宋体" w:eastAsia="仿宋_GB2312" w:hAnsi="宋体" w:hint="eastAsia"/>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pStyle w:val="style0"/>
              <w:widowControl/>
              <w:spacing w:lineRule="exact" w:line="360"/>
              <w:ind w:firstLine="420" w:firstLineChars="200"/>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r>
        <w:tblPrEx/>
        <w:trPr>
          <w:trHeight w:val="312" w:hRule="atLeast"/>
          <w:jc w:val="center"/>
        </w:trPr>
        <w:tc>
          <w:tcPr>
            <w:tcW w:w="10060" w:type="dxa"/>
            <w:gridSpan w:val="8"/>
            <w:vMerge w:val="continue"/>
            <w:tcBorders>
              <w:top w:val="single" w:sz="8" w:space="0" w:color="auto"/>
              <w:left w:val="nil"/>
              <w:bottom w:val="nil"/>
              <w:right w:val="nil"/>
            </w:tcBorders>
            <w:vAlign w:val="center"/>
          </w:tcPr>
          <w:p>
            <w:pPr>
              <w:pStyle w:val="style0"/>
              <w:widowControl/>
              <w:jc w:val="left"/>
              <w:rPr>
                <w:rFonts w:ascii="仿宋_GB2312" w:cs="宋体" w:eastAsia="仿宋_GB2312" w:hAnsi="宋体"/>
                <w:color w:val="000000"/>
                <w:kern w:val="0"/>
                <w:szCs w:val="21"/>
              </w:rPr>
            </w:pPr>
          </w:p>
        </w:tc>
      </w:tr>
    </w:tbl>
    <w:p>
      <w:pPr>
        <w:pStyle w:val="style0"/>
        <w:rPr/>
      </w:pPr>
    </w:p>
    <w:p>
      <w:pPr>
        <w:pStyle w:val="style0"/>
        <w:rPr>
          <w:rFonts w:ascii="仿宋" w:cs="仿宋" w:eastAsia="仿宋" w:hAnsi="仿宋" w:hint="eastAsia"/>
          <w:spacing w:val="-2"/>
          <w:sz w:val="32"/>
          <w:szCs w:val="32"/>
          <w:highlight w:val="none"/>
          <w:lang w:val="en-US" w:eastAsia="zh-CN"/>
        </w:rPr>
      </w:pPr>
    </w:p>
    <w:sectPr>
      <w:pgSz w:w="11906" w:h="16838" w:orient="portrait"/>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6"/>
    <w:family w:val="modern"/>
    <w:pitch w:val="default"/>
    <w:sig w:usb0="E0002AFF" w:usb1="C0007841" w:usb2="00000009" w:usb3="00000000" w:csb0="400001FF" w:csb1="FFFF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10002FF" w:usb1="4000ACFF" w:usb2="00000009" w:usb3="00000000" w:csb0="2000019F" w:csb1="00000000"/>
  </w:font>
  <w:font w:name="仿宋_GB2312">
    <w:altName w:val="仿宋_GB2312"/>
    <w:panose1 w:val="02010609030001010101"/>
    <w:charset w:val="86"/>
    <w:family w:val="modern"/>
    <w:pitch w:val="default"/>
    <w:sig w:usb0="00000001" w:usb1="080E0000" w:usb2="00000000" w:usb3="00000000" w:csb0="00040000" w:csb1="00000000"/>
  </w:font>
  <w:font w:name="仿宋">
    <w:altName w:val="仿宋"/>
    <w:panose1 w:val="02010609060001010101"/>
    <w:charset w:val="86"/>
    <w:family w:val="auto"/>
    <w:pitch w:val="default"/>
    <w:sig w:usb0="800002BF" w:usb1="38CF7CFA" w:usb2="00000016" w:usb3="00000000" w:csb0="00040001" w:csb1="00000000"/>
  </w:font>
  <w:font w:name="楷体">
    <w:altName w:val="楷体"/>
    <w:panose1 w:val="02010609060001010101"/>
    <w:charset w:val="86"/>
    <w:family w:val="modern"/>
    <w:pitch w:val="default"/>
    <w:sig w:usb0="800002BF" w:usb1="38CF7CFA" w:usb2="00000016" w:usb3="00000000" w:csb0="00040001" w:csb1="00000000"/>
  </w:font>
  <w:font w:name="Arial Unicode MS">
    <w:altName w:val="Arial Unicode MS"/>
    <w:panose1 w:val="020b0604020002020204"/>
    <w:charset w:val="86"/>
    <w:family w:val="auto"/>
    <w:pitch w:val="default"/>
    <w:sig w:usb0="FFFFFFFF" w:usb1="E9FFFFFF" w:usb2="0000003F" w:usb3="00000000" w:csb0="603F01FF" w:csb1="FFFF0000"/>
  </w:font>
  <w:font w:name="方正小标宋_GBK">
    <w:altName w:val="宋体"/>
    <w:panose1 w:val="03000509000000000000"/>
    <w:charset w:val="86"/>
    <w:family w:val="script"/>
    <w:pitch w:val="default"/>
    <w:sig w:usb0="00000000" w:usb1="00000000" w:usb2="00000010" w:usb3="00000000" w:csb0="00040000" w:csb1="00000000"/>
  </w:font>
  <w:font w:name="楷体_GB2312">
    <w:altName w:val="楷体"/>
    <w:panose1 w:val="020106090300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8C544503"/>
    <w:lvl w:ilvl="0">
      <w:start w:val="1"/>
      <w:numFmt w:val="decimal"/>
      <w:suff w:val="nothing"/>
      <w:lvlText w:val="%1、"/>
      <w:lvlJc w:val="left"/>
      <w:pPr/>
    </w:lvl>
  </w:abstractNum>
  <w:abstractNum w:abstractNumId="1">
    <w:nsid w:val="00000001"/>
    <w:multiLevelType w:val="singleLevel"/>
    <w:tmpl w:val="9DD3236E"/>
    <w:lvl w:ilvl="0">
      <w:start w:val="5"/>
      <w:numFmt w:val="chineseCounting"/>
      <w:suff w:val="nothing"/>
      <w:lvlText w:val="%1、"/>
      <w:lvlJc w:val="left"/>
      <w:pPr/>
      <w:rPr>
        <w:rFonts w:hint="eastAsia"/>
      </w:rPr>
    </w:lvl>
  </w:abstractNum>
  <w:abstractNum w:abstractNumId="2">
    <w:nsid w:val="00000002"/>
    <w:multiLevelType w:val="singleLevel"/>
    <w:tmpl w:val="2F71D27C"/>
    <w:lvl w:ilvl="0">
      <w:start w:val="4"/>
      <w:numFmt w:val="chineseCounting"/>
      <w:suff w:val="nothing"/>
      <w:lvlText w:val="%1、"/>
      <w:lvlJc w:val="left"/>
      <w:pPr/>
      <w:rPr>
        <w:rFonts w:hint="eastAsia"/>
      </w:rPr>
    </w:lvl>
  </w:abstractNum>
  <w:abstractNum w:abstractNumId="3">
    <w:nsid w:val="00000003"/>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4"/>
    <w:multiLevelType w:val="singleLevel"/>
    <w:tmpl w:val="53BBFEDC"/>
    <w:lvl w:ilvl="0">
      <w:start w:val="1"/>
      <w:numFmt w:val="chineseCounting"/>
      <w:suff w:val="nothing"/>
      <w:lvlText w:val="（%1）"/>
      <w:lvlJc w:val="left"/>
      <w:pPr>
        <w:ind w:left="469" w:firstLine="0"/>
      </w:pPr>
      <w:rPr>
        <w:rFonts w:hint="eastAsia"/>
      </w:rPr>
    </w:lvl>
  </w:abstractNum>
  <w:abstractNum w:abstractNumId="5">
    <w:nsid w:val="00000005"/>
    <w:multiLevelType w:val="singleLevel"/>
    <w:tmpl w:val="647CB0FF"/>
    <w:lvl w:ilvl="0">
      <w:start w:val="3"/>
      <w:numFmt w:val="chineseCounting"/>
      <w:suff w:val="nothing"/>
      <w:lvlText w:val="%1、"/>
      <w:lvlJc w:val="left"/>
      <w:pPr/>
      <w:rPr>
        <w:rFonts w:hint="eastAsia"/>
      </w:r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67">
    <w:name w:val="Body Text Indent"/>
    <w:basedOn w:val="style0"/>
    <w:next w:val="style67"/>
    <w:qFormat/>
    <w:uiPriority w:val="99"/>
    <w:pPr>
      <w:widowControl/>
      <w:spacing w:after="200" w:lineRule="auto" w:line="276"/>
      <w:ind w:firstLine="560" w:firstLineChars="200"/>
      <w:jc w:val="left"/>
    </w:pPr>
    <w:rPr>
      <w:rFonts w:eastAsia="仿宋_GB2312"/>
      <w:kern w:val="0"/>
      <w:sz w:val="28"/>
      <w:lang w:eastAsia="en-US"/>
    </w:rPr>
  </w:style>
  <w:style w:type="paragraph" w:styleId="style153">
    <w:name w:val="Balloon Text"/>
    <w:basedOn w:val="style0"/>
    <w:next w:val="style153"/>
    <w:link w:val="style4100"/>
    <w:qFormat/>
    <w:uiPriority w:val="99"/>
    <w:pPr/>
    <w:rPr>
      <w:sz w:val="18"/>
      <w:szCs w:val="18"/>
    </w:rPr>
  </w:style>
  <w:style w:type="paragraph" w:styleId="style32">
    <w:name w:val="footer"/>
    <w:basedOn w:val="style0"/>
    <w:next w:val="style32"/>
    <w:link w:val="style4098"/>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uiPriority w:val="0"/>
    <w:pPr/>
    <w:rPr>
      <w:sz w:val="24"/>
    </w:rPr>
  </w:style>
  <w:style w:type="character" w:customStyle="1" w:styleId="style4097">
    <w:name w:val="页眉 Char"/>
    <w:basedOn w:val="style65"/>
    <w:next w:val="style4097"/>
    <w:link w:val="style31"/>
    <w:uiPriority w:val="99"/>
    <w:rPr>
      <w:sz w:val="18"/>
      <w:szCs w:val="18"/>
    </w:rPr>
  </w:style>
  <w:style w:type="character" w:customStyle="1" w:styleId="style4098">
    <w:name w:val="页脚 Char"/>
    <w:basedOn w:val="style65"/>
    <w:next w:val="style4098"/>
    <w:link w:val="style32"/>
    <w:uiPriority w:val="99"/>
    <w:rPr>
      <w:sz w:val="18"/>
      <w:szCs w:val="18"/>
    </w:rPr>
  </w:style>
  <w:style w:type="paragraph" w:customStyle="1" w:styleId="style4099">
    <w:name w:val="Default"/>
    <w:next w:val="style4099"/>
    <w:uiPriority w:val="0"/>
    <w:pPr>
      <w:widowControl w:val="false"/>
      <w:autoSpaceDE w:val="false"/>
      <w:autoSpaceDN w:val="false"/>
      <w:adjustRightInd w:val="false"/>
    </w:pPr>
    <w:rPr>
      <w:rFonts w:ascii="黑体" w:cs="黑体" w:eastAsia="黑体" w:hAnsi="Calibri"/>
      <w:color w:val="000000"/>
      <w:kern w:val="0"/>
      <w:sz w:val="24"/>
      <w:szCs w:val="24"/>
      <w:lang w:val="en-US" w:bidi="ar-SA" w:eastAsia="zh-CN"/>
    </w:rPr>
  </w:style>
  <w:style w:type="paragraph" w:styleId="style179">
    <w:name w:val="List Paragraph"/>
    <w:basedOn w:val="style0"/>
    <w:next w:val="style179"/>
    <w:qFormat/>
    <w:uiPriority w:val="34"/>
    <w:pPr>
      <w:ind w:firstLine="420" w:firstLineChars="200"/>
    </w:pPr>
    <w:rPr/>
  </w:style>
  <w:style w:type="character" w:customStyle="1" w:styleId="style4100">
    <w:name w:val="批注框文本 Char"/>
    <w:basedOn w:val="style65"/>
    <w:next w:val="style4100"/>
    <w:link w:val="style153"/>
    <w:uiPriority w:val="99"/>
    <w:rPr>
      <w:sz w:val="18"/>
      <w:szCs w:val="18"/>
    </w:rPr>
  </w:style>
  <w:style w:type="paragraph" w:customStyle="1" w:styleId="style4101">
    <w:name w:val="无间隔"/>
    <w:next w:val="style4101"/>
    <w:qFormat/>
    <w:uiPriority w:val="0"/>
    <w:pPr>
      <w:widowControl w:val="false"/>
      <w:jc w:val="both"/>
    </w:pPr>
    <w:rPr>
      <w:rFonts w:ascii="Calibri" w:cs="Times New Roman" w:eastAsia="宋体" w:hAnsi="Calibri"/>
      <w:kern w:val="2"/>
      <w:sz w:val="21"/>
      <w:szCs w:val="22"/>
      <w:lang w:val="en-US" w:bidi="ar-SA" w:eastAsia="zh-CN"/>
    </w:rPr>
  </w:style>
  <w:style w:type="paragraph" w:styleId="style157">
    <w:name w:val="No Spacing"/>
    <w:next w:val="style157"/>
    <w:qFormat/>
    <w:uiPriority w:val="0"/>
    <w:pPr>
      <w:widowControl w:val="false"/>
      <w:jc w:val="both"/>
    </w:pPr>
    <w:rPr>
      <w:rFonts w:ascii="Calibri" w:cs="Times New Roman" w:eastAsia="宋体" w:hAnsi="Calibri"/>
      <w:kern w:val="2"/>
      <w:sz w:val="21"/>
      <w:szCs w:val="22"/>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26488</Words>
  <Pages>64</Pages>
  <Characters>28913</Characters>
  <Application>WPS Office</Application>
  <DocSecurity>0</DocSecurity>
  <Paragraphs>4205</Paragraphs>
  <ScaleCrop>false</ScaleCrop>
  <Company>Microsoft</Company>
  <LinksUpToDate>false</LinksUpToDate>
  <CharactersWithSpaces>31401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2021-08-25T04:25:00Z</dcterms:created>
  <dc:creator>李航 null</dc:creator>
  <lastModifiedBy>NOH-AN00</lastModifiedBy>
  <lastPrinted>2021-07-28T00:12:00Z</lastPrinted>
  <dcterms:modified xsi:type="dcterms:W3CDTF">2023-10-11T09:55:58Z</dcterms:modified>
  <revision>10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9C4281F3637E424A864900D7302BB29C</vt:lpwstr>
  </property>
</Properties>
</file>