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35ABE">
      <w:pPr>
        <w:pStyle w:val="10"/>
        <w:jc w:val="center"/>
        <w:rPr>
          <w:sz w:val="56"/>
          <w:szCs w:val="56"/>
          <w:highlight w:val="none"/>
        </w:rPr>
      </w:pPr>
    </w:p>
    <w:p w14:paraId="4F7363F6">
      <w:pPr>
        <w:pStyle w:val="10"/>
        <w:jc w:val="center"/>
        <w:rPr>
          <w:sz w:val="56"/>
          <w:szCs w:val="56"/>
          <w:highlight w:val="none"/>
        </w:rPr>
      </w:pPr>
    </w:p>
    <w:p w14:paraId="56F44B09">
      <w:pPr>
        <w:pStyle w:val="10"/>
        <w:jc w:val="center"/>
        <w:rPr>
          <w:sz w:val="84"/>
          <w:szCs w:val="84"/>
          <w:highlight w:val="none"/>
        </w:rPr>
      </w:pPr>
    </w:p>
    <w:p w14:paraId="76F439C2">
      <w:pPr>
        <w:pStyle w:val="10"/>
        <w:jc w:val="center"/>
        <w:rPr>
          <w:sz w:val="84"/>
          <w:szCs w:val="84"/>
          <w:highlight w:val="none"/>
        </w:rPr>
      </w:pPr>
    </w:p>
    <w:p w14:paraId="349E6E53">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w:t>
      </w:r>
    </w:p>
    <w:p w14:paraId="30578810">
      <w:pPr>
        <w:pStyle w:val="10"/>
        <w:jc w:val="center"/>
        <w:rPr>
          <w:rFonts w:hint="eastAsia" w:ascii="方正小标宋_GBK" w:hAnsi="方正小标宋_GBK" w:eastAsia="方正小标宋_GBK" w:cs="方正小标宋_GBK"/>
          <w:sz w:val="84"/>
          <w:szCs w:val="84"/>
          <w:highlight w:val="none"/>
          <w:lang w:val="en-US" w:eastAsia="zh-CN"/>
        </w:rPr>
      </w:pPr>
      <w:r>
        <w:rPr>
          <w:rFonts w:hint="eastAsia" w:ascii="方正小标宋_GBK" w:hAnsi="方正小标宋_GBK" w:eastAsia="方正小标宋_GBK" w:cs="方正小标宋_GBK"/>
          <w:sz w:val="84"/>
          <w:szCs w:val="84"/>
          <w:highlight w:val="none"/>
          <w:lang w:val="en-US" w:eastAsia="zh-CN"/>
        </w:rPr>
        <w:t>怀化市铁路第一中学</w:t>
      </w:r>
    </w:p>
    <w:p w14:paraId="2A280C39">
      <w:pPr>
        <w:pStyle w:val="10"/>
        <w:jc w:val="center"/>
        <w:rPr>
          <w:rFonts w:hint="eastAsia" w:ascii="方正小标宋_GBK" w:hAnsi="方正小标宋_GBK" w:eastAsia="方正小标宋_GBK" w:cs="方正小标宋_GBK"/>
          <w:sz w:val="56"/>
          <w:szCs w:val="56"/>
          <w:highlight w:val="none"/>
        </w:rPr>
      </w:pPr>
      <w:r>
        <w:rPr>
          <w:rFonts w:hint="eastAsia" w:ascii="方正小标宋_GBK" w:hAnsi="方正小标宋_GBK" w:eastAsia="方正小标宋_GBK" w:cs="方正小标宋_GBK"/>
          <w:sz w:val="84"/>
          <w:szCs w:val="84"/>
          <w:highlight w:val="none"/>
        </w:rPr>
        <w:t>部门决算</w:t>
      </w:r>
    </w:p>
    <w:p w14:paraId="673E1D71">
      <w:pPr>
        <w:pStyle w:val="10"/>
        <w:jc w:val="center"/>
        <w:rPr>
          <w:sz w:val="56"/>
          <w:szCs w:val="56"/>
          <w:highlight w:val="none"/>
        </w:rPr>
      </w:pPr>
    </w:p>
    <w:p w14:paraId="3A8AEC61">
      <w:pPr>
        <w:pStyle w:val="10"/>
        <w:jc w:val="center"/>
        <w:rPr>
          <w:sz w:val="56"/>
          <w:szCs w:val="56"/>
          <w:highlight w:val="none"/>
        </w:rPr>
      </w:pPr>
    </w:p>
    <w:p w14:paraId="00BBFE69">
      <w:pPr>
        <w:pStyle w:val="10"/>
        <w:jc w:val="center"/>
        <w:rPr>
          <w:sz w:val="56"/>
          <w:szCs w:val="56"/>
          <w:highlight w:val="none"/>
        </w:rPr>
      </w:pPr>
    </w:p>
    <w:p w14:paraId="07AE9929">
      <w:pPr>
        <w:pStyle w:val="10"/>
        <w:jc w:val="center"/>
        <w:rPr>
          <w:sz w:val="32"/>
          <w:szCs w:val="32"/>
          <w:highlight w:val="none"/>
        </w:rPr>
      </w:pPr>
    </w:p>
    <w:p w14:paraId="35F5001F">
      <w:pPr>
        <w:pStyle w:val="10"/>
        <w:jc w:val="center"/>
        <w:rPr>
          <w:sz w:val="32"/>
          <w:szCs w:val="32"/>
          <w:highlight w:val="none"/>
        </w:rPr>
      </w:pPr>
    </w:p>
    <w:p w14:paraId="0000DB16">
      <w:pPr>
        <w:pStyle w:val="10"/>
        <w:jc w:val="center"/>
        <w:rPr>
          <w:sz w:val="32"/>
          <w:szCs w:val="32"/>
          <w:highlight w:val="none"/>
        </w:rPr>
      </w:pPr>
    </w:p>
    <w:p w14:paraId="35A50478">
      <w:pPr>
        <w:pStyle w:val="10"/>
        <w:jc w:val="center"/>
        <w:rPr>
          <w:sz w:val="32"/>
          <w:szCs w:val="32"/>
          <w:highlight w:val="none"/>
        </w:rPr>
      </w:pPr>
    </w:p>
    <w:p w14:paraId="3C0C6FE0">
      <w:pPr>
        <w:pStyle w:val="10"/>
        <w:spacing w:line="500" w:lineRule="exact"/>
        <w:jc w:val="both"/>
        <w:rPr>
          <w:b/>
          <w:sz w:val="36"/>
          <w:szCs w:val="28"/>
          <w:highlight w:val="none"/>
        </w:rPr>
      </w:pPr>
    </w:p>
    <w:p w14:paraId="354C7A5E">
      <w:pPr>
        <w:pStyle w:val="10"/>
        <w:spacing w:line="500" w:lineRule="exact"/>
        <w:jc w:val="both"/>
        <w:rPr>
          <w:b/>
          <w:sz w:val="36"/>
          <w:szCs w:val="28"/>
          <w:highlight w:val="none"/>
        </w:rPr>
      </w:pPr>
    </w:p>
    <w:p w14:paraId="288F2A1C">
      <w:pPr>
        <w:pStyle w:val="10"/>
        <w:spacing w:line="500" w:lineRule="exact"/>
        <w:jc w:val="both"/>
        <w:rPr>
          <w:b/>
          <w:sz w:val="36"/>
          <w:szCs w:val="28"/>
          <w:highlight w:val="none"/>
        </w:rPr>
      </w:pPr>
    </w:p>
    <w:p w14:paraId="777FB133">
      <w:pPr>
        <w:pStyle w:val="10"/>
        <w:spacing w:line="500" w:lineRule="exact"/>
        <w:jc w:val="center"/>
        <w:rPr>
          <w:b/>
          <w:sz w:val="36"/>
          <w:szCs w:val="28"/>
          <w:highlight w:val="none"/>
        </w:rPr>
      </w:pPr>
      <w:r>
        <w:rPr>
          <w:rFonts w:hint="eastAsia"/>
          <w:b/>
          <w:sz w:val="36"/>
          <w:szCs w:val="28"/>
          <w:highlight w:val="none"/>
        </w:rPr>
        <w:t>目录</w:t>
      </w:r>
    </w:p>
    <w:p w14:paraId="1C6E0306">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val="en-US" w:eastAsia="zh-CN"/>
        </w:rPr>
        <w:t>怀化市铁路第一中学</w:t>
      </w:r>
      <w:r>
        <w:rPr>
          <w:rFonts w:hint="eastAsia" w:ascii="黑体" w:hAnsi="黑体" w:eastAsia="黑体" w:cs="黑体"/>
          <w:b w:val="0"/>
          <w:bCs/>
          <w:sz w:val="28"/>
          <w:szCs w:val="28"/>
          <w:highlight w:val="none"/>
        </w:rPr>
        <w:t>概况</w:t>
      </w:r>
    </w:p>
    <w:p w14:paraId="550B62C8">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0C05F0E5">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668BF622">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47ED65E6">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65B822A2">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46A53ECE">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210DD87D">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3D9A5628">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1F9A2DD2">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1C722C31">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6492AAAD">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67A4C332">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3127BA89">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5D11955B">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34C19E10">
      <w:pPr>
        <w:keepNext w:val="0"/>
        <w:keepLines w:val="0"/>
        <w:pageBreakBefore w:val="0"/>
        <w:widowControl w:val="0"/>
        <w:kinsoku/>
        <w:wordWrap/>
        <w:overflowPunct/>
        <w:topLinePunct w:val="0"/>
        <w:bidi w:val="0"/>
        <w:snapToGrid/>
        <w:spacing w:line="470" w:lineRule="exact"/>
        <w:ind w:firstLine="700" w:firstLineChars="25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6476AF17">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1C3E37B0">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3968C977">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302E0C2A">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3970FA5E">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七、一般公共预算财政拨款三公经费支出决算情况说明</w:t>
      </w:r>
    </w:p>
    <w:p w14:paraId="4859DF0F">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rPr>
        <w:t>八、政府性基金预算收入支出决算情况</w:t>
      </w:r>
      <w:r>
        <w:rPr>
          <w:rFonts w:hint="eastAsia" w:ascii="仿宋_GB2312" w:hAnsi="仿宋_GB2312" w:eastAsia="仿宋_GB2312" w:cs="仿宋_GB2312"/>
          <w:color w:val="000000"/>
          <w:kern w:val="0"/>
          <w:sz w:val="28"/>
          <w:szCs w:val="28"/>
          <w:highlight w:val="none"/>
          <w:lang w:val="en-US" w:eastAsia="zh-CN"/>
        </w:rPr>
        <w:t>说明</w:t>
      </w:r>
    </w:p>
    <w:p w14:paraId="53EA9531">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九、国有资本经营预算财政拨款支出决算情况说明</w:t>
      </w:r>
    </w:p>
    <w:p w14:paraId="353F9677">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十、关于机关运行经费支出说明</w:t>
      </w:r>
    </w:p>
    <w:p w14:paraId="339DB3F0">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val="en-US" w:eastAsia="zh-CN"/>
        </w:rPr>
        <w:t>一</w:t>
      </w:r>
      <w:r>
        <w:rPr>
          <w:rFonts w:hint="eastAsia" w:ascii="仿宋_GB2312" w:hAnsi="仿宋_GB2312" w:eastAsia="仿宋_GB2312" w:cs="仿宋_GB2312"/>
          <w:color w:val="000000"/>
          <w:kern w:val="0"/>
          <w:sz w:val="28"/>
          <w:szCs w:val="28"/>
          <w:highlight w:val="none"/>
        </w:rPr>
        <w:t>、一般性支出情况说明</w:t>
      </w:r>
    </w:p>
    <w:p w14:paraId="23FFB893">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w:t>
      </w:r>
      <w:r>
        <w:rPr>
          <w:rFonts w:hint="eastAsia" w:ascii="仿宋_GB2312" w:hAnsi="仿宋_GB2312" w:eastAsia="仿宋_GB2312" w:cs="仿宋_GB2312"/>
          <w:color w:val="000000"/>
          <w:kern w:val="0"/>
          <w:sz w:val="28"/>
          <w:szCs w:val="28"/>
          <w:highlight w:val="none"/>
          <w:lang w:val="en-US" w:eastAsia="zh-CN"/>
        </w:rPr>
        <w:t>二</w:t>
      </w:r>
      <w:r>
        <w:rPr>
          <w:rFonts w:hint="eastAsia" w:ascii="仿宋_GB2312" w:hAnsi="仿宋_GB2312" w:eastAsia="仿宋_GB2312" w:cs="仿宋_GB2312"/>
          <w:color w:val="000000"/>
          <w:kern w:val="0"/>
          <w:sz w:val="28"/>
          <w:szCs w:val="28"/>
          <w:highlight w:val="none"/>
        </w:rPr>
        <w:t>、关于政府采购支出说明</w:t>
      </w:r>
    </w:p>
    <w:p w14:paraId="0A0159D1">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三</w:t>
      </w:r>
      <w:r>
        <w:rPr>
          <w:rFonts w:hint="eastAsia" w:ascii="仿宋_GB2312" w:hAnsi="仿宋_GB2312" w:eastAsia="仿宋_GB2312" w:cs="仿宋_GB2312"/>
          <w:sz w:val="28"/>
          <w:szCs w:val="28"/>
          <w:highlight w:val="none"/>
        </w:rPr>
        <w:t>、关于国有资产占用情况说明</w:t>
      </w:r>
    </w:p>
    <w:p w14:paraId="72FF6542">
      <w:pPr>
        <w:pStyle w:val="10"/>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w:t>
      </w:r>
      <w:r>
        <w:rPr>
          <w:rFonts w:hint="eastAsia" w:ascii="仿宋_GB2312" w:hAnsi="仿宋_GB2312" w:eastAsia="仿宋_GB2312" w:cs="仿宋_GB2312"/>
          <w:sz w:val="28"/>
          <w:szCs w:val="28"/>
          <w:highlight w:val="none"/>
          <w:lang w:val="en-US" w:eastAsia="zh-CN"/>
        </w:rPr>
        <w:t>四</w:t>
      </w:r>
      <w:r>
        <w:rPr>
          <w:rFonts w:hint="eastAsia" w:ascii="仿宋_GB2312" w:hAnsi="仿宋_GB2312" w:eastAsia="仿宋_GB2312" w:cs="仿宋_GB2312"/>
          <w:sz w:val="28"/>
          <w:szCs w:val="28"/>
          <w:highlight w:val="none"/>
        </w:rPr>
        <w:t>、关于预算绩效情况的说明</w:t>
      </w:r>
    </w:p>
    <w:p w14:paraId="44824955">
      <w:pPr>
        <w:pStyle w:val="10"/>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163CDCE1">
      <w:pPr>
        <w:pStyle w:val="10"/>
        <w:keepNext w:val="0"/>
        <w:keepLines w:val="0"/>
        <w:pageBreakBefore w:val="0"/>
        <w:widowControl w:val="0"/>
        <w:kinsoku/>
        <w:wordWrap/>
        <w:overflowPunct/>
        <w:topLinePunct w:val="0"/>
        <w:bidi w:val="0"/>
        <w:snapToGrid/>
        <w:spacing w:line="470" w:lineRule="exact"/>
        <w:textAlignment w:val="auto"/>
        <w:rPr>
          <w:rFonts w:hint="default" w:ascii="黑体" w:hAnsi="黑体" w:eastAsia="黑体" w:cs="黑体"/>
          <w:b w:val="0"/>
          <w:bCs/>
          <w:sz w:val="28"/>
          <w:szCs w:val="28"/>
          <w:highlight w:val="none"/>
          <w:lang w:val="en-US" w:eastAsia="zh-CN"/>
        </w:rPr>
      </w:pPr>
      <w:r>
        <w:rPr>
          <w:rFonts w:hint="eastAsia" w:hAnsi="黑体" w:cs="黑体"/>
          <w:b w:val="0"/>
          <w:bCs/>
          <w:sz w:val="28"/>
          <w:szCs w:val="28"/>
          <w:highlight w:val="none"/>
          <w:lang w:val="en-US" w:eastAsia="zh-CN"/>
        </w:rPr>
        <w:t>第五部分 附件</w:t>
      </w:r>
    </w:p>
    <w:p w14:paraId="358563E0">
      <w:pPr>
        <w:jc w:val="center"/>
        <w:rPr>
          <w:sz w:val="72"/>
          <w:szCs w:val="72"/>
          <w:highlight w:val="none"/>
        </w:rPr>
      </w:pPr>
    </w:p>
    <w:p w14:paraId="20153C5A">
      <w:pPr>
        <w:jc w:val="center"/>
        <w:rPr>
          <w:sz w:val="72"/>
          <w:szCs w:val="72"/>
          <w:highlight w:val="none"/>
        </w:rPr>
      </w:pPr>
    </w:p>
    <w:p w14:paraId="587311D0">
      <w:pPr>
        <w:jc w:val="center"/>
        <w:rPr>
          <w:sz w:val="72"/>
          <w:szCs w:val="72"/>
          <w:highlight w:val="none"/>
        </w:rPr>
      </w:pPr>
    </w:p>
    <w:p w14:paraId="1C4D6A7C">
      <w:pPr>
        <w:jc w:val="center"/>
        <w:rPr>
          <w:sz w:val="72"/>
          <w:szCs w:val="72"/>
          <w:highlight w:val="none"/>
        </w:rPr>
      </w:pPr>
    </w:p>
    <w:p w14:paraId="145A9C9B">
      <w:pPr>
        <w:rPr>
          <w:rFonts w:hint="eastAsia" w:ascii="方正小标宋_GBK" w:hAnsi="方正小标宋_GBK" w:eastAsia="方正小标宋_GBK" w:cs="方正小标宋_GBK"/>
          <w:sz w:val="72"/>
          <w:szCs w:val="72"/>
          <w:highlight w:val="none"/>
        </w:rPr>
      </w:pPr>
    </w:p>
    <w:p w14:paraId="2BCDA8F8">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082AAFB1">
      <w:pPr>
        <w:pStyle w:val="10"/>
        <w:jc w:val="center"/>
        <w:rPr>
          <w:rFonts w:hint="eastAsia" w:ascii="方正小标宋_GBK" w:hAnsi="方正小标宋_GBK" w:eastAsia="方正小标宋_GBK" w:cs="方正小标宋_GBK"/>
          <w:sz w:val="84"/>
          <w:szCs w:val="84"/>
          <w:highlight w:val="none"/>
        </w:rPr>
      </w:pPr>
    </w:p>
    <w:p w14:paraId="237C3085">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val="en-US" w:eastAsia="zh-CN"/>
        </w:rPr>
        <w:t>怀化市铁路第一中学</w:t>
      </w:r>
      <w:r>
        <w:rPr>
          <w:rFonts w:hint="eastAsia" w:ascii="方正小标宋_GBK" w:hAnsi="方正小标宋_GBK" w:eastAsia="方正小标宋_GBK" w:cs="方正小标宋_GBK"/>
          <w:sz w:val="84"/>
          <w:szCs w:val="84"/>
          <w:highlight w:val="none"/>
        </w:rPr>
        <w:t>概况</w:t>
      </w:r>
    </w:p>
    <w:p w14:paraId="094156CC">
      <w:pPr>
        <w:jc w:val="center"/>
        <w:rPr>
          <w:rFonts w:hint="eastAsia" w:ascii="方正小标宋_GBK" w:hAnsi="方正小标宋_GBK" w:eastAsia="方正小标宋_GBK" w:cs="方正小标宋_GBK"/>
          <w:sz w:val="72"/>
          <w:szCs w:val="72"/>
          <w:highlight w:val="none"/>
        </w:rPr>
      </w:pPr>
    </w:p>
    <w:p w14:paraId="226C593D">
      <w:pPr>
        <w:jc w:val="center"/>
        <w:rPr>
          <w:rFonts w:hint="eastAsia" w:ascii="方正小标宋_GBK" w:hAnsi="方正小标宋_GBK" w:eastAsia="方正小标宋_GBK" w:cs="方正小标宋_GBK"/>
          <w:sz w:val="72"/>
          <w:szCs w:val="72"/>
          <w:highlight w:val="none"/>
        </w:rPr>
      </w:pPr>
    </w:p>
    <w:p w14:paraId="4B5B2AD2">
      <w:pPr>
        <w:jc w:val="center"/>
        <w:rPr>
          <w:sz w:val="72"/>
          <w:szCs w:val="72"/>
          <w:highlight w:val="none"/>
        </w:rPr>
      </w:pPr>
    </w:p>
    <w:p w14:paraId="49ACB609">
      <w:pPr>
        <w:jc w:val="center"/>
        <w:rPr>
          <w:sz w:val="72"/>
          <w:szCs w:val="72"/>
          <w:highlight w:val="none"/>
        </w:rPr>
      </w:pPr>
    </w:p>
    <w:p w14:paraId="7E1D951C">
      <w:pPr>
        <w:jc w:val="center"/>
        <w:rPr>
          <w:sz w:val="72"/>
          <w:szCs w:val="72"/>
          <w:highlight w:val="none"/>
        </w:rPr>
      </w:pPr>
    </w:p>
    <w:p w14:paraId="1B51899E">
      <w:pPr>
        <w:pStyle w:val="2"/>
        <w:rPr>
          <w:highlight w:val="none"/>
        </w:rPr>
      </w:pPr>
    </w:p>
    <w:p w14:paraId="79BA1BC8">
      <w:pPr>
        <w:pStyle w:val="11"/>
        <w:numPr>
          <w:ilvl w:val="0"/>
          <w:numId w:val="1"/>
        </w:numPr>
        <w:ind w:firstLineChars="0"/>
        <w:jc w:val="left"/>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部门职责</w:t>
      </w:r>
    </w:p>
    <w:p w14:paraId="5980CF85">
      <w:pPr>
        <w:widowControl/>
        <w:spacing w:line="600" w:lineRule="exact"/>
        <w:ind w:firstLine="640" w:firstLineChars="200"/>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怀化市铁路第一中学主要职责是组织教育教学、科学研究活动，保证教育教学质量。维护教职工利益，保障教职工合法权益，以教职工和学生的人生幸福和生命质量作为重点。其任务是为学生的终身发展奠定基础。</w:t>
      </w:r>
    </w:p>
    <w:p w14:paraId="4B8155E3">
      <w:pPr>
        <w:widowControl/>
        <w:spacing w:line="600" w:lineRule="exact"/>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32181A7B">
      <w:pPr>
        <w:widowControl/>
        <w:spacing w:line="600" w:lineRule="exact"/>
        <w:ind w:firstLine="640" w:firstLineChars="200"/>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（一）内设机构设置。怀化市铁路第一中学是隶属怀化市教育局直属学校，作为一级预算单位全校共分三个年级组，43个教学班，内设行政办公室、教务室、政教室、财务室、总务室共5个科室。</w:t>
      </w:r>
    </w:p>
    <w:p w14:paraId="242D1F07">
      <w:pPr>
        <w:widowControl/>
        <w:spacing w:line="600" w:lineRule="exact"/>
        <w:ind w:firstLine="640" w:firstLineChars="200"/>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（二）决算单位构成。怀化市铁路第一中学202</w:t>
      </w:r>
      <w:r>
        <w:rPr>
          <w:rFonts w:hint="eastAsia" w:ascii="Times New Roman" w:hAnsi="Times New Roman" w:eastAsia="仿宋_GB2312" w:cs="仿宋_GB2312"/>
          <w:bCs/>
          <w:kern w:val="0"/>
          <w:sz w:val="32"/>
          <w:szCs w:val="32"/>
          <w:highlight w:val="none"/>
          <w:lang w:val="en-US" w:eastAsia="zh-CN"/>
        </w:rPr>
        <w:t>2</w:t>
      </w:r>
      <w:r>
        <w:rPr>
          <w:rFonts w:hint="eastAsia" w:ascii="Times New Roman" w:hAnsi="Times New Roman" w:eastAsia="仿宋_GB2312" w:cs="仿宋_GB2312"/>
          <w:bCs/>
          <w:kern w:val="0"/>
          <w:sz w:val="32"/>
          <w:szCs w:val="32"/>
          <w:highlight w:val="none"/>
        </w:rPr>
        <w:t>年部门决算汇总公开单位构成包括：怀化市铁路第一中学单位本级。</w:t>
      </w:r>
    </w:p>
    <w:p w14:paraId="02C35A70">
      <w:pPr>
        <w:widowControl/>
        <w:spacing w:line="600" w:lineRule="exact"/>
        <w:rPr>
          <w:rFonts w:hint="eastAsia" w:ascii="Times New Roman" w:hAnsi="Times New Roman" w:eastAsia="仿宋_GB2312" w:cs="仿宋_GB2312"/>
          <w:bCs/>
          <w:kern w:val="0"/>
          <w:sz w:val="32"/>
          <w:szCs w:val="32"/>
          <w:highlight w:val="none"/>
        </w:rPr>
      </w:pPr>
    </w:p>
    <w:p w14:paraId="12615337">
      <w:pPr>
        <w:widowControl/>
        <w:spacing w:line="600" w:lineRule="exact"/>
        <w:rPr>
          <w:rFonts w:hint="eastAsia" w:ascii="Times New Roman" w:hAnsi="Times New Roman" w:eastAsia="仿宋_GB2312" w:cs="仿宋_GB2312"/>
          <w:bCs/>
          <w:kern w:val="0"/>
          <w:sz w:val="32"/>
          <w:szCs w:val="32"/>
          <w:highlight w:val="none"/>
          <w:lang w:val="en-US" w:eastAsia="zh-CN"/>
        </w:rPr>
      </w:pPr>
    </w:p>
    <w:p w14:paraId="453A2A9D">
      <w:pPr>
        <w:jc w:val="left"/>
        <w:rPr>
          <w:rFonts w:ascii="仿宋_GB2312" w:eastAsia="仿宋_GB2312" w:hAnsiTheme="minorEastAsia"/>
          <w:sz w:val="28"/>
          <w:szCs w:val="32"/>
          <w:highlight w:val="none"/>
        </w:rPr>
      </w:pPr>
    </w:p>
    <w:p w14:paraId="43554578">
      <w:pPr>
        <w:jc w:val="center"/>
        <w:rPr>
          <w:rFonts w:ascii="黑体" w:hAnsi="黑体" w:eastAsia="黑体"/>
          <w:sz w:val="28"/>
          <w:szCs w:val="28"/>
          <w:highlight w:val="none"/>
        </w:rPr>
      </w:pPr>
    </w:p>
    <w:p w14:paraId="6774F130">
      <w:pPr>
        <w:jc w:val="center"/>
        <w:rPr>
          <w:rFonts w:ascii="黑体" w:hAnsi="黑体" w:eastAsia="黑体"/>
          <w:sz w:val="28"/>
          <w:szCs w:val="28"/>
          <w:highlight w:val="none"/>
        </w:rPr>
      </w:pPr>
    </w:p>
    <w:p w14:paraId="5191DAF5">
      <w:pPr>
        <w:jc w:val="center"/>
        <w:rPr>
          <w:rFonts w:ascii="黑体" w:hAnsi="黑体" w:eastAsia="黑体"/>
          <w:sz w:val="28"/>
          <w:szCs w:val="28"/>
          <w:highlight w:val="none"/>
        </w:rPr>
      </w:pPr>
    </w:p>
    <w:p w14:paraId="3B4D665C">
      <w:pPr>
        <w:jc w:val="center"/>
        <w:rPr>
          <w:rFonts w:ascii="黑体" w:hAnsi="黑体" w:eastAsia="黑体"/>
          <w:sz w:val="28"/>
          <w:szCs w:val="28"/>
          <w:highlight w:val="none"/>
        </w:rPr>
      </w:pPr>
    </w:p>
    <w:p w14:paraId="0A7E48E9">
      <w:pPr>
        <w:jc w:val="center"/>
        <w:rPr>
          <w:rFonts w:ascii="黑体" w:hAnsi="黑体" w:eastAsia="黑体"/>
          <w:sz w:val="28"/>
          <w:szCs w:val="28"/>
          <w:highlight w:val="none"/>
        </w:rPr>
      </w:pPr>
    </w:p>
    <w:p w14:paraId="1E906F46">
      <w:pPr>
        <w:jc w:val="center"/>
        <w:rPr>
          <w:rFonts w:ascii="黑体" w:hAnsi="黑体" w:eastAsia="黑体"/>
          <w:sz w:val="28"/>
          <w:szCs w:val="28"/>
          <w:highlight w:val="none"/>
        </w:rPr>
      </w:pPr>
    </w:p>
    <w:p w14:paraId="1AD68382">
      <w:pPr>
        <w:jc w:val="center"/>
        <w:rPr>
          <w:rFonts w:ascii="黑体" w:hAnsi="黑体" w:eastAsia="黑体"/>
          <w:sz w:val="28"/>
          <w:szCs w:val="28"/>
          <w:highlight w:val="none"/>
        </w:rPr>
      </w:pPr>
    </w:p>
    <w:p w14:paraId="2C7DF6FD">
      <w:pPr>
        <w:jc w:val="center"/>
        <w:rPr>
          <w:rFonts w:ascii="黑体" w:hAnsi="黑体" w:eastAsia="黑体"/>
          <w:sz w:val="28"/>
          <w:szCs w:val="28"/>
          <w:highlight w:val="none"/>
        </w:rPr>
      </w:pPr>
    </w:p>
    <w:p w14:paraId="4F3A5B27">
      <w:pPr>
        <w:jc w:val="center"/>
        <w:rPr>
          <w:rFonts w:ascii="黑体" w:hAnsi="黑体" w:eastAsia="黑体"/>
          <w:sz w:val="28"/>
          <w:szCs w:val="28"/>
          <w:highlight w:val="none"/>
        </w:rPr>
      </w:pPr>
    </w:p>
    <w:p w14:paraId="36440228">
      <w:pPr>
        <w:jc w:val="center"/>
        <w:rPr>
          <w:rFonts w:ascii="黑体" w:hAnsi="黑体" w:eastAsia="黑体"/>
          <w:sz w:val="28"/>
          <w:szCs w:val="28"/>
          <w:highlight w:val="none"/>
        </w:rPr>
      </w:pPr>
    </w:p>
    <w:p w14:paraId="4CEB62B1">
      <w:pPr>
        <w:jc w:val="center"/>
        <w:rPr>
          <w:rFonts w:ascii="黑体" w:hAnsi="黑体" w:eastAsia="黑体"/>
          <w:sz w:val="28"/>
          <w:szCs w:val="28"/>
          <w:highlight w:val="none"/>
        </w:rPr>
      </w:pPr>
    </w:p>
    <w:p w14:paraId="73204FC3">
      <w:pPr>
        <w:jc w:val="center"/>
        <w:rPr>
          <w:rFonts w:ascii="黑体" w:hAnsi="黑体" w:eastAsia="黑体"/>
          <w:sz w:val="28"/>
          <w:szCs w:val="28"/>
          <w:highlight w:val="none"/>
        </w:rPr>
      </w:pPr>
    </w:p>
    <w:p w14:paraId="6CBF14B1">
      <w:pPr>
        <w:jc w:val="center"/>
        <w:rPr>
          <w:sz w:val="72"/>
          <w:szCs w:val="72"/>
          <w:highlight w:val="none"/>
        </w:rPr>
      </w:pPr>
    </w:p>
    <w:p w14:paraId="47D6C756">
      <w:pPr>
        <w:jc w:val="both"/>
        <w:rPr>
          <w:sz w:val="72"/>
          <w:szCs w:val="72"/>
          <w:highlight w:val="none"/>
        </w:rPr>
      </w:pPr>
    </w:p>
    <w:p w14:paraId="06AECF36">
      <w:pPr>
        <w:jc w:val="center"/>
        <w:rPr>
          <w:sz w:val="72"/>
          <w:szCs w:val="72"/>
          <w:highlight w:val="none"/>
        </w:rPr>
      </w:pPr>
    </w:p>
    <w:p w14:paraId="3D5C9049">
      <w:pPr>
        <w:pStyle w:val="10"/>
        <w:jc w:val="center"/>
        <w:rPr>
          <w:rFonts w:hint="eastAsia" w:ascii="方正小标宋_GBK" w:hAnsi="方正小标宋_GBK" w:eastAsia="方正小标宋_GBK" w:cs="方正小标宋_GBK"/>
          <w:sz w:val="84"/>
          <w:szCs w:val="84"/>
          <w:highlight w:val="none"/>
        </w:rPr>
      </w:pPr>
    </w:p>
    <w:p w14:paraId="12E39D19">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1C1297A1">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56466243">
      <w:pPr>
        <w:jc w:val="center"/>
        <w:rPr>
          <w:rFonts w:hint="eastAsia"/>
          <w:sz w:val="72"/>
          <w:szCs w:val="72"/>
          <w:highlight w:val="none"/>
          <w:lang w:val="en-US" w:eastAsia="zh-CN"/>
        </w:rPr>
      </w:pPr>
    </w:p>
    <w:p w14:paraId="04DA07E3">
      <w:pPr>
        <w:jc w:val="center"/>
        <w:rPr>
          <w:rFonts w:hint="eastAsia" w:eastAsiaTheme="minorEastAsia"/>
          <w:sz w:val="72"/>
          <w:szCs w:val="72"/>
          <w:highlight w:val="none"/>
          <w:lang w:val="en-US" w:eastAsia="zh-CN"/>
        </w:rPr>
      </w:pPr>
      <w:r>
        <w:rPr>
          <w:rFonts w:hint="eastAsia"/>
          <w:sz w:val="72"/>
          <w:szCs w:val="72"/>
          <w:highlight w:val="none"/>
          <w:lang w:val="en-US" w:eastAsia="zh-CN"/>
        </w:rPr>
        <w:t>见附件</w:t>
      </w:r>
    </w:p>
    <w:p w14:paraId="623F93A2">
      <w:pPr>
        <w:jc w:val="center"/>
        <w:rPr>
          <w:sz w:val="72"/>
          <w:szCs w:val="72"/>
          <w:highlight w:val="none"/>
        </w:rPr>
      </w:pPr>
    </w:p>
    <w:p w14:paraId="6FA5C500">
      <w:pPr>
        <w:jc w:val="center"/>
        <w:rPr>
          <w:sz w:val="72"/>
          <w:szCs w:val="72"/>
          <w:highlight w:val="none"/>
        </w:rPr>
      </w:pPr>
    </w:p>
    <w:p w14:paraId="01484D89">
      <w:pPr>
        <w:jc w:val="center"/>
        <w:rPr>
          <w:sz w:val="72"/>
          <w:szCs w:val="72"/>
          <w:highlight w:val="none"/>
        </w:rPr>
      </w:pPr>
    </w:p>
    <w:p w14:paraId="382F7055">
      <w:pPr>
        <w:pStyle w:val="10"/>
        <w:rPr>
          <w:sz w:val="72"/>
          <w:szCs w:val="72"/>
          <w:highlight w:val="none"/>
        </w:rPr>
      </w:pPr>
    </w:p>
    <w:p w14:paraId="442013A4">
      <w:pPr>
        <w:pStyle w:val="10"/>
        <w:rPr>
          <w:sz w:val="72"/>
          <w:szCs w:val="72"/>
          <w:highlight w:val="none"/>
        </w:rPr>
      </w:pPr>
    </w:p>
    <w:p w14:paraId="207D70A5">
      <w:pPr>
        <w:pStyle w:val="10"/>
        <w:rPr>
          <w:sz w:val="72"/>
          <w:szCs w:val="72"/>
          <w:highlight w:val="none"/>
        </w:rPr>
      </w:pPr>
    </w:p>
    <w:p w14:paraId="3EFF8749">
      <w:pPr>
        <w:pStyle w:val="10"/>
        <w:rPr>
          <w:sz w:val="72"/>
          <w:szCs w:val="72"/>
          <w:highlight w:val="none"/>
        </w:rPr>
      </w:pPr>
    </w:p>
    <w:p w14:paraId="27656751">
      <w:pPr>
        <w:pStyle w:val="10"/>
        <w:jc w:val="center"/>
        <w:rPr>
          <w:sz w:val="72"/>
          <w:szCs w:val="72"/>
          <w:highlight w:val="none"/>
        </w:rPr>
      </w:pPr>
    </w:p>
    <w:p w14:paraId="503AE019">
      <w:pPr>
        <w:pStyle w:val="10"/>
        <w:jc w:val="center"/>
        <w:rPr>
          <w:sz w:val="72"/>
          <w:szCs w:val="72"/>
          <w:highlight w:val="none"/>
        </w:rPr>
      </w:pPr>
    </w:p>
    <w:p w14:paraId="5D029F96">
      <w:pPr>
        <w:pStyle w:val="10"/>
        <w:jc w:val="center"/>
        <w:rPr>
          <w:sz w:val="72"/>
          <w:szCs w:val="72"/>
          <w:highlight w:val="none"/>
        </w:rPr>
      </w:pPr>
    </w:p>
    <w:p w14:paraId="368E058F">
      <w:pPr>
        <w:pStyle w:val="10"/>
        <w:jc w:val="center"/>
        <w:rPr>
          <w:sz w:val="72"/>
          <w:szCs w:val="72"/>
          <w:highlight w:val="none"/>
        </w:rPr>
      </w:pPr>
    </w:p>
    <w:p w14:paraId="397A47D2">
      <w:pPr>
        <w:pStyle w:val="10"/>
        <w:jc w:val="center"/>
        <w:rPr>
          <w:rFonts w:hint="eastAsia" w:ascii="方正小标宋_GBK" w:hAnsi="方正小标宋_GBK" w:eastAsia="方正小标宋_GBK" w:cs="方正小标宋_GBK"/>
          <w:sz w:val="72"/>
          <w:szCs w:val="72"/>
          <w:highlight w:val="none"/>
        </w:rPr>
      </w:pPr>
    </w:p>
    <w:p w14:paraId="63784FE0">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第三部分</w:t>
      </w:r>
    </w:p>
    <w:p w14:paraId="633D7BB8">
      <w:pPr>
        <w:pStyle w:val="10"/>
        <w:jc w:val="center"/>
        <w:rPr>
          <w:rFonts w:hint="eastAsia" w:ascii="方正小标宋_GBK" w:hAnsi="方正小标宋_GBK" w:eastAsia="方正小标宋_GBK" w:cs="方正小标宋_GBK"/>
          <w:sz w:val="84"/>
          <w:szCs w:val="84"/>
          <w:highlight w:val="none"/>
        </w:rPr>
      </w:pPr>
    </w:p>
    <w:p w14:paraId="0A87CADF">
      <w:pPr>
        <w:pStyle w:val="10"/>
        <w:jc w:val="center"/>
        <w:rPr>
          <w:rFonts w:hint="eastAsia" w:ascii="方正小标宋_GBK" w:hAnsi="方正小标宋_GBK" w:eastAsia="方正小标宋_GBK" w:cs="方正小标宋_GBK"/>
          <w:sz w:val="70"/>
          <w:szCs w:val="70"/>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2</w:t>
      </w:r>
      <w:r>
        <w:rPr>
          <w:rFonts w:hint="eastAsia" w:ascii="方正小标宋_GBK" w:hAnsi="方正小标宋_GBK" w:eastAsia="方正小标宋_GBK" w:cs="方正小标宋_GBK"/>
          <w:sz w:val="84"/>
          <w:szCs w:val="84"/>
          <w:highlight w:val="none"/>
        </w:rPr>
        <w:t>年度部门决算情况说明</w:t>
      </w:r>
    </w:p>
    <w:p w14:paraId="05868A39">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bookmarkStart w:id="0" w:name="_GoBack"/>
      <w:bookmarkEnd w:id="0"/>
    </w:p>
    <w:p w14:paraId="5E458D27">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36D6A529">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均为6457.19</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1013.09</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18.61</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课后服务、学生公寓建设等收支增加。</w:t>
      </w:r>
    </w:p>
    <w:p w14:paraId="7287D1A7">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23CF191E">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6457.19</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eastAsia="zh-CN"/>
        </w:rPr>
        <w:t>4861.88</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75.3</w:t>
      </w:r>
      <w:r>
        <w:rPr>
          <w:rFonts w:hint="eastAsia" w:ascii="Times New Roman" w:hAnsi="Times New Roman" w:eastAsia="仿宋_GB2312"/>
          <w:sz w:val="32"/>
          <w:szCs w:val="32"/>
          <w:highlight w:val="none"/>
        </w:rPr>
        <w:t>%事业收入</w:t>
      </w:r>
      <w:r>
        <w:rPr>
          <w:rFonts w:hint="eastAsia" w:ascii="Times New Roman" w:hAnsi="Times New Roman" w:eastAsia="仿宋_GB2312"/>
          <w:sz w:val="32"/>
          <w:szCs w:val="32"/>
          <w:highlight w:val="none"/>
          <w:lang w:val="en-US" w:eastAsia="zh-CN"/>
        </w:rPr>
        <w:t>1595.31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24.7</w:t>
      </w:r>
      <w:r>
        <w:rPr>
          <w:rFonts w:hint="eastAsia" w:ascii="Times New Roman" w:hAnsi="Times New Roman" w:eastAsia="仿宋_GB2312"/>
          <w:sz w:val="32"/>
          <w:szCs w:val="32"/>
          <w:highlight w:val="none"/>
        </w:rPr>
        <w:t>%。</w:t>
      </w:r>
    </w:p>
    <w:p w14:paraId="66616807">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59A61EAA">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6457.19</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4942.64</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76.5</w:t>
      </w:r>
      <w:r>
        <w:rPr>
          <w:rFonts w:hint="eastAsia" w:ascii="Times New Roman" w:hAnsi="Times New Roman" w:eastAsia="仿宋_GB2312"/>
          <w:sz w:val="32"/>
          <w:szCs w:val="32"/>
          <w:highlight w:val="none"/>
        </w:rPr>
        <w:t>%；项目支出</w:t>
      </w:r>
      <w:r>
        <w:rPr>
          <w:rFonts w:hint="eastAsia" w:ascii="Times New Roman" w:hAnsi="Times New Roman" w:eastAsia="仿宋_GB2312"/>
          <w:sz w:val="32"/>
          <w:szCs w:val="32"/>
          <w:highlight w:val="none"/>
          <w:lang w:val="en-US" w:eastAsia="zh-CN"/>
        </w:rPr>
        <w:t>1514.55</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23.5</w:t>
      </w:r>
      <w:r>
        <w:rPr>
          <w:rFonts w:hint="eastAsia" w:ascii="Times New Roman" w:hAnsi="Times New Roman" w:eastAsia="仿宋_GB2312"/>
          <w:sz w:val="32"/>
          <w:szCs w:val="32"/>
          <w:highlight w:val="none"/>
        </w:rPr>
        <w:t>%。</w:t>
      </w:r>
    </w:p>
    <w:p w14:paraId="66AFF84D">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10F2AE12">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 xml:space="preserve">    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年度财政拨款收、支总计</w:t>
      </w:r>
      <w:r>
        <w:rPr>
          <w:rFonts w:hint="eastAsia" w:ascii="Times New Roman" w:hAnsi="Times New Roman" w:eastAsia="仿宋_GB2312"/>
          <w:sz w:val="32"/>
          <w:szCs w:val="32"/>
          <w:highlight w:val="none"/>
          <w:lang w:val="en-US" w:eastAsia="zh-CN"/>
        </w:rPr>
        <w:t>均为4861.88</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434.81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9.82</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学生公寓建设等收支增加。</w:t>
      </w:r>
    </w:p>
    <w:p w14:paraId="1E4E48A7">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511379D0">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（一）财政拨款支出决算总体情况</w:t>
      </w:r>
    </w:p>
    <w:p w14:paraId="3F4E9287">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4861.88</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75.3</w:t>
      </w:r>
      <w:r>
        <w:rPr>
          <w:rFonts w:hint="eastAsia" w:ascii="Times New Roman" w:hAnsi="Times New Roman" w:eastAsia="仿宋_GB2312"/>
          <w:sz w:val="32"/>
          <w:szCs w:val="32"/>
          <w:highlight w:val="none"/>
        </w:rPr>
        <w:t>%，与上年相比，财政拨款支出增加</w:t>
      </w:r>
      <w:r>
        <w:rPr>
          <w:rFonts w:hint="eastAsia" w:ascii="Times New Roman" w:hAnsi="Times New Roman" w:eastAsia="仿宋_GB2312"/>
          <w:sz w:val="32"/>
          <w:szCs w:val="32"/>
          <w:highlight w:val="none"/>
          <w:lang w:val="en-US" w:eastAsia="zh-CN"/>
        </w:rPr>
        <w:t>694.43</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16.7</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学生公寓建设等支出增加。</w:t>
      </w:r>
    </w:p>
    <w:p w14:paraId="3BA9080A">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（二）财政拨款支出决算结构情况</w:t>
      </w:r>
    </w:p>
    <w:p w14:paraId="5F84068D">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4861.88</w:t>
      </w:r>
      <w:r>
        <w:rPr>
          <w:rFonts w:hint="eastAsia" w:ascii="Times New Roman" w:hAnsi="Times New Roman" w:eastAsia="仿宋_GB2312"/>
          <w:sz w:val="32"/>
          <w:szCs w:val="32"/>
          <w:highlight w:val="none"/>
        </w:rPr>
        <w:t>万元，主要用于以下方面：</w:t>
      </w:r>
      <w:r>
        <w:rPr>
          <w:rFonts w:hint="eastAsia" w:ascii="Times New Roman" w:hAnsi="Times New Roman" w:eastAsia="仿宋_GB2312"/>
          <w:sz w:val="32"/>
          <w:szCs w:val="32"/>
          <w:highlight w:val="none"/>
          <w:lang w:val="en-US" w:eastAsia="zh-CN"/>
        </w:rPr>
        <w:t>教育</w:t>
      </w:r>
      <w:r>
        <w:rPr>
          <w:rFonts w:hint="eastAsia" w:ascii="Times New Roman" w:hAnsi="Times New Roman" w:eastAsia="仿宋_GB2312"/>
          <w:sz w:val="32"/>
          <w:szCs w:val="32"/>
          <w:highlight w:val="none"/>
        </w:rPr>
        <w:t>（类）支出</w:t>
      </w:r>
      <w:r>
        <w:rPr>
          <w:rFonts w:hint="eastAsia" w:ascii="Times New Roman" w:hAnsi="Times New Roman" w:eastAsia="仿宋_GB2312"/>
          <w:sz w:val="32"/>
          <w:szCs w:val="32"/>
          <w:highlight w:val="none"/>
          <w:lang w:val="en-US" w:eastAsia="zh-CN"/>
        </w:rPr>
        <w:t>4251.79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87.5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社会保障和就业（类）支出</w:t>
      </w:r>
      <w:r>
        <w:rPr>
          <w:rFonts w:hint="eastAsia" w:ascii="Times New Roman" w:hAnsi="Times New Roman" w:eastAsia="仿宋_GB2312"/>
          <w:sz w:val="32"/>
          <w:szCs w:val="32"/>
          <w:highlight w:val="none"/>
          <w:lang w:val="en-US" w:eastAsia="zh-CN"/>
        </w:rPr>
        <w:t>404.42</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8.3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卫生健康（类）支出</w:t>
      </w:r>
      <w:r>
        <w:rPr>
          <w:rFonts w:hint="eastAsia" w:ascii="Times New Roman" w:hAnsi="Times New Roman" w:eastAsia="仿宋_GB2312"/>
          <w:sz w:val="32"/>
          <w:szCs w:val="32"/>
          <w:highlight w:val="none"/>
          <w:lang w:val="en-US" w:eastAsia="zh-CN"/>
        </w:rPr>
        <w:t>133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2.7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住房保障（类）支出</w:t>
      </w:r>
      <w:r>
        <w:rPr>
          <w:rFonts w:hint="eastAsia" w:ascii="Times New Roman" w:hAnsi="Times New Roman" w:eastAsia="仿宋_GB2312"/>
          <w:sz w:val="32"/>
          <w:szCs w:val="32"/>
          <w:highlight w:val="none"/>
          <w:lang w:val="en-US" w:eastAsia="zh-CN"/>
        </w:rPr>
        <w:t>72.69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4817D133">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（三）财政拨款支出决算具体情况</w:t>
      </w:r>
    </w:p>
    <w:p w14:paraId="233FB1C9">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2221.77</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4861.88</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218.8</w:t>
      </w:r>
      <w:r>
        <w:rPr>
          <w:rFonts w:hint="eastAsia" w:ascii="Times New Roman" w:hAnsi="Times New Roman" w:eastAsia="仿宋_GB2312"/>
          <w:sz w:val="32"/>
          <w:szCs w:val="32"/>
          <w:highlight w:val="none"/>
        </w:rPr>
        <w:t>%，其中：</w:t>
      </w:r>
    </w:p>
    <w:p w14:paraId="211C9F92">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1、教育支出（类）普通教育（款）高中教育（项）。</w:t>
      </w:r>
    </w:p>
    <w:p w14:paraId="52FCD0B9">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1677.9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3621.09</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215.8</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学生公寓建设等支出增加。</w:t>
      </w:r>
    </w:p>
    <w:p w14:paraId="6807AC5E">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2、教育支出（类）普通教育（款）其他普通教育支出（项）。</w:t>
      </w:r>
    </w:p>
    <w:p w14:paraId="19BDC547">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630.69</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年中增加其他普通教育支出。</w:t>
      </w:r>
    </w:p>
    <w:p w14:paraId="08C7FCB5">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、社会保障和就业支出（类）行政事业单位养老支出（款）事业单位离退休（项）。</w:t>
      </w:r>
    </w:p>
    <w:p w14:paraId="0BDA1FFC">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10.77</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10.77</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val="en-US" w:eastAsia="zh-CN"/>
        </w:rPr>
        <w:t>严格按年初预算执行。</w:t>
      </w:r>
    </w:p>
    <w:p w14:paraId="77C8FCAC">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、社会保障和就业支出（类）行政事业单位养老支出（款）机关事业单位基本养老保险缴费支出（项）。</w:t>
      </w:r>
    </w:p>
    <w:p w14:paraId="2AEF1B52">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233.69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263.9</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112.9</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人员变动引起实际养老保险缴费增加。</w:t>
      </w:r>
    </w:p>
    <w:p w14:paraId="57B2D7E9">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、社会保障和就业支出（类）行政事业单位养老支出（款）其他行政事业单位养老支出（项）。</w:t>
      </w:r>
    </w:p>
    <w:p w14:paraId="38103E2A">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129.75</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年中增加行政事业单位养老支出。</w:t>
      </w:r>
    </w:p>
    <w:p w14:paraId="7CB5F222">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、卫生健康支出（类）行政事业单位医疗（款）行政单位医疗</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项）。</w:t>
      </w:r>
    </w:p>
    <w:p w14:paraId="160852AF">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133</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年初预算医疗保险功能科目与实际下达不一致。</w:t>
      </w:r>
    </w:p>
    <w:p w14:paraId="5303F0A5">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、卫生健康支出（类）行政事业单位医疗（款）事业单位医疗</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项）。</w:t>
      </w:r>
    </w:p>
    <w:p w14:paraId="1ADFD47E">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124.15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万元，决算数小于年初预算数的主要原因是：</w:t>
      </w:r>
      <w:r>
        <w:rPr>
          <w:rFonts w:hint="eastAsia" w:ascii="Times New Roman" w:hAnsi="Times New Roman" w:eastAsia="仿宋_GB2312"/>
          <w:sz w:val="32"/>
          <w:szCs w:val="32"/>
          <w:highlight w:val="none"/>
          <w:lang w:val="en-US" w:eastAsia="zh-CN"/>
        </w:rPr>
        <w:t>年初预算医疗保险功能科目与实际下达不一致。</w:t>
      </w:r>
    </w:p>
    <w:p w14:paraId="7E2EE325">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、住房保障支出（类）住房改革支出（款）住房公积金</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项）。</w:t>
      </w:r>
    </w:p>
    <w:p w14:paraId="3BD481A2">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175.26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72.69</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41.5</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本年度住房公积金实际支出减少。</w:t>
      </w:r>
    </w:p>
    <w:p w14:paraId="135059AB">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66E81B54">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3685.93</w:t>
      </w:r>
      <w:r>
        <w:rPr>
          <w:rFonts w:hint="eastAsia" w:ascii="Times New Roman" w:hAnsi="Times New Roman" w:eastAsia="仿宋_GB2312"/>
          <w:sz w:val="32"/>
          <w:szCs w:val="32"/>
          <w:highlight w:val="none"/>
        </w:rPr>
        <w:t>万元，其中：</w:t>
      </w:r>
    </w:p>
    <w:p w14:paraId="71BBA3EC">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3375.92</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91.6</w:t>
      </w:r>
      <w:r>
        <w:rPr>
          <w:rFonts w:hint="eastAsia" w:ascii="Times New Roman" w:hAnsi="Times New Roman" w:eastAsia="仿宋_GB2312"/>
          <w:sz w:val="32"/>
          <w:szCs w:val="32"/>
          <w:highlight w:val="none"/>
        </w:rPr>
        <w:t>%,主要包括基本工资、津贴补贴、奖金、伙食补助费</w:t>
      </w:r>
      <w:r>
        <w:rPr>
          <w:rFonts w:hint="eastAsia" w:ascii="Times New Roman" w:hAnsi="Times New Roman" w:eastAsia="仿宋_GB2312"/>
          <w:sz w:val="32"/>
          <w:szCs w:val="32"/>
          <w:highlight w:val="none"/>
          <w:lang w:eastAsia="zh-CN"/>
        </w:rPr>
        <w:t>、机关事业单位基本养老保险缴费、职工基本医疗保险缴费、其他社会保障缴费、住房公积金、其他工资福利支出、抚恤金、生活补助、助学金、奖励金、其他对个人和家庭的补助。</w:t>
      </w:r>
    </w:p>
    <w:p w14:paraId="3296F6CF">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b/>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310.01</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8.4</w:t>
      </w:r>
      <w:r>
        <w:rPr>
          <w:rFonts w:hint="eastAsia" w:ascii="Times New Roman" w:hAnsi="Times New Roman" w:eastAsia="仿宋_GB2312"/>
          <w:sz w:val="32"/>
          <w:szCs w:val="32"/>
          <w:highlight w:val="none"/>
        </w:rPr>
        <w:t>%，主要包括办公费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咨询费、</w:t>
      </w:r>
      <w:r>
        <w:rPr>
          <w:rFonts w:hint="eastAsia" w:ascii="Times New Roman" w:hAnsi="Times New Roman" w:eastAsia="仿宋_GB2312"/>
          <w:sz w:val="32"/>
          <w:szCs w:val="32"/>
          <w:highlight w:val="none"/>
          <w:lang w:val="en-US" w:eastAsia="zh-CN"/>
        </w:rPr>
        <w:t>水费、电费、邮电费、物业管理费、差旅费、培训费、劳务费、委托业务费、工会经费、其他交通费用、办公设备购置、专用设备购置、信息网络及软件购置更新</w:t>
      </w:r>
      <w:r>
        <w:rPr>
          <w:rFonts w:hint="eastAsia" w:ascii="Times New Roman" w:hAnsi="Times New Roman" w:eastAsia="仿宋_GB2312"/>
          <w:sz w:val="32"/>
          <w:szCs w:val="32"/>
          <w:highlight w:val="none"/>
        </w:rPr>
        <w:t>。</w:t>
      </w:r>
    </w:p>
    <w:p w14:paraId="5FB777A6">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七、财政拨款三公经费支出决算情况说明</w:t>
      </w:r>
    </w:p>
    <w:p w14:paraId="56364D5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（一）“三公”经费财政拨款支出决算总体情况说明</w:t>
      </w:r>
    </w:p>
    <w:p w14:paraId="71DB8A9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年度“三公”经费财政拨款支出预算为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主要原因是未使用</w:t>
      </w:r>
      <w:r>
        <w:rPr>
          <w:rFonts w:hint="eastAsia" w:ascii="仿宋_GB2312" w:hAnsi="仿宋_GB2312" w:eastAsia="仿宋_GB2312" w:cs="仿宋_GB2312"/>
          <w:b w:val="0"/>
          <w:bCs/>
          <w:color w:val="auto"/>
          <w:sz w:val="32"/>
          <w:szCs w:val="32"/>
          <w:highlight w:val="none"/>
        </w:rPr>
        <w:t>“三公”</w:t>
      </w:r>
      <w:r>
        <w:rPr>
          <w:rFonts w:hint="eastAsia" w:ascii="仿宋_GB2312" w:hAnsi="仿宋_GB2312" w:eastAsia="仿宋_GB2312" w:cs="仿宋_GB2312"/>
          <w:sz w:val="32"/>
          <w:szCs w:val="32"/>
          <w:highlight w:val="none"/>
          <w:lang w:val="en-US" w:eastAsia="zh-CN"/>
        </w:rPr>
        <w:t>经费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与上年相比持平均为0万元，主要原因是未使用</w:t>
      </w:r>
      <w:r>
        <w:rPr>
          <w:rFonts w:hint="eastAsia" w:ascii="仿宋_GB2312" w:hAnsi="仿宋_GB2312" w:eastAsia="仿宋_GB2312" w:cs="仿宋_GB2312"/>
          <w:b w:val="0"/>
          <w:bCs/>
          <w:color w:val="auto"/>
          <w:sz w:val="32"/>
          <w:szCs w:val="32"/>
          <w:highlight w:val="none"/>
        </w:rPr>
        <w:t>“三公”</w:t>
      </w:r>
      <w:r>
        <w:rPr>
          <w:rFonts w:hint="eastAsia" w:ascii="仿宋_GB2312" w:hAnsi="仿宋_GB2312" w:eastAsia="仿宋_GB2312" w:cs="仿宋_GB2312"/>
          <w:sz w:val="32"/>
          <w:szCs w:val="32"/>
          <w:highlight w:val="none"/>
          <w:lang w:val="en-US" w:eastAsia="zh-CN"/>
        </w:rPr>
        <w:t>经费，</w:t>
      </w:r>
      <w:r>
        <w:rPr>
          <w:rFonts w:hint="eastAsia" w:ascii="仿宋_GB2312" w:hAnsi="仿宋_GB2312" w:eastAsia="仿宋_GB2312" w:cs="仿宋_GB2312"/>
          <w:sz w:val="32"/>
          <w:szCs w:val="32"/>
          <w:highlight w:val="none"/>
        </w:rPr>
        <w:t>其中：</w:t>
      </w:r>
    </w:p>
    <w:p w14:paraId="034A796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因公出国（境）费支出预算为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是单位未</w:t>
      </w:r>
      <w:r>
        <w:rPr>
          <w:rFonts w:hint="eastAsia" w:ascii="仿宋_GB2312" w:hAnsi="仿宋_GB2312" w:eastAsia="仿宋_GB2312" w:cs="仿宋_GB2312"/>
          <w:sz w:val="32"/>
          <w:szCs w:val="32"/>
          <w:highlight w:val="none"/>
        </w:rPr>
        <w:t>因公出国（境），</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主要原因是单位未</w:t>
      </w:r>
      <w:r>
        <w:rPr>
          <w:rFonts w:hint="eastAsia" w:ascii="仿宋_GB2312" w:hAnsi="仿宋_GB2312" w:eastAsia="仿宋_GB2312" w:cs="仿宋_GB2312"/>
          <w:sz w:val="32"/>
          <w:szCs w:val="32"/>
          <w:highlight w:val="none"/>
        </w:rPr>
        <w:t>因公出国（境）。</w:t>
      </w:r>
    </w:p>
    <w:p w14:paraId="32355E8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公务接待费支出预算为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无法计算完成百分比，主要原因是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公务接待费，</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公务接待费</w:t>
      </w:r>
      <w:r>
        <w:rPr>
          <w:rFonts w:hint="eastAsia" w:ascii="仿宋_GB2312" w:hAnsi="仿宋_GB2312" w:eastAsia="仿宋_GB2312" w:cs="仿宋_GB2312"/>
          <w:sz w:val="32"/>
          <w:szCs w:val="32"/>
          <w:highlight w:val="none"/>
          <w:lang w:eastAsia="zh-CN"/>
        </w:rPr>
        <w:t>。</w:t>
      </w:r>
    </w:p>
    <w:p w14:paraId="121E46B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7A1ACE72">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公务用车运行维护费支出预算为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公务用车运行维护</w:t>
      </w:r>
      <w:r>
        <w:rPr>
          <w:rFonts w:hint="eastAsia" w:ascii="仿宋_GB2312" w:hAnsi="仿宋_GB2312" w:eastAsia="仿宋_GB2312" w:cs="仿宋_GB2312"/>
          <w:sz w:val="32"/>
          <w:szCs w:val="32"/>
          <w:highlight w:val="none"/>
          <w:lang w:val="en-US" w:eastAsia="zh-CN"/>
        </w:rPr>
        <w:t>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未使用</w:t>
      </w:r>
      <w:r>
        <w:rPr>
          <w:rFonts w:hint="eastAsia" w:ascii="仿宋_GB2312" w:hAnsi="仿宋_GB2312" w:eastAsia="仿宋_GB2312" w:cs="仿宋_GB2312"/>
          <w:sz w:val="32"/>
          <w:szCs w:val="32"/>
          <w:highlight w:val="none"/>
        </w:rPr>
        <w:t>公务用车运行维护</w:t>
      </w:r>
      <w:r>
        <w:rPr>
          <w:rFonts w:hint="eastAsia" w:ascii="仿宋_GB2312" w:hAnsi="仿宋_GB2312" w:eastAsia="仿宋_GB2312" w:cs="仿宋_GB2312"/>
          <w:sz w:val="32"/>
          <w:szCs w:val="32"/>
          <w:highlight w:val="none"/>
          <w:lang w:val="en-US" w:eastAsia="zh-CN"/>
        </w:rPr>
        <w:t>费。</w:t>
      </w:r>
    </w:p>
    <w:p w14:paraId="6167D5F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仿宋_GB2312" w:hAnsi="仿宋_GB2312" w:eastAsia="仿宋_GB2312" w:cs="仿宋_GB2312"/>
          <w:b/>
          <w:bCs/>
          <w:sz w:val="32"/>
          <w:szCs w:val="32"/>
          <w:highlight w:val="none"/>
          <w:lang w:val="en-US" w:eastAsia="zh-CN"/>
        </w:rPr>
        <w:t>（二）“三公”经费财政拨款支出决算具体情况说明</w:t>
      </w:r>
    </w:p>
    <w:p w14:paraId="23F1C4D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年度“三公”经费财政拨款支出决算中，公务接待费支出决算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万元，公务用车购置费及运行维护费支出决算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w:t>
      </w:r>
    </w:p>
    <w:p w14:paraId="094EF1DA">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1、因公出国（境）费支出决算为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万元，全年安排因公出国（境）团组0个，累计0人次，主要无因公出国</w:t>
      </w:r>
      <w:r>
        <w:rPr>
          <w:rFonts w:hint="eastAsia" w:ascii="仿宋_GB2312" w:hAnsi="仿宋_GB2312" w:eastAsia="仿宋_GB2312" w:cs="仿宋_GB2312"/>
          <w:sz w:val="32"/>
          <w:szCs w:val="32"/>
          <w:highlight w:val="none"/>
          <w:lang w:eastAsia="zh-CN"/>
        </w:rPr>
        <w:t>。</w:t>
      </w:r>
    </w:p>
    <w:p w14:paraId="5321392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2、公务接待费支出决算为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万元，全年共接待来访团组0个、来宾0人次，主要是无发生的接待支出。</w:t>
      </w:r>
    </w:p>
    <w:p w14:paraId="2EC9AE46">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仿宋_GB2312" w:hAnsi="仿宋_GB2312" w:eastAsia="仿宋_GB2312" w:cs="仿宋_GB2312"/>
          <w:sz w:val="32"/>
          <w:szCs w:val="32"/>
          <w:highlight w:val="none"/>
        </w:rPr>
        <w:t>3、公务用车购置费及运行维护费支出决算为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万元，其中：公务用车购置费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更新公务用车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辆。公务用车运行维护费</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万元，主要是无公务用车购置</w:t>
      </w:r>
      <w:r>
        <w:rPr>
          <w:rFonts w:hint="eastAsia" w:ascii="仿宋_GB2312" w:hAnsi="仿宋_GB2312" w:eastAsia="仿宋_GB2312" w:cs="仿宋_GB2312"/>
          <w:sz w:val="32"/>
          <w:szCs w:val="32"/>
          <w:highlight w:val="none"/>
          <w:lang w:val="en-US" w:eastAsia="zh-CN"/>
        </w:rPr>
        <w:t>及维护费</w:t>
      </w:r>
      <w:r>
        <w:rPr>
          <w:rFonts w:hint="eastAsia" w:ascii="仿宋_GB2312" w:hAnsi="仿宋_GB2312" w:eastAsia="仿宋_GB2312" w:cs="仿宋_GB2312"/>
          <w:sz w:val="32"/>
          <w:szCs w:val="32"/>
          <w:highlight w:val="none"/>
        </w:rPr>
        <w:t>支出，截止202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年12月31日，我单位开支财政拨款的公务用车保有量为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w:t>
      </w:r>
    </w:p>
    <w:p w14:paraId="3FFE2640">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rPr>
        <w:t>八、政府性基金预算收入支出决算情况</w:t>
      </w:r>
      <w:r>
        <w:rPr>
          <w:rFonts w:hint="eastAsia" w:hAnsi="黑体" w:cs="黑体"/>
          <w:b w:val="0"/>
          <w:bCs/>
          <w:sz w:val="32"/>
          <w:szCs w:val="32"/>
          <w:highlight w:val="none"/>
          <w:lang w:val="en-US" w:eastAsia="zh-CN"/>
        </w:rPr>
        <w:t>说明</w:t>
      </w:r>
    </w:p>
    <w:p w14:paraId="0DED31D1">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楷体" w:hAnsi="楷体" w:eastAsia="仿宋_GB2312" w:cs="楷体"/>
          <w:b/>
          <w:bCs/>
          <w:i/>
          <w:color w:val="auto"/>
          <w:kern w:val="0"/>
          <w:sz w:val="32"/>
          <w:szCs w:val="32"/>
          <w:highlight w:val="none"/>
          <w:lang w:val="en-US" w:eastAsia="zh-CN" w:bidi="ar-SA"/>
        </w:rPr>
      </w:pPr>
      <w:r>
        <w:rPr>
          <w:rFonts w:hint="eastAsia" w:ascii="仿宋" w:hAnsi="仿宋" w:eastAsia="仿宋"/>
          <w:sz w:val="32"/>
          <w:szCs w:val="32"/>
          <w:highlight w:val="none"/>
        </w:rPr>
        <w:t>2022年度</w:t>
      </w:r>
      <w:r>
        <w:rPr>
          <w:rFonts w:hint="eastAsia" w:ascii="Times New Roman" w:hAnsi="Times New Roman" w:eastAsia="仿宋_GB2312"/>
          <w:sz w:val="32"/>
          <w:szCs w:val="32"/>
          <w:highlight w:val="none"/>
          <w:lang w:val="en-US" w:eastAsia="zh-CN"/>
        </w:rPr>
        <w:t>本</w:t>
      </w:r>
      <w:r>
        <w:rPr>
          <w:rFonts w:hint="eastAsia" w:ascii="Times New Roman" w:hAnsi="Times New Roman" w:eastAsia="仿宋_GB2312"/>
          <w:sz w:val="32"/>
          <w:szCs w:val="32"/>
          <w:highlight w:val="none"/>
        </w:rPr>
        <w:t>部门无政府性基金收支</w:t>
      </w:r>
      <w:r>
        <w:rPr>
          <w:rFonts w:hint="eastAsia" w:ascii="Times New Roman" w:hAnsi="Times New Roman" w:eastAsia="仿宋_GB2312"/>
          <w:sz w:val="32"/>
          <w:szCs w:val="32"/>
          <w:highlight w:val="none"/>
          <w:lang w:eastAsia="zh-CN"/>
        </w:rPr>
        <w:t>。</w:t>
      </w:r>
    </w:p>
    <w:p w14:paraId="2597A87F">
      <w:pPr>
        <w:keepNext w:val="0"/>
        <w:keepLines w:val="0"/>
        <w:pageBreakBefore w:val="0"/>
        <w:kinsoku/>
        <w:wordWrap/>
        <w:overflowPunct/>
        <w:topLinePunct w:val="0"/>
        <w:autoSpaceDE w:val="0"/>
        <w:autoSpaceDN w:val="0"/>
        <w:bidi w:val="0"/>
        <w:adjustRightInd/>
        <w:snapToGrid/>
        <w:spacing w:line="600" w:lineRule="exact"/>
        <w:ind w:firstLine="640" w:firstLineChars="200"/>
        <w:jc w:val="left"/>
        <w:textAlignment w:val="auto"/>
        <w:rPr>
          <w:rFonts w:hint="default" w:ascii="黑体" w:hAnsi="黑体" w:eastAsia="黑体" w:cs="黑体"/>
          <w:b w:val="0"/>
          <w:bCs/>
          <w:color w:val="000000"/>
          <w:kern w:val="0"/>
          <w:sz w:val="32"/>
          <w:szCs w:val="32"/>
          <w:highlight w:val="none"/>
          <w:lang w:val="en-US" w:eastAsia="zh-CN" w:bidi="ar-SA"/>
        </w:rPr>
      </w:pPr>
      <w:r>
        <w:rPr>
          <w:rFonts w:hint="eastAsia" w:ascii="黑体" w:hAnsi="黑体" w:eastAsia="黑体" w:cs="黑体"/>
          <w:b w:val="0"/>
          <w:bCs/>
          <w:color w:val="000000"/>
          <w:kern w:val="0"/>
          <w:sz w:val="32"/>
          <w:szCs w:val="32"/>
          <w:highlight w:val="none"/>
          <w:lang w:val="en-US" w:eastAsia="zh-CN" w:bidi="ar-SA"/>
        </w:rPr>
        <w:t>九、国有资本经营预算财政拨款支出决算情况说明</w:t>
      </w:r>
    </w:p>
    <w:p w14:paraId="3C35F01A">
      <w:pPr>
        <w:keepNext w:val="0"/>
        <w:keepLines w:val="0"/>
        <w:pageBreakBefore w:val="0"/>
        <w:kinsoku/>
        <w:wordWrap/>
        <w:overflowPunct/>
        <w:topLinePunct w:val="0"/>
        <w:autoSpaceDE w:val="0"/>
        <w:autoSpaceDN w:val="0"/>
        <w:bidi w:val="0"/>
        <w:adjustRightInd/>
        <w:snapToGrid/>
        <w:spacing w:line="600" w:lineRule="exact"/>
        <w:ind w:firstLine="640" w:firstLineChars="200"/>
        <w:jc w:val="left"/>
        <w:textAlignment w:val="auto"/>
        <w:rPr>
          <w:rFonts w:hint="eastAsia" w:ascii="楷体" w:hAnsi="楷体" w:eastAsia="楷体" w:cs="楷体"/>
          <w:b/>
          <w:bCs/>
          <w:i/>
          <w:color w:val="auto"/>
          <w:kern w:val="0"/>
          <w:sz w:val="32"/>
          <w:szCs w:val="32"/>
          <w:highlight w:val="none"/>
          <w:lang w:val="en-US" w:eastAsia="zh-CN" w:bidi="ar-SA"/>
        </w:rPr>
      </w:pPr>
      <w:r>
        <w:rPr>
          <w:rFonts w:hint="eastAsia" w:ascii="仿宋" w:hAnsi="仿宋" w:eastAsia="仿宋"/>
          <w:sz w:val="32"/>
          <w:szCs w:val="32"/>
          <w:highlight w:val="none"/>
        </w:rPr>
        <w:t>2022年度</w:t>
      </w:r>
      <w:r>
        <w:rPr>
          <w:rFonts w:hint="eastAsia" w:ascii="Times New Roman" w:hAnsi="Times New Roman" w:eastAsia="仿宋_GB2312" w:cs="黑体"/>
          <w:color w:val="000000"/>
          <w:kern w:val="0"/>
          <w:sz w:val="32"/>
          <w:szCs w:val="32"/>
          <w:highlight w:val="none"/>
          <w:lang w:val="en-US" w:eastAsia="zh-CN" w:bidi="ar-SA"/>
        </w:rPr>
        <w:t>本</w:t>
      </w:r>
      <w:r>
        <w:rPr>
          <w:rFonts w:hint="eastAsia" w:ascii="Times New Roman" w:hAnsi="Times New Roman" w:eastAsia="仿宋_GB2312"/>
          <w:sz w:val="32"/>
          <w:szCs w:val="32"/>
          <w:highlight w:val="none"/>
        </w:rPr>
        <w:t>部门</w:t>
      </w:r>
      <w:r>
        <w:rPr>
          <w:rFonts w:hint="eastAsia" w:ascii="Times New Roman" w:hAnsi="Times New Roman" w:eastAsia="仿宋_GB2312" w:cs="黑体"/>
          <w:color w:val="000000"/>
          <w:kern w:val="0"/>
          <w:sz w:val="32"/>
          <w:szCs w:val="32"/>
          <w:highlight w:val="none"/>
          <w:lang w:val="en-US" w:eastAsia="zh-CN" w:bidi="ar-SA"/>
        </w:rPr>
        <w:t>无国有资本经营预算财政拨款支出。</w:t>
      </w:r>
    </w:p>
    <w:p w14:paraId="44BED52B">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Times New Roman" w:hAnsi="Times New Roman" w:eastAsia="仿宋_GB2312"/>
          <w:b/>
          <w:sz w:val="32"/>
          <w:szCs w:val="32"/>
          <w:highlight w:val="none"/>
          <w:lang w:val="en-US" w:eastAsia="zh-CN"/>
        </w:rPr>
        <w:t>十</w:t>
      </w:r>
      <w:r>
        <w:rPr>
          <w:rFonts w:hint="eastAsia" w:ascii="Times New Roman" w:hAnsi="Times New Roman" w:eastAsia="仿宋_GB2312"/>
          <w:b/>
          <w:sz w:val="32"/>
          <w:szCs w:val="32"/>
          <w:highlight w:val="none"/>
        </w:rPr>
        <w:t>、关于机关运行经费支出说明</w:t>
      </w:r>
    </w:p>
    <w:p w14:paraId="6CA000DC">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年度本部门机关运行经费支出</w:t>
      </w:r>
      <w:r>
        <w:rPr>
          <w:rFonts w:hint="eastAsia" w:ascii="Times New Roman" w:hAnsi="Times New Roman" w:eastAsia="仿宋_GB2312"/>
          <w:sz w:val="32"/>
          <w:szCs w:val="32"/>
          <w:highlight w:val="none"/>
          <w:lang w:val="en-US" w:eastAsia="zh-CN"/>
        </w:rPr>
        <w:t>232.62</w:t>
      </w:r>
      <w:r>
        <w:rPr>
          <w:rFonts w:hint="eastAsia" w:ascii="Times New Roman" w:hAnsi="Times New Roman" w:eastAsia="仿宋_GB2312"/>
          <w:sz w:val="32"/>
          <w:szCs w:val="32"/>
          <w:highlight w:val="none"/>
        </w:rPr>
        <w:t>万元，比上年决算数减少</w:t>
      </w:r>
      <w:r>
        <w:rPr>
          <w:rFonts w:hint="eastAsia" w:ascii="Times New Roman" w:hAnsi="Times New Roman" w:eastAsia="仿宋_GB2312"/>
          <w:sz w:val="32"/>
          <w:szCs w:val="32"/>
          <w:highlight w:val="none"/>
          <w:lang w:val="en-US" w:eastAsia="zh-CN"/>
        </w:rPr>
        <w:t>607.38</w:t>
      </w:r>
      <w:r>
        <w:rPr>
          <w:rFonts w:hint="eastAsia" w:ascii="Times New Roman" w:hAnsi="Times New Roman" w:eastAsia="仿宋_GB2312"/>
          <w:sz w:val="32"/>
          <w:szCs w:val="32"/>
          <w:highlight w:val="none"/>
        </w:rPr>
        <w:t>万元，降低</w:t>
      </w:r>
      <w:r>
        <w:rPr>
          <w:rFonts w:hint="eastAsia" w:ascii="Times New Roman" w:hAnsi="Times New Roman" w:eastAsia="仿宋_GB2312"/>
          <w:sz w:val="32"/>
          <w:szCs w:val="32"/>
          <w:highlight w:val="none"/>
          <w:lang w:val="en-US" w:eastAsia="zh-CN"/>
        </w:rPr>
        <w:t>72.3</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校园维修支出减少</w:t>
      </w:r>
      <w:r>
        <w:rPr>
          <w:rFonts w:hint="eastAsia" w:ascii="Times New Roman" w:hAnsi="Times New Roman" w:eastAsia="仿宋_GB2312"/>
          <w:sz w:val="32"/>
          <w:szCs w:val="32"/>
          <w:highlight w:val="none"/>
        </w:rPr>
        <w:t>。</w:t>
      </w:r>
    </w:p>
    <w:p w14:paraId="2000FE54">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593C8C5E">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万元；开支培训费</w:t>
      </w:r>
      <w:r>
        <w:rPr>
          <w:rFonts w:hint="eastAsia" w:ascii="Times New Roman" w:hAnsi="Times New Roman" w:eastAsia="仿宋_GB2312"/>
          <w:sz w:val="32"/>
          <w:szCs w:val="32"/>
          <w:highlight w:val="none"/>
          <w:lang w:val="en-US" w:eastAsia="zh-CN"/>
        </w:rPr>
        <w:t>28.5</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val="en-US" w:eastAsia="zh-CN"/>
        </w:rPr>
        <w:t>教师</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503</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教师教学培训</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未</w:t>
      </w:r>
      <w:r>
        <w:rPr>
          <w:rFonts w:hint="eastAsia" w:ascii="Times New Roman" w:hAnsi="Times New Roman" w:eastAsia="仿宋_GB2312"/>
          <w:sz w:val="32"/>
          <w:szCs w:val="32"/>
          <w:highlight w:val="none"/>
        </w:rPr>
        <w:t>举办节庆、晚会、论坛、赛事活动</w:t>
      </w:r>
      <w:r>
        <w:rPr>
          <w:rFonts w:hint="eastAsia" w:ascii="Times New Roman" w:hAnsi="Times New Roman" w:eastAsia="仿宋_GB2312"/>
          <w:sz w:val="32"/>
          <w:szCs w:val="32"/>
          <w:highlight w:val="none"/>
          <w:lang w:eastAsia="zh-CN"/>
        </w:rPr>
        <w:t>。</w:t>
      </w:r>
    </w:p>
    <w:p w14:paraId="730FBC73">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7F79805C">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1293.63</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124.28</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981.19</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188.16</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577.77</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44.7</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216.62</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16.7</w:t>
      </w:r>
      <w:r>
        <w:rPr>
          <w:rFonts w:hint="eastAsia" w:ascii="Times New Roman" w:hAnsi="Times New Roman" w:eastAsia="仿宋_GB2312"/>
          <w:sz w:val="32"/>
          <w:szCs w:val="32"/>
          <w:highlight w:val="none"/>
        </w:rPr>
        <w:t>%。货物采购授予中小企业合同金额占货物支出金额的</w:t>
      </w:r>
      <w:r>
        <w:rPr>
          <w:rFonts w:hint="eastAsia" w:ascii="Times New Roman" w:hAnsi="Times New Roman" w:eastAsia="仿宋_GB2312"/>
          <w:sz w:val="32"/>
          <w:szCs w:val="32"/>
          <w:highlight w:val="none"/>
          <w:lang w:val="en-US" w:eastAsia="zh-CN"/>
        </w:rPr>
        <w:t>88.5</w:t>
      </w:r>
      <w:r>
        <w:rPr>
          <w:rFonts w:hint="eastAsia" w:ascii="Times New Roman" w:hAnsi="Times New Roman" w:eastAsia="仿宋_GB2312"/>
          <w:sz w:val="32"/>
          <w:szCs w:val="32"/>
          <w:highlight w:val="none"/>
        </w:rPr>
        <w:t>%，工程采购授予中小企业合同金额占工程支出金额的</w:t>
      </w:r>
      <w:r>
        <w:rPr>
          <w:rFonts w:hint="eastAsia" w:ascii="Times New Roman" w:hAnsi="Times New Roman" w:eastAsia="仿宋_GB2312"/>
          <w:sz w:val="32"/>
          <w:szCs w:val="32"/>
          <w:highlight w:val="none"/>
          <w:lang w:val="en-US" w:eastAsia="zh-CN"/>
        </w:rPr>
        <w:t>31.4</w:t>
      </w:r>
      <w:r>
        <w:rPr>
          <w:rFonts w:hint="eastAsia" w:ascii="Times New Roman" w:hAnsi="Times New Roman" w:eastAsia="仿宋_GB2312"/>
          <w:sz w:val="32"/>
          <w:szCs w:val="32"/>
          <w:highlight w:val="none"/>
        </w:rPr>
        <w:t>%，服务采购授予中小企业合同金额占服务支出金额的</w:t>
      </w:r>
      <w:r>
        <w:rPr>
          <w:rFonts w:hint="eastAsia" w:ascii="Times New Roman" w:hAnsi="Times New Roman" w:eastAsia="仿宋_GB2312"/>
          <w:sz w:val="32"/>
          <w:szCs w:val="32"/>
          <w:highlight w:val="none"/>
          <w:lang w:val="en-US" w:eastAsia="zh-CN"/>
        </w:rPr>
        <w:t>85</w:t>
      </w:r>
      <w:r>
        <w:rPr>
          <w:rFonts w:hint="eastAsia" w:ascii="Times New Roman" w:hAnsi="Times New Roman" w:eastAsia="仿宋_GB2312"/>
          <w:sz w:val="32"/>
          <w:szCs w:val="32"/>
          <w:highlight w:val="none"/>
        </w:rPr>
        <w:t>%。</w:t>
      </w:r>
    </w:p>
    <w:p w14:paraId="0CF045D2">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1373AEAA">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截至202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年12月31日，本单位共有车辆</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辆，其中，主要领导干部用车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辆，机要通信用车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辆、应急保障用车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辆、执法执勤用车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辆、特种专业技术用车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辆、其他用车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辆；单位价值50万元以上通用设备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台（套）；单位价值100万元以上专用设备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w:t>
      </w:r>
    </w:p>
    <w:p w14:paraId="47BA7F05">
      <w:pPr>
        <w:pStyle w:val="10"/>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四</w:t>
      </w:r>
      <w:r>
        <w:rPr>
          <w:rFonts w:hint="eastAsia" w:ascii="黑体" w:hAns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54C2ED8F">
      <w:pPr>
        <w:pStyle w:val="10"/>
        <w:keepNext w:val="0"/>
        <w:keepLines w:val="0"/>
        <w:pageBreakBefore w:val="0"/>
        <w:widowControl w:val="0"/>
        <w:kinsoku/>
        <w:wordWrap/>
        <w:overflowPunct/>
        <w:topLinePunct w:val="0"/>
        <w:bidi w:val="0"/>
        <w:adjustRightInd/>
        <w:snapToGrid/>
        <w:spacing w:line="60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（一）</w:t>
      </w:r>
      <w:r>
        <w:rPr>
          <w:rFonts w:hint="eastAsia" w:ascii="楷体" w:hAnsi="楷体" w:eastAsia="楷体" w:cs="楷体"/>
          <w:b/>
          <w:bCs/>
          <w:sz w:val="32"/>
          <w:szCs w:val="32"/>
          <w:highlight w:val="none"/>
        </w:rPr>
        <w:t>部门整体支出绩效情况</w:t>
      </w:r>
    </w:p>
    <w:p w14:paraId="4210B868">
      <w:pPr>
        <w:pStyle w:val="11"/>
        <w:keepNext w:val="0"/>
        <w:keepLines w:val="0"/>
        <w:pageBreakBefore w:val="0"/>
        <w:numPr>
          <w:ilvl w:val="0"/>
          <w:numId w:val="0"/>
        </w:numPr>
        <w:kinsoku/>
        <w:wordWrap/>
        <w:overflowPunct/>
        <w:topLinePunct w:val="0"/>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1、经济性分析。</w:t>
      </w:r>
    </w:p>
    <w:p w14:paraId="05A7A7CC">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32" w:firstLineChars="200"/>
        <w:textAlignment w:val="auto"/>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lang w:val="en-US" w:eastAsia="zh-CN"/>
        </w:rPr>
        <w:t>2022年学校的各项支出实行厉行节约，严格按照预算额度执行，按部门预算进行成本控制。1.财政供养人员控制在预算编制以内，编制内在职人员控制率为99%；2.整体支出预算完成率100%；3.“三公经费”预算数变动率为减少21%，较上年预算有所变动，由于我校严格按照中央“八项规定”的有关要求严格控制“三公经费”的支出，本年度没有“三公经费”支出。</w:t>
      </w:r>
    </w:p>
    <w:p w14:paraId="476D172A">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32" w:firstLineChars="200"/>
        <w:textAlignment w:val="auto"/>
        <w:rPr>
          <w:rFonts w:ascii="仿宋" w:hAnsi="仿宋" w:eastAsia="仿宋"/>
          <w:spacing w:val="-2"/>
          <w:sz w:val="32"/>
          <w:szCs w:val="32"/>
          <w:highlight w:val="none"/>
        </w:rPr>
      </w:pPr>
      <w:r>
        <w:rPr>
          <w:rFonts w:ascii="仿宋" w:hAnsi="仿宋" w:eastAsia="仿宋"/>
          <w:spacing w:val="-2"/>
          <w:sz w:val="32"/>
          <w:szCs w:val="32"/>
          <w:highlight w:val="none"/>
        </w:rPr>
        <w:t>根据部门整体支出绩效评价</w:t>
      </w:r>
      <w:r>
        <w:rPr>
          <w:rFonts w:hint="eastAsia" w:ascii="仿宋" w:hAnsi="仿宋" w:eastAsia="仿宋"/>
          <w:spacing w:val="-2"/>
          <w:sz w:val="32"/>
          <w:szCs w:val="32"/>
          <w:highlight w:val="none"/>
          <w:lang w:val="en-US" w:eastAsia="zh-CN"/>
        </w:rPr>
        <w:t>共性</w:t>
      </w:r>
      <w:r>
        <w:rPr>
          <w:rFonts w:ascii="仿宋" w:hAnsi="仿宋" w:eastAsia="仿宋"/>
          <w:spacing w:val="-2"/>
          <w:sz w:val="32"/>
          <w:szCs w:val="32"/>
          <w:highlight w:val="none"/>
        </w:rPr>
        <w:t>指标体系，我单位20</w:t>
      </w:r>
      <w:r>
        <w:rPr>
          <w:rFonts w:hint="eastAsia" w:ascii="仿宋" w:hAnsi="仿宋" w:eastAsia="仿宋"/>
          <w:spacing w:val="-2"/>
          <w:sz w:val="32"/>
          <w:szCs w:val="32"/>
          <w:highlight w:val="none"/>
          <w:lang w:val="en-US" w:eastAsia="zh-CN"/>
        </w:rPr>
        <w:t>22</w:t>
      </w:r>
      <w:r>
        <w:rPr>
          <w:rFonts w:ascii="仿宋" w:hAnsi="仿宋" w:eastAsia="仿宋"/>
          <w:spacing w:val="-2"/>
          <w:sz w:val="32"/>
          <w:szCs w:val="32"/>
          <w:highlight w:val="none"/>
        </w:rPr>
        <w:t>年度评价得分为</w:t>
      </w:r>
      <w:r>
        <w:rPr>
          <w:rFonts w:hint="eastAsia" w:ascii="仿宋" w:hAnsi="仿宋" w:eastAsia="仿宋"/>
          <w:spacing w:val="-2"/>
          <w:sz w:val="32"/>
          <w:szCs w:val="32"/>
          <w:highlight w:val="none"/>
          <w:lang w:val="en-US" w:eastAsia="zh-CN"/>
        </w:rPr>
        <w:t>83</w:t>
      </w:r>
      <w:r>
        <w:rPr>
          <w:rFonts w:ascii="仿宋" w:hAnsi="仿宋" w:eastAsia="仿宋"/>
          <w:spacing w:val="-2"/>
          <w:sz w:val="32"/>
          <w:szCs w:val="32"/>
          <w:highlight w:val="none"/>
        </w:rPr>
        <w:t>分。</w:t>
      </w:r>
    </w:p>
    <w:p w14:paraId="09CB5350">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2、效率性分析。</w:t>
      </w:r>
    </w:p>
    <w:p w14:paraId="7DA7511E">
      <w:pPr>
        <w:keepNext w:val="0"/>
        <w:keepLines w:val="0"/>
        <w:pageBreakBefore w:val="0"/>
        <w:kinsoku/>
        <w:wordWrap/>
        <w:overflowPunct/>
        <w:topLinePunct w:val="0"/>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highlight w:val="none"/>
          <w:lang w:val="en-US" w:eastAsia="zh-CN"/>
        </w:rPr>
        <w:t>2022年，我校</w:t>
      </w:r>
      <w:r>
        <w:rPr>
          <w:rFonts w:hint="eastAsia" w:ascii="仿宋" w:hAnsi="仿宋" w:eastAsia="仿宋"/>
          <w:sz w:val="32"/>
          <w:szCs w:val="32"/>
          <w:highlight w:val="none"/>
          <w:lang w:eastAsia="zh-CN"/>
        </w:rPr>
        <w:t>坚持以习近平新时代中国特色社会主义思想为指导，深入贯彻党的十九大及历次全会精神，坚持和加强党对教育工作的全面领导，落实立德树人根本任务，提高教育质量和教育治理水平，办人民满意教育，圆满完成各项工作任务。</w:t>
      </w:r>
    </w:p>
    <w:p w14:paraId="1F9F81DE">
      <w:pPr>
        <w:pStyle w:val="11"/>
        <w:keepNext w:val="0"/>
        <w:keepLines w:val="0"/>
        <w:pageBreakBefore w:val="0"/>
        <w:numPr>
          <w:ilvl w:val="0"/>
          <w:numId w:val="0"/>
        </w:numPr>
        <w:kinsoku/>
        <w:wordWrap/>
        <w:overflowPunct/>
        <w:topLinePunct w:val="0"/>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3、有效性分析。</w:t>
      </w:r>
    </w:p>
    <w:p w14:paraId="72C85A9C">
      <w:pPr>
        <w:pStyle w:val="11"/>
        <w:keepNext w:val="0"/>
        <w:keepLines w:val="0"/>
        <w:pageBreakBefore w:val="0"/>
        <w:numPr>
          <w:ilvl w:val="0"/>
          <w:numId w:val="0"/>
        </w:numPr>
        <w:kinsoku/>
        <w:wordWrap/>
        <w:overflowPunct/>
        <w:topLinePunct w:val="0"/>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2022年我校严格执行财政局、物价局、教育局制定的收费项目和标准，对所有的收费项目进行公示，严禁擅自设立收费项目及标准，坚决杜绝教师个人收费行为。合理编制学校预算，达到收支预算平衡。</w:t>
      </w:r>
    </w:p>
    <w:p w14:paraId="2946DD4A">
      <w:pPr>
        <w:pStyle w:val="11"/>
        <w:keepNext w:val="0"/>
        <w:keepLines w:val="0"/>
        <w:pageBreakBefore w:val="0"/>
        <w:numPr>
          <w:ilvl w:val="0"/>
          <w:numId w:val="0"/>
        </w:numPr>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4、可持续性分析。</w:t>
      </w:r>
    </w:p>
    <w:p w14:paraId="7119766B">
      <w:pPr>
        <w:pStyle w:val="11"/>
        <w:keepNext w:val="0"/>
        <w:keepLines w:val="0"/>
        <w:pageBreakBefore w:val="0"/>
        <w:numPr>
          <w:ilvl w:val="0"/>
          <w:numId w:val="0"/>
        </w:numPr>
        <w:kinsoku/>
        <w:wordWrap/>
        <w:overflowPunct/>
        <w:topLinePunct w:val="0"/>
        <w:bidi w:val="0"/>
        <w:adjustRightInd/>
        <w:snapToGrid/>
        <w:spacing w:line="600" w:lineRule="exact"/>
        <w:ind w:firstLine="640" w:firstLineChars="200"/>
        <w:textAlignment w:val="auto"/>
        <w:rPr>
          <w:highlight w:val="none"/>
        </w:rPr>
      </w:pPr>
      <w:r>
        <w:rPr>
          <w:rFonts w:hint="eastAsia" w:ascii="仿宋_GB2312" w:hAnsi="仿宋_GB2312" w:eastAsia="仿宋_GB2312" w:cs="仿宋_GB2312"/>
          <w:sz w:val="32"/>
          <w:szCs w:val="32"/>
          <w:highlight w:val="none"/>
          <w:lang w:val="en-US" w:eastAsia="zh-CN"/>
        </w:rPr>
        <w:t>支出完成后，</w:t>
      </w:r>
      <w:r>
        <w:rPr>
          <w:rFonts w:hint="eastAsia" w:ascii="仿宋" w:hAnsi="仿宋" w:eastAsia="仿宋" w:cs="仿宋"/>
          <w:sz w:val="32"/>
          <w:szCs w:val="32"/>
          <w:highlight w:val="none"/>
          <w:lang w:val="en-US" w:eastAsia="zh-CN"/>
        </w:rPr>
        <w:t>通过对整体支出绩效评价，提高预算编制质量，提升预算执行和控制力度，提高资金效率，保障年度目标任务的顺利完成。</w:t>
      </w:r>
    </w:p>
    <w:p w14:paraId="270DC056">
      <w:pPr>
        <w:pStyle w:val="10"/>
        <w:keepNext w:val="0"/>
        <w:keepLines w:val="0"/>
        <w:pageBreakBefore w:val="0"/>
        <w:widowControl w:val="0"/>
        <w:kinsoku/>
        <w:wordWrap/>
        <w:overflowPunct/>
        <w:topLinePunct w:val="0"/>
        <w:bidi w:val="0"/>
        <w:adjustRightInd/>
        <w:snapToGrid/>
        <w:spacing w:line="60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存在的问题及原因分析</w:t>
      </w:r>
    </w:p>
    <w:p w14:paraId="51D0F0DF">
      <w:pPr>
        <w:pStyle w:val="10"/>
        <w:keepNext w:val="0"/>
        <w:keepLines w:val="0"/>
        <w:pageBreakBefore w:val="0"/>
        <w:kinsoku/>
        <w:wordWrap/>
        <w:overflowPunct/>
        <w:topLinePunct w:val="0"/>
        <w:bidi w:val="0"/>
        <w:adjustRightInd/>
        <w:snapToGrid/>
        <w:spacing w:line="600" w:lineRule="exact"/>
        <w:ind w:firstLine="632" w:firstLineChars="200"/>
        <w:jc w:val="center"/>
        <w:textAlignment w:val="auto"/>
        <w:rPr>
          <w:sz w:val="72"/>
          <w:szCs w:val="72"/>
          <w:highlight w:val="none"/>
        </w:rPr>
      </w:pPr>
      <w:r>
        <w:rPr>
          <w:rFonts w:hint="eastAsia" w:ascii="仿宋" w:hAnsi="仿宋" w:eastAsia="仿宋" w:cs="仿宋"/>
          <w:spacing w:val="-2"/>
          <w:sz w:val="32"/>
          <w:szCs w:val="32"/>
          <w:highlight w:val="none"/>
          <w:lang w:eastAsia="zh-CN"/>
        </w:rPr>
        <w:t>工程时间跨度长，工程款金额大，存在</w:t>
      </w:r>
      <w:r>
        <w:rPr>
          <w:rFonts w:hint="eastAsia" w:ascii="仿宋" w:hAnsi="仿宋" w:eastAsia="仿宋" w:cs="仿宋"/>
          <w:spacing w:val="-2"/>
          <w:sz w:val="32"/>
          <w:szCs w:val="32"/>
          <w:highlight w:val="none"/>
          <w:lang w:val="en-US" w:eastAsia="zh-CN"/>
        </w:rPr>
        <w:t>专项资金执行具有一定的滞后性</w:t>
      </w:r>
      <w:r>
        <w:rPr>
          <w:rFonts w:hint="eastAsia" w:ascii="仿宋" w:hAnsi="仿宋" w:eastAsia="仿宋" w:cs="仿宋"/>
          <w:spacing w:val="-2"/>
          <w:sz w:val="32"/>
          <w:szCs w:val="32"/>
          <w:highlight w:val="none"/>
          <w:lang w:eastAsia="zh-CN"/>
        </w:rPr>
        <w:t>。</w:t>
      </w:r>
    </w:p>
    <w:p w14:paraId="7789281E">
      <w:pPr>
        <w:pStyle w:val="10"/>
        <w:jc w:val="center"/>
        <w:rPr>
          <w:sz w:val="72"/>
          <w:szCs w:val="72"/>
          <w:highlight w:val="none"/>
        </w:rPr>
      </w:pPr>
    </w:p>
    <w:p w14:paraId="6993682F">
      <w:pPr>
        <w:pStyle w:val="10"/>
        <w:jc w:val="center"/>
        <w:rPr>
          <w:sz w:val="72"/>
          <w:szCs w:val="72"/>
          <w:highlight w:val="none"/>
        </w:rPr>
      </w:pPr>
    </w:p>
    <w:p w14:paraId="259E9F76">
      <w:pPr>
        <w:pStyle w:val="10"/>
        <w:jc w:val="center"/>
        <w:rPr>
          <w:sz w:val="72"/>
          <w:szCs w:val="72"/>
          <w:highlight w:val="none"/>
        </w:rPr>
      </w:pPr>
    </w:p>
    <w:p w14:paraId="305CFFBD">
      <w:pPr>
        <w:pStyle w:val="10"/>
        <w:jc w:val="center"/>
        <w:rPr>
          <w:sz w:val="72"/>
          <w:szCs w:val="72"/>
          <w:highlight w:val="none"/>
        </w:rPr>
      </w:pPr>
    </w:p>
    <w:p w14:paraId="4E9F3390">
      <w:pPr>
        <w:pStyle w:val="10"/>
        <w:jc w:val="both"/>
        <w:rPr>
          <w:rFonts w:hint="eastAsia" w:ascii="方正小标宋_GBK" w:hAnsi="方正小标宋_GBK" w:eastAsia="方正小标宋_GBK" w:cs="方正小标宋_GBK"/>
          <w:sz w:val="72"/>
          <w:szCs w:val="72"/>
          <w:highlight w:val="none"/>
        </w:rPr>
      </w:pPr>
    </w:p>
    <w:p w14:paraId="7D11E796">
      <w:pPr>
        <w:pStyle w:val="10"/>
        <w:jc w:val="center"/>
        <w:rPr>
          <w:rFonts w:hint="eastAsia" w:ascii="方正小标宋_GBK" w:hAnsi="方正小标宋_GBK" w:eastAsia="方正小标宋_GBK" w:cs="方正小标宋_GBK"/>
          <w:sz w:val="72"/>
          <w:szCs w:val="72"/>
          <w:highlight w:val="none"/>
        </w:rPr>
      </w:pPr>
    </w:p>
    <w:p w14:paraId="146B4F77">
      <w:pPr>
        <w:pStyle w:val="10"/>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第四部分</w:t>
      </w:r>
    </w:p>
    <w:p w14:paraId="5603C373">
      <w:pPr>
        <w:jc w:val="center"/>
        <w:rPr>
          <w:rFonts w:hint="eastAsia" w:ascii="方正小标宋_GBK" w:hAnsi="方正小标宋_GBK" w:eastAsia="方正小标宋_GBK" w:cs="方正小标宋_GBK"/>
          <w:color w:val="000000"/>
          <w:kern w:val="0"/>
          <w:sz w:val="84"/>
          <w:szCs w:val="84"/>
          <w:highlight w:val="none"/>
        </w:rPr>
      </w:pPr>
    </w:p>
    <w:p w14:paraId="58A6AD91">
      <w:pPr>
        <w:jc w:val="center"/>
        <w:rPr>
          <w:rFonts w:hint="eastAsia" w:ascii="方正小标宋_GBK" w:hAnsi="方正小标宋_GBK" w:eastAsia="方正小标宋_GBK" w:cs="方正小标宋_GBK"/>
          <w:color w:val="000000"/>
          <w:kern w:val="0"/>
          <w:sz w:val="70"/>
          <w:szCs w:val="70"/>
          <w:highlight w:val="none"/>
        </w:rPr>
      </w:pPr>
      <w:r>
        <w:rPr>
          <w:rFonts w:hint="eastAsia" w:ascii="方正小标宋_GBK" w:hAnsi="方正小标宋_GBK" w:eastAsia="方正小标宋_GBK" w:cs="方正小标宋_GBK"/>
          <w:color w:val="000000"/>
          <w:kern w:val="0"/>
          <w:sz w:val="84"/>
          <w:szCs w:val="84"/>
          <w:highlight w:val="none"/>
        </w:rPr>
        <w:t>名词解释</w:t>
      </w:r>
    </w:p>
    <w:p w14:paraId="36B9597C">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3912AE69">
      <w:pPr>
        <w:spacing w:line="600" w:lineRule="exact"/>
        <w:ind w:firstLine="640" w:firstLineChars="200"/>
        <w:rPr>
          <w:rFonts w:hint="eastAsia" w:eastAsia="仿宋_GB2312"/>
          <w:kern w:val="0"/>
          <w:sz w:val="32"/>
          <w:szCs w:val="32"/>
          <w:highlight w:val="none"/>
        </w:rPr>
      </w:pPr>
      <w:r>
        <w:rPr>
          <w:rFonts w:hint="eastAsia" w:eastAsia="仿宋_GB2312"/>
          <w:kern w:val="0"/>
          <w:sz w:val="32"/>
          <w:szCs w:val="32"/>
          <w:highlight w:val="none"/>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64FD8089">
      <w:pPr>
        <w:pStyle w:val="10"/>
        <w:ind w:firstLine="640" w:firstLineChars="200"/>
        <w:jc w:val="left"/>
        <w:rPr>
          <w:sz w:val="72"/>
          <w:szCs w:val="72"/>
          <w:highlight w:val="none"/>
        </w:rPr>
      </w:pPr>
      <w:r>
        <w:rPr>
          <w:rFonts w:hint="eastAsia" w:eastAsia="仿宋_GB2312"/>
          <w:kern w:val="0"/>
          <w:sz w:val="32"/>
          <w:szCs w:val="32"/>
          <w:highlight w:val="none"/>
        </w:rPr>
        <w:t>二、</w:t>
      </w:r>
      <w:r>
        <w:rPr>
          <w:rFonts w:eastAsia="仿宋_GB2312"/>
          <w:kern w:val="0"/>
          <w:sz w:val="32"/>
          <w:szCs w:val="32"/>
          <w:highlight w:val="none"/>
        </w:rPr>
        <w:t>“</w:t>
      </w:r>
      <w:r>
        <w:rPr>
          <w:rFonts w:hint="eastAsia" w:eastAsia="仿宋_GB2312"/>
          <w:kern w:val="0"/>
          <w:sz w:val="32"/>
          <w:szCs w:val="32"/>
          <w:highlight w:val="none"/>
        </w:rPr>
        <w:t>三公</w:t>
      </w:r>
      <w:r>
        <w:rPr>
          <w:rFonts w:eastAsia="仿宋_GB2312"/>
          <w:kern w:val="0"/>
          <w:sz w:val="32"/>
          <w:szCs w:val="32"/>
          <w:highlight w:val="none"/>
        </w:rPr>
        <w:t>”</w:t>
      </w:r>
      <w:r>
        <w:rPr>
          <w:rFonts w:hint="eastAsia" w:eastAsia="仿宋_GB2312"/>
          <w:kern w:val="0"/>
          <w:sz w:val="32"/>
          <w:szCs w:val="32"/>
          <w:highlight w:val="none"/>
        </w:rPr>
        <w:t>经费：纳入财政预算管理的</w:t>
      </w:r>
      <w:r>
        <w:rPr>
          <w:rFonts w:eastAsia="仿宋_GB2312"/>
          <w:kern w:val="0"/>
          <w:sz w:val="32"/>
          <w:szCs w:val="32"/>
          <w:highlight w:val="none"/>
        </w:rPr>
        <w:t>“</w:t>
      </w:r>
      <w:r>
        <w:rPr>
          <w:rFonts w:hint="eastAsia" w:eastAsia="仿宋_GB2312"/>
          <w:kern w:val="0"/>
          <w:sz w:val="32"/>
          <w:szCs w:val="32"/>
          <w:highlight w:val="none"/>
        </w:rPr>
        <w:t>三公</w:t>
      </w:r>
      <w:r>
        <w:rPr>
          <w:rFonts w:eastAsia="仿宋_GB2312"/>
          <w:kern w:val="0"/>
          <w:sz w:val="32"/>
          <w:szCs w:val="32"/>
          <w:highlight w:val="none"/>
        </w:rPr>
        <w:t>“</w:t>
      </w:r>
      <w:r>
        <w:rPr>
          <w:rFonts w:hint="eastAsia" w:eastAsia="仿宋_GB2312"/>
          <w:kern w:val="0"/>
          <w:sz w:val="32"/>
          <w:szCs w:val="32"/>
          <w:highlight w:val="none"/>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CDFC5E5">
      <w:pPr>
        <w:pStyle w:val="10"/>
        <w:jc w:val="center"/>
        <w:rPr>
          <w:sz w:val="72"/>
          <w:szCs w:val="72"/>
          <w:highlight w:val="none"/>
        </w:rPr>
      </w:pPr>
    </w:p>
    <w:p w14:paraId="351F6D4B">
      <w:pPr>
        <w:pStyle w:val="10"/>
        <w:jc w:val="center"/>
        <w:rPr>
          <w:sz w:val="72"/>
          <w:szCs w:val="72"/>
          <w:highlight w:val="none"/>
        </w:rPr>
      </w:pPr>
    </w:p>
    <w:p w14:paraId="61D61CD5">
      <w:pPr>
        <w:pStyle w:val="10"/>
        <w:jc w:val="center"/>
        <w:rPr>
          <w:sz w:val="72"/>
          <w:szCs w:val="72"/>
          <w:highlight w:val="none"/>
        </w:rPr>
      </w:pPr>
    </w:p>
    <w:p w14:paraId="4980A35A">
      <w:pPr>
        <w:pStyle w:val="10"/>
        <w:jc w:val="center"/>
        <w:rPr>
          <w:sz w:val="72"/>
          <w:szCs w:val="72"/>
          <w:highlight w:val="none"/>
        </w:rPr>
      </w:pPr>
    </w:p>
    <w:p w14:paraId="1C97F086">
      <w:pPr>
        <w:pStyle w:val="10"/>
        <w:jc w:val="center"/>
        <w:rPr>
          <w:sz w:val="72"/>
          <w:szCs w:val="72"/>
          <w:highlight w:val="none"/>
        </w:rPr>
      </w:pPr>
    </w:p>
    <w:p w14:paraId="5D78F061">
      <w:pPr>
        <w:pStyle w:val="10"/>
        <w:jc w:val="center"/>
        <w:rPr>
          <w:sz w:val="72"/>
          <w:szCs w:val="72"/>
          <w:highlight w:val="none"/>
        </w:rPr>
      </w:pPr>
    </w:p>
    <w:p w14:paraId="40833773">
      <w:pPr>
        <w:pStyle w:val="10"/>
        <w:jc w:val="center"/>
        <w:rPr>
          <w:sz w:val="72"/>
          <w:szCs w:val="72"/>
          <w:highlight w:val="none"/>
        </w:rPr>
      </w:pPr>
    </w:p>
    <w:p w14:paraId="5AC1FEC0">
      <w:pPr>
        <w:pStyle w:val="10"/>
        <w:jc w:val="center"/>
        <w:rPr>
          <w:sz w:val="72"/>
          <w:szCs w:val="72"/>
          <w:highlight w:val="none"/>
        </w:rPr>
      </w:pPr>
    </w:p>
    <w:p w14:paraId="15E7F3FF">
      <w:pPr>
        <w:pStyle w:val="10"/>
        <w:jc w:val="center"/>
        <w:rPr>
          <w:sz w:val="72"/>
          <w:szCs w:val="72"/>
          <w:highlight w:val="none"/>
        </w:rPr>
      </w:pPr>
    </w:p>
    <w:p w14:paraId="49ABEBC3">
      <w:pPr>
        <w:pStyle w:val="10"/>
        <w:jc w:val="center"/>
        <w:rPr>
          <w:sz w:val="72"/>
          <w:szCs w:val="72"/>
          <w:highlight w:val="none"/>
        </w:rPr>
      </w:pPr>
    </w:p>
    <w:p w14:paraId="77DDEFC2">
      <w:pPr>
        <w:pStyle w:val="10"/>
        <w:jc w:val="center"/>
        <w:rPr>
          <w:sz w:val="72"/>
          <w:szCs w:val="72"/>
          <w:highlight w:val="none"/>
        </w:rPr>
      </w:pPr>
    </w:p>
    <w:p w14:paraId="1C29E6D3">
      <w:pPr>
        <w:pStyle w:val="10"/>
        <w:jc w:val="center"/>
        <w:rPr>
          <w:sz w:val="72"/>
          <w:szCs w:val="72"/>
          <w:highlight w:val="none"/>
        </w:rPr>
      </w:pPr>
    </w:p>
    <w:p w14:paraId="163836BF">
      <w:pPr>
        <w:pStyle w:val="10"/>
        <w:jc w:val="center"/>
        <w:rPr>
          <w:sz w:val="72"/>
          <w:szCs w:val="72"/>
          <w:highlight w:val="none"/>
        </w:rPr>
      </w:pPr>
    </w:p>
    <w:p w14:paraId="162A993D">
      <w:pPr>
        <w:pStyle w:val="10"/>
        <w:jc w:val="center"/>
        <w:rPr>
          <w:sz w:val="72"/>
          <w:szCs w:val="72"/>
          <w:highlight w:val="none"/>
        </w:rPr>
      </w:pPr>
    </w:p>
    <w:p w14:paraId="55D6EEF5">
      <w:pPr>
        <w:pStyle w:val="10"/>
        <w:jc w:val="center"/>
        <w:rPr>
          <w:rFonts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第五部分</w:t>
      </w:r>
    </w:p>
    <w:p w14:paraId="13CA80C6">
      <w:pPr>
        <w:pStyle w:val="10"/>
        <w:jc w:val="center"/>
        <w:rPr>
          <w:rFonts w:ascii="方正小标宋_GBK" w:hAnsi="方正小标宋_GBK" w:eastAsia="方正小标宋_GBK" w:cs="方正小标宋_GBK"/>
          <w:sz w:val="84"/>
          <w:szCs w:val="84"/>
          <w:highlight w:val="none"/>
        </w:rPr>
      </w:pPr>
    </w:p>
    <w:p w14:paraId="7DB3E486">
      <w:pPr>
        <w:pStyle w:val="10"/>
        <w:jc w:val="center"/>
        <w:rPr>
          <w:sz w:val="72"/>
          <w:szCs w:val="72"/>
          <w:highlight w:val="none"/>
        </w:rPr>
      </w:pPr>
      <w:r>
        <w:rPr>
          <w:rFonts w:hint="eastAsia" w:ascii="方正小标宋_GBK" w:hAnsi="方正小标宋_GBK" w:eastAsia="方正小标宋_GBK" w:cs="方正小标宋_GBK"/>
          <w:sz w:val="84"/>
          <w:szCs w:val="84"/>
          <w:highlight w:val="none"/>
        </w:rPr>
        <w:t>附件</w:t>
      </w:r>
    </w:p>
    <w:p w14:paraId="5E1F539C">
      <w:pPr>
        <w:pStyle w:val="10"/>
        <w:jc w:val="center"/>
        <w:rPr>
          <w:sz w:val="72"/>
          <w:szCs w:val="72"/>
          <w:highlight w:val="none"/>
        </w:rPr>
      </w:pPr>
    </w:p>
    <w:p w14:paraId="20D9379E">
      <w:pPr>
        <w:pStyle w:val="10"/>
        <w:jc w:val="center"/>
        <w:rPr>
          <w:sz w:val="72"/>
          <w:szCs w:val="72"/>
          <w:highlight w:val="none"/>
        </w:rPr>
      </w:pPr>
    </w:p>
    <w:p w14:paraId="689A32BF">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ODRlYjhhM2RkNGEyZjY1NTA1YWZhOWU0YjkxY2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251E07"/>
    <w:rsid w:val="07EC59C5"/>
    <w:rsid w:val="0C0A1494"/>
    <w:rsid w:val="346F6A70"/>
    <w:rsid w:val="46A870E2"/>
    <w:rsid w:val="4C4D0644"/>
    <w:rsid w:val="54E55E6D"/>
    <w:rsid w:val="5777D4F5"/>
    <w:rsid w:val="5DA14CA4"/>
    <w:rsid w:val="5FC6BB1E"/>
    <w:rsid w:val="5FF720F1"/>
    <w:rsid w:val="6A9456F6"/>
    <w:rsid w:val="6AE24AB5"/>
    <w:rsid w:val="737D59BA"/>
    <w:rsid w:val="751D5621"/>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99"/>
    <w:pPr>
      <w:spacing w:line="481" w:lineRule="atLeast"/>
      <w:ind w:firstLine="623"/>
      <w:textAlignment w:val="baseline"/>
    </w:pPr>
    <w:rPr>
      <w:color w:val="000000"/>
      <w:sz w:val="31"/>
      <w:szCs w:val="31"/>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7197</Words>
  <Characters>8930</Characters>
  <Lines>63</Lines>
  <Paragraphs>18</Paragraphs>
  <TotalTime>0</TotalTime>
  <ScaleCrop>false</ScaleCrop>
  <LinksUpToDate>false</LinksUpToDate>
  <CharactersWithSpaces>9776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C＇estbon</cp:lastModifiedBy>
  <cp:lastPrinted>2023-08-15T09:28:00Z</cp:lastPrinted>
  <dcterms:modified xsi:type="dcterms:W3CDTF">2024-10-14T10:24:17Z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FE0C82F941FA418A93BDFBEFC34DF2F1_12</vt:lpwstr>
  </property>
</Properties>
</file>