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ECF8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60C7F1D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部门整体支出绩效自评报告</w:t>
      </w:r>
    </w:p>
    <w:p w14:paraId="035A1E6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2A18A9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CFDD10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一、部门、单位基本情况</w:t>
      </w:r>
    </w:p>
    <w:p w14:paraId="7F8702B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（一）机构设置情况</w:t>
      </w:r>
    </w:p>
    <w:p w14:paraId="6F8A6E2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32" w:firstLineChars="200"/>
        <w:textAlignment w:val="auto"/>
        <w:rPr>
          <w:rFonts w:hint="eastAsia" w:ascii="仿宋" w:hAnsi="仿宋" w:eastAsia="仿宋"/>
          <w:spacing w:val="-2"/>
          <w:sz w:val="32"/>
          <w:szCs w:val="32"/>
          <w:lang w:eastAsia="zh-CN"/>
        </w:rPr>
      </w:pPr>
      <w:r>
        <w:rPr>
          <w:rFonts w:ascii="仿宋" w:hAnsi="仿宋" w:eastAsia="仿宋"/>
          <w:spacing w:val="-2"/>
          <w:sz w:val="32"/>
          <w:szCs w:val="32"/>
        </w:rPr>
        <w:t>我校是怀化市义务制初级中学，</w:t>
      </w:r>
      <w:r>
        <w:rPr>
          <w:rFonts w:hint="eastAsia" w:ascii="仿宋" w:hAnsi="仿宋" w:eastAsia="仿宋"/>
          <w:spacing w:val="-2"/>
          <w:sz w:val="32"/>
          <w:szCs w:val="32"/>
        </w:rPr>
        <w:t>下设有校办公室、教务、德育、总务、教研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/>
          <w:spacing w:val="-2"/>
          <w:sz w:val="32"/>
          <w:szCs w:val="32"/>
        </w:rPr>
        <w:t>五个部门</w:t>
      </w:r>
      <w:r>
        <w:rPr>
          <w:rFonts w:hint="eastAsia" w:ascii="仿宋" w:hAnsi="仿宋" w:eastAsia="仿宋"/>
          <w:spacing w:val="-2"/>
          <w:sz w:val="32"/>
          <w:szCs w:val="32"/>
          <w:lang w:eastAsia="zh-CN"/>
        </w:rPr>
        <w:t>。</w:t>
      </w:r>
    </w:p>
    <w:p w14:paraId="739AD84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（二）人员编制情况</w:t>
      </w:r>
    </w:p>
    <w:p w14:paraId="52CDC8F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我校单位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编制人数为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228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人，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均为事业单位编制，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实有在职人员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214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退休人员72人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2F4631C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（三）主要职能职责</w:t>
      </w:r>
    </w:p>
    <w:p w14:paraId="7315D2A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怀化市武陵中学主要职责是</w:t>
      </w:r>
      <w:r>
        <w:rPr>
          <w:rFonts w:ascii="仿宋" w:hAnsi="仿宋" w:eastAsia="仿宋"/>
          <w:spacing w:val="-2"/>
          <w:sz w:val="32"/>
          <w:szCs w:val="32"/>
        </w:rPr>
        <w:t>实施初中阶段义务教育，为高一级学校培养德、智、体、美、艺全面发展的初中毕业生。</w:t>
      </w:r>
      <w:r>
        <w:rPr>
          <w:rFonts w:hint="eastAsia" w:ascii="仿宋" w:hAnsi="仿宋" w:eastAsia="仿宋"/>
          <w:spacing w:val="-2"/>
          <w:sz w:val="32"/>
          <w:szCs w:val="32"/>
        </w:rPr>
        <w:t>学校立志于</w:t>
      </w:r>
      <w:r>
        <w:rPr>
          <w:rFonts w:ascii="仿宋" w:hAnsi="仿宋" w:eastAsia="仿宋"/>
          <w:spacing w:val="-2"/>
          <w:sz w:val="32"/>
          <w:szCs w:val="32"/>
        </w:rPr>
        <w:t>维护教职工利益，保障教职工合法权益，以教职工和学生的人生幸福和生命质量作为重点。</w:t>
      </w:r>
    </w:p>
    <w:p w14:paraId="7240AC1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（四）绩效目标设定情况</w:t>
      </w:r>
    </w:p>
    <w:p w14:paraId="16656023">
      <w:pPr>
        <w:ind w:firstLine="640" w:firstLineChars="200"/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023年绩效目标为</w:t>
      </w:r>
      <w:r>
        <w:rPr>
          <w:rFonts w:hint="eastAsia" w:ascii="仿宋" w:hAnsi="仿宋" w:eastAsia="仿宋"/>
          <w:spacing w:val="-2"/>
          <w:sz w:val="32"/>
          <w:szCs w:val="32"/>
        </w:rPr>
        <w:t>坚持现代办学理念，注重科学管理，不断深化内部改革，形成以人为本的管理特色。一手抓常规、一手抓教改的教学特色。学生自主管理，注重特长发展的德育特色。致力推行素质教育。</w:t>
      </w:r>
    </w:p>
    <w:p w14:paraId="471987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二、部门整体支出管理及使用情况</w:t>
      </w:r>
    </w:p>
    <w:p w14:paraId="160AF25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预算执行、使用、管理总体情况。</w:t>
      </w:r>
    </w:p>
    <w:p w14:paraId="6AEBC7A8">
      <w:pPr>
        <w:widowControl/>
        <w:shd w:val="clear" w:color="auto" w:fill="FFFFFF"/>
        <w:spacing w:line="600" w:lineRule="atLeast"/>
        <w:ind w:firstLine="640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2023年预算支出总额4501.08万元，其中一般公共服务支出3.58万元，教育支出3860.78万元，社会保障和就业支出460.74万元，卫生健康支出175.98万元。</w:t>
      </w:r>
    </w:p>
    <w:p w14:paraId="1B75E3C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（二）部门预算执行情况</w:t>
      </w:r>
    </w:p>
    <w:p w14:paraId="41CB897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1.基本支出情况</w:t>
      </w:r>
    </w:p>
    <w:p w14:paraId="28E4585D">
      <w:pPr>
        <w:widowControl/>
        <w:shd w:val="clear" w:color="auto" w:fill="FFFFFF"/>
        <w:spacing w:line="600" w:lineRule="atLeast"/>
        <w:ind w:firstLine="640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2023年基本支出4227.55万元，主要用于为保障单位机构正常运转、完成日常工作任务而发生的各项支出，包括基本工资、津贴补贴等人员经费以及办公费、印刷费、水电费、物业管理费等日常公用经费。</w:t>
      </w:r>
    </w:p>
    <w:p w14:paraId="5879A40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640" w:right="0" w:firstLine="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2.项目支出情况</w:t>
      </w:r>
    </w:p>
    <w:p w14:paraId="2F3677D0">
      <w:pPr>
        <w:widowControl/>
        <w:shd w:val="clear" w:color="auto" w:fill="FFFFFF"/>
        <w:spacing w:line="600" w:lineRule="atLeast"/>
        <w:ind w:firstLine="640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2023年项目支出273.53万元，主要用于</w:t>
      </w:r>
      <w:r>
        <w:rPr>
          <w:rFonts w:hint="eastAsia" w:ascii="仿宋" w:eastAsia="仿宋"/>
          <w:sz w:val="32"/>
          <w:szCs w:val="32"/>
        </w:rPr>
        <w:t>校方责任险、校保安</w:t>
      </w:r>
      <w:r>
        <w:rPr>
          <w:rFonts w:hint="eastAsia" w:ascii="仿宋" w:eastAsia="仿宋"/>
          <w:sz w:val="32"/>
          <w:szCs w:val="32"/>
          <w:lang w:val="en-US" w:eastAsia="zh-CN"/>
        </w:rPr>
        <w:t>经费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等业务工作经费30.45万元，</w:t>
      </w:r>
      <w:r>
        <w:rPr>
          <w:rFonts w:hint="eastAsia" w:ascii="仿宋" w:eastAsia="仿宋"/>
          <w:sz w:val="32"/>
          <w:szCs w:val="32"/>
          <w:lang w:val="en-US" w:eastAsia="zh-CN"/>
        </w:rPr>
        <w:t>教师培训、课后服务费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等其他事业类发展资金</w:t>
      </w:r>
      <w:r>
        <w:rPr>
          <w:rFonts w:hint="eastAsia" w:ascii="仿宋" w:eastAsia="仿宋"/>
          <w:sz w:val="32"/>
          <w:szCs w:val="32"/>
          <w:lang w:val="en-US" w:eastAsia="zh-CN"/>
        </w:rPr>
        <w:t>243.08万元。</w:t>
      </w:r>
    </w:p>
    <w:p w14:paraId="64FDD27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（三）"三公"经费使用和管理情况</w:t>
      </w:r>
    </w:p>
    <w:p w14:paraId="58894DC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32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2023年“三公”经费预算0.25万元，其中，因公出国（境）费0万元，公务用车购置及运行维护费0万元，公务接待费0.25万元。实际支出0万元。</w:t>
      </w:r>
    </w:p>
    <w:p w14:paraId="3AA2DA7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三、政府性基金预算支出情况</w:t>
      </w:r>
    </w:p>
    <w:p w14:paraId="6EA4B84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640" w:right="0" w:firstLine="0"/>
        <w:textAlignment w:val="auto"/>
        <w:rPr>
          <w:rFonts w:hint="default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2023年无政府基金预算收支。</w:t>
      </w:r>
    </w:p>
    <w:p w14:paraId="6A2D62F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四、国有资本经营预算支出情况</w:t>
      </w:r>
    </w:p>
    <w:p w14:paraId="20635FF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640" w:right="0" w:firstLine="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2023年无国有资本经营预算收支。</w:t>
      </w:r>
    </w:p>
    <w:p w14:paraId="204288B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五、社会保险基金预算支出情况</w:t>
      </w:r>
    </w:p>
    <w:p w14:paraId="4A6E571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640"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2023年无社会保险基金预算收支。</w:t>
      </w:r>
    </w:p>
    <w:p w14:paraId="452B2A0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六、部门整体支出绩效情况</w:t>
      </w:r>
    </w:p>
    <w:p w14:paraId="23EAF57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（一）综合评价结论。</w:t>
      </w:r>
    </w:p>
    <w:p w14:paraId="239EF15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" w:hAnsi="仿宋" w:eastAsia="仿宋"/>
          <w:spacing w:val="-2"/>
          <w:sz w:val="32"/>
          <w:szCs w:val="32"/>
        </w:rPr>
        <w:t>我单位20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23</w:t>
      </w:r>
      <w:r>
        <w:rPr>
          <w:rFonts w:ascii="仿宋" w:hAnsi="仿宋" w:eastAsia="仿宋"/>
          <w:spacing w:val="-2"/>
          <w:sz w:val="32"/>
          <w:szCs w:val="32"/>
        </w:rPr>
        <w:t>年度部门整体支出绩效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自评</w:t>
      </w:r>
      <w:r>
        <w:rPr>
          <w:rFonts w:ascii="仿宋" w:hAnsi="仿宋" w:eastAsia="仿宋"/>
          <w:spacing w:val="-2"/>
          <w:sz w:val="32"/>
          <w:szCs w:val="32"/>
        </w:rPr>
        <w:t>得</w:t>
      </w:r>
      <w:r>
        <w:rPr>
          <w:rFonts w:ascii="仿宋" w:hAnsi="仿宋" w:eastAsia="仿宋"/>
          <w:spacing w:val="-2"/>
          <w:sz w:val="32"/>
          <w:szCs w:val="32"/>
          <w:highlight w:val="none"/>
        </w:rPr>
        <w:t>分为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  <w:lang w:val="en-US" w:eastAsia="zh-CN"/>
        </w:rPr>
        <w:t>85</w:t>
      </w:r>
      <w:r>
        <w:rPr>
          <w:rFonts w:ascii="仿宋" w:hAnsi="仿宋" w:eastAsia="仿宋"/>
          <w:spacing w:val="-2"/>
          <w:sz w:val="32"/>
          <w:szCs w:val="32"/>
          <w:highlight w:val="none"/>
        </w:rPr>
        <w:t>分。</w:t>
      </w:r>
    </w:p>
    <w:p w14:paraId="0188ED6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（二）评价指标分析（或综合评价情况）。</w:t>
      </w:r>
    </w:p>
    <w:p w14:paraId="2FC41565">
      <w:pPr>
        <w:pStyle w:val="13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1、经济性分析。</w:t>
      </w:r>
    </w:p>
    <w:p w14:paraId="6ECC681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" w:hAnsi="仿宋" w:eastAsia="仿宋"/>
          <w:spacing w:val="-2"/>
          <w:sz w:val="32"/>
          <w:szCs w:val="32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2023年学校的各项支出实行厉行节约，严格按照预算额度执行，按部门预算进行成本控制。</w:t>
      </w:r>
      <w:r>
        <w:rPr>
          <w:rFonts w:hint="eastAsia" w:ascii="仿宋" w:hAnsi="仿宋" w:eastAsia="仿宋" w:cs="Times New Roman"/>
          <w:spacing w:val="-2"/>
          <w:sz w:val="32"/>
          <w:szCs w:val="32"/>
          <w:highlight w:val="none"/>
          <w:lang w:val="en-US" w:eastAsia="zh-CN"/>
        </w:rPr>
        <w:t>财政供养人员控制在预算编制以内，编制内在职人员控制率为94%；整体支出预算完成率100%；本年度没有“三公经费”支出。</w:t>
      </w:r>
    </w:p>
    <w:p w14:paraId="3A53C2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32" w:firstLineChars="200"/>
        <w:textAlignment w:val="auto"/>
        <w:rPr>
          <w:rFonts w:hint="eastAsia" w:ascii="仿宋" w:hAnsi="仿宋" w:eastAsia="仿宋" w:cstheme="minorBidi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theme="minorBidi"/>
          <w:spacing w:val="-2"/>
          <w:kern w:val="0"/>
          <w:sz w:val="32"/>
          <w:szCs w:val="32"/>
          <w:lang w:val="en-US" w:eastAsia="zh-CN" w:bidi="ar"/>
        </w:rPr>
        <w:t>2、效率性分析。</w:t>
      </w:r>
    </w:p>
    <w:p w14:paraId="348237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32" w:firstLineChars="200"/>
        <w:textAlignment w:val="auto"/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2023年，我校坚持以习近平中国特色社会主义思想为指导，在怀化市教育局的正确领导下，紧紧围绕教育发展大局，加强领导班子、教师队伍建设，落实“四家”“三心”三同”理念，积极推进政社协同、家校协同、师生协同，致力办好让家长放心、老师安心、学生用心的优质教育。在党政建设、师德师风建设、素质教育、教学研究、特色工作、校园建设等方面取得了一些成绩。</w:t>
      </w:r>
    </w:p>
    <w:p w14:paraId="798D2AFD">
      <w:pPr>
        <w:pStyle w:val="13"/>
        <w:numPr>
          <w:ilvl w:val="0"/>
          <w:numId w:val="0"/>
        </w:numPr>
        <w:ind w:firstLine="632" w:firstLineChars="200"/>
        <w:rPr>
          <w:rFonts w:hint="eastAsia" w:ascii="仿宋" w:hAnsi="仿宋" w:eastAsia="仿宋" w:cstheme="minorBidi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theme="minorBidi"/>
          <w:spacing w:val="-2"/>
          <w:kern w:val="0"/>
          <w:sz w:val="32"/>
          <w:szCs w:val="32"/>
          <w:lang w:val="en-US" w:eastAsia="zh-CN" w:bidi="ar"/>
        </w:rPr>
        <w:t>3、有效性分析。</w:t>
      </w:r>
    </w:p>
    <w:p w14:paraId="09004C1B">
      <w:pPr>
        <w:pStyle w:val="13"/>
        <w:numPr>
          <w:ilvl w:val="0"/>
          <w:numId w:val="0"/>
        </w:numPr>
        <w:ind w:firstLine="632" w:firstLineChars="200"/>
        <w:rPr>
          <w:rFonts w:hint="eastAsia" w:ascii="仿宋" w:hAnsi="仿宋" w:eastAsia="仿宋" w:cstheme="minorBidi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theme="minorBidi"/>
          <w:spacing w:val="-2"/>
          <w:kern w:val="0"/>
          <w:sz w:val="32"/>
          <w:szCs w:val="32"/>
          <w:lang w:val="en-US" w:eastAsia="zh-CN" w:bidi="ar"/>
        </w:rPr>
        <w:t>预算安排的基本支出保障了我校正常的工作运转，体现了财政对义务教育的关心和重视，预算安排的项目支出是非常必要的，学校的支出严格执行国家现行标准和内部控制制度，严格规范了学校支出，优先保证了教学需要。2023年我校严格执行财政局、物价局、教育局制定的收费项目和标准，对所有的收费项目进行公示，严禁擅自设立收费项目及标准，坚决杜绝教师个人收费行为。合理编制学校预算，达到收支预算平衡。</w:t>
      </w:r>
    </w:p>
    <w:p w14:paraId="199CDCB5">
      <w:pPr>
        <w:pStyle w:val="13"/>
        <w:numPr>
          <w:ilvl w:val="0"/>
          <w:numId w:val="0"/>
        </w:numPr>
        <w:ind w:firstLine="632" w:firstLineChars="200"/>
        <w:rPr>
          <w:rFonts w:hint="eastAsia" w:ascii="仿宋" w:hAnsi="仿宋" w:eastAsia="仿宋" w:cstheme="minorBidi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theme="minorBidi"/>
          <w:spacing w:val="-2"/>
          <w:kern w:val="0"/>
          <w:sz w:val="32"/>
          <w:szCs w:val="32"/>
          <w:lang w:val="en-US" w:eastAsia="zh-CN" w:bidi="ar"/>
        </w:rPr>
        <w:t>4、可持续性分析。</w:t>
      </w:r>
    </w:p>
    <w:p w14:paraId="6E13814D">
      <w:pPr>
        <w:pStyle w:val="13"/>
        <w:numPr>
          <w:ilvl w:val="0"/>
          <w:numId w:val="0"/>
        </w:numPr>
        <w:ind w:firstLine="632" w:firstLineChars="200"/>
        <w:rPr>
          <w:rFonts w:hint="eastAsia" w:ascii="仿宋" w:hAnsi="仿宋" w:eastAsia="仿宋" w:cstheme="minorBidi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theme="minorBidi"/>
          <w:spacing w:val="-2"/>
          <w:kern w:val="0"/>
          <w:sz w:val="32"/>
          <w:szCs w:val="32"/>
          <w:lang w:val="en-US" w:eastAsia="zh-CN" w:bidi="ar"/>
        </w:rPr>
        <w:t>支出完成后，通过对整体支出绩效评价，提高预算编制质量，提升预算执行和控制力度，提高资金效率，保障年度目标任务的顺利完成。</w:t>
      </w:r>
    </w:p>
    <w:p w14:paraId="153FEEC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七、存在的问题及原因分析</w:t>
      </w:r>
    </w:p>
    <w:p w14:paraId="4294402E">
      <w:pPr>
        <w:pStyle w:val="13"/>
        <w:numPr>
          <w:ilvl w:val="0"/>
          <w:numId w:val="0"/>
        </w:numPr>
        <w:ind w:firstLine="632" w:firstLineChars="200"/>
        <w:rPr>
          <w:rFonts w:hint="eastAsia" w:ascii="仿宋" w:hAnsi="仿宋" w:eastAsia="仿宋" w:cstheme="minorBidi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theme="minorBidi"/>
          <w:spacing w:val="-2"/>
          <w:kern w:val="0"/>
          <w:sz w:val="32"/>
          <w:szCs w:val="32"/>
          <w:lang w:val="en-US" w:eastAsia="zh-CN" w:bidi="ar"/>
        </w:rPr>
        <w:t>我校2023年部门支出达到预期绩效目标，在预算执行过程中，由于各种客观原因存在指标之间调剂使用的现象，预算编制、下达需要更加科学、及时。同时，内部控制制度还有待于进一步完善，行政运行成本控制方面还有一定压缩空间。</w:t>
      </w:r>
    </w:p>
    <w:p w14:paraId="54930EF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八、下一步改进措施</w:t>
      </w:r>
    </w:p>
    <w:p w14:paraId="628E4C40">
      <w:pPr>
        <w:ind w:firstLine="632" w:firstLineChars="200"/>
        <w:rPr>
          <w:rFonts w:hint="eastAsia" w:ascii="仿宋" w:hAnsi="仿宋" w:eastAsia="仿宋"/>
          <w:spacing w:val="-2"/>
          <w:sz w:val="32"/>
          <w:szCs w:val="32"/>
        </w:rPr>
      </w:pPr>
      <w:r>
        <w:rPr>
          <w:rFonts w:hint="eastAsia" w:ascii="仿宋" w:hAnsi="仿宋" w:eastAsia="仿宋"/>
          <w:spacing w:val="-2"/>
          <w:sz w:val="32"/>
          <w:szCs w:val="32"/>
        </w:rPr>
        <w:t>根据</w:t>
      </w: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自</w:t>
      </w:r>
      <w:r>
        <w:rPr>
          <w:rFonts w:hint="eastAsia" w:ascii="仿宋" w:hAnsi="仿宋" w:eastAsia="仿宋"/>
          <w:spacing w:val="-2"/>
          <w:sz w:val="32"/>
          <w:szCs w:val="32"/>
        </w:rPr>
        <w:t>评情况，提出以下建议：</w:t>
      </w:r>
    </w:p>
    <w:p w14:paraId="4213D3CA">
      <w:pPr>
        <w:ind w:firstLine="632" w:firstLineChars="200"/>
        <w:rPr>
          <w:rFonts w:hint="eastAsia" w:ascii="仿宋" w:hAnsi="仿宋" w:eastAsia="仿宋"/>
          <w:spacing w:val="-2"/>
          <w:sz w:val="32"/>
          <w:szCs w:val="32"/>
        </w:rPr>
      </w:pPr>
      <w:r>
        <w:rPr>
          <w:rFonts w:hint="eastAsia" w:ascii="仿宋" w:hAnsi="仿宋" w:eastAsia="仿宋"/>
          <w:spacing w:val="-2"/>
          <w:sz w:val="32"/>
          <w:szCs w:val="32"/>
        </w:rPr>
        <w:t>（1）应切实提高预算编制的科学性、准确性和规范性，建立健全规范的学校预算编制制度，按照《预算法》及其实施条件的相关规定编制预算，按照政策规定及本单位的实际情况，结合上一年的预算执行情况和本年的预算支出变化，科学，合理，合规的编制本年预算。</w:t>
      </w:r>
    </w:p>
    <w:p w14:paraId="256FAD30">
      <w:pPr>
        <w:ind w:firstLine="632" w:firstLineChars="200"/>
        <w:rPr>
          <w:rFonts w:hint="eastAsia" w:ascii="仿宋" w:hAnsi="仿宋" w:eastAsia="仿宋"/>
          <w:spacing w:val="-2"/>
          <w:sz w:val="32"/>
          <w:szCs w:val="32"/>
        </w:rPr>
      </w:pPr>
      <w:r>
        <w:rPr>
          <w:rFonts w:hint="eastAsia" w:ascii="仿宋" w:hAnsi="仿宋" w:eastAsia="仿宋"/>
          <w:spacing w:val="-2"/>
          <w:sz w:val="32"/>
          <w:szCs w:val="32"/>
        </w:rPr>
        <w:t>（2）加强学校的精细化管理，积极推进领导班子首遇责任制，积极推进让问题到我为止的责任管理模式。从细处入手，向管理要质量，向管理要效益。大力发展我校心理健康与信息化特色教育，将科学的学习方法、优质的教学资源、先进的教学工具进一步深度融合，提升办学品味。</w:t>
      </w:r>
    </w:p>
    <w:p w14:paraId="28A30F51">
      <w:pPr>
        <w:ind w:firstLine="632" w:firstLineChars="20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spacing w:val="-2"/>
          <w:sz w:val="32"/>
          <w:szCs w:val="32"/>
        </w:rPr>
        <w:t>（3）进一步加强各科室的预算管理意识，对特殊项目事前提出预算要求，严格按照预算编制的相关制度和要求进行预算编制，尽量做到该纳入预算的，全部纳入预算。严格按照预算批复的支出项目和规定标准执行，打好支出审核关；加强资产管理，建全资产台账，做到账账相符、账物相符；民主理财，实行财务公开，确保资金使用规范和效益。</w:t>
      </w:r>
    </w:p>
    <w:p w14:paraId="3033772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九、其他需要说明的情况</w:t>
      </w:r>
    </w:p>
    <w:p w14:paraId="46A8A6D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val="en-US" w:eastAsia="zh-CN" w:bidi="ar-SA"/>
        </w:rPr>
        <w:t>无</w:t>
      </w:r>
    </w:p>
    <w:p w14:paraId="63D3D98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jc w:val="left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44547B97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jc w:val="left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报告应包括以下附件：</w:t>
      </w:r>
    </w:p>
    <w:p w14:paraId="2025401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jc w:val="left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部门整体支出绩效评价基础数据表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 w14:paraId="6DB3662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jc w:val="left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部门整体支出绩效自评表</w:t>
      </w:r>
    </w:p>
    <w:p w14:paraId="7C5EE6F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13E391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47CB7E5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E510BC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7FF589F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9F39F8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017E931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30B5B4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BD7658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4A301CD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AC7E81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76144A3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4108AB4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1F1712A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14C33B9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附件1-1 </w:t>
      </w:r>
    </w:p>
    <w:p w14:paraId="4E5E6BC4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部门整体支出绩效评价基础数据表</w:t>
      </w:r>
    </w:p>
    <w:p w14:paraId="239FE6FF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default" w:eastAsia="仿宋_GB2312"/>
          <w:kern w:val="0"/>
          <w:sz w:val="24"/>
          <w:lang w:val="en-US" w:eastAsia="zh-CN"/>
        </w:rPr>
      </w:pPr>
      <w:r>
        <w:rPr>
          <w:rFonts w:hint="eastAsia" w:eastAsia="仿宋_GB2312"/>
          <w:kern w:val="0"/>
          <w:sz w:val="24"/>
          <w:lang w:val="en-US" w:eastAsia="zh-CN"/>
        </w:rPr>
        <w:t xml:space="preserve">填报单位：怀化市武陵中学                                        </w:t>
      </w:r>
    </w:p>
    <w:tbl>
      <w:tblPr>
        <w:tblStyle w:val="8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863"/>
      </w:tblGrid>
      <w:tr w14:paraId="3813A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7AE6276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财政供养人员情况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D0E43E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2755CD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0E2A1B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72E45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36D26A0F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53E1349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228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0E9A6E59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4656F327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94%</w:t>
            </w:r>
          </w:p>
        </w:tc>
      </w:tr>
      <w:tr w14:paraId="2951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5DF9D4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经费控制情况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377D18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E3B44B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A35113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77322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3B94A5DF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72D1963">
            <w:pPr>
              <w:widowControl/>
              <w:jc w:val="center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76EAD7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33A22BF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867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5A618B65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D2D1DC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73FC87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ED634B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7E9DE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5F4F3224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2602DBB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DC3C05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A30D52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FF7B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1D1309B6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2A2A70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247AB0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9DD973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33D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F63D6B9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2、出国经费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A34FC6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22F6CA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1C3124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0E69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78728A7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3、公务接待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0095449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9706A0F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7EADFB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9B37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2EC58ED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A7AFD79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596.97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2B93C40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1075.33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40F3EFC1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273.53</w:t>
            </w:r>
          </w:p>
        </w:tc>
      </w:tr>
      <w:tr w14:paraId="197C9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19DF2C30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88D806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 w14:paraId="23D4389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3690A6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CA4E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40BCE526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225555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C85DBF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9BD53C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4FE55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54" w:type="dxa"/>
            <w:noWrap w:val="0"/>
            <w:vAlign w:val="center"/>
          </w:tcPr>
          <w:p w14:paraId="6A0492A5"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专项资金</w:t>
            </w:r>
          </w:p>
          <w:p w14:paraId="56296818">
            <w:pPr>
              <w:widowControl/>
              <w:ind w:firstLine="1000" w:firstLineChars="50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校方责任险</w:t>
            </w:r>
          </w:p>
          <w:p w14:paraId="34BDD9CE">
            <w:pPr>
              <w:widowControl/>
              <w:ind w:firstLine="1000" w:firstLineChars="500"/>
              <w:jc w:val="left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保安经费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8AE7F8C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26.6</w:t>
            </w:r>
          </w:p>
          <w:p w14:paraId="45439D1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4.8</w:t>
            </w:r>
          </w:p>
          <w:p w14:paraId="01047DC2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21.8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F7D91F3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30.45</w:t>
            </w:r>
          </w:p>
          <w:p w14:paraId="1DB2465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  <w:p w14:paraId="0E86A544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25.35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42A4314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30.45</w:t>
            </w:r>
          </w:p>
          <w:p w14:paraId="38C54B5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5.1</w:t>
            </w:r>
          </w:p>
          <w:p w14:paraId="32D687C4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25.35</w:t>
            </w:r>
          </w:p>
        </w:tc>
      </w:tr>
      <w:tr w14:paraId="1A0B8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779D7092"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4、其他事业类发展资金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86B98A4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570.37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76FC3F20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1044.88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9F0CDD4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243.08</w:t>
            </w:r>
          </w:p>
        </w:tc>
      </w:tr>
      <w:tr w14:paraId="4BBC8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5A08CBA5">
            <w:pPr>
              <w:widowControl/>
              <w:jc w:val="left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270BB3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352.43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46FF52C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148.02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3302BC8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305.4</w:t>
            </w:r>
          </w:p>
        </w:tc>
      </w:tr>
      <w:tr w14:paraId="10D6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13C8382D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其中：办公费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690615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77.76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3EF63F8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3D678214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70.6</w:t>
            </w:r>
          </w:p>
        </w:tc>
      </w:tr>
      <w:tr w14:paraId="630E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E4B7F97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334B30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44.72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183742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717A31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6B341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54" w:type="dxa"/>
            <w:noWrap w:val="0"/>
            <w:vAlign w:val="center"/>
          </w:tcPr>
          <w:p w14:paraId="3A1A0F95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1E15A22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23.78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19B799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269E80EC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4.44</w:t>
            </w:r>
          </w:p>
        </w:tc>
      </w:tr>
      <w:tr w14:paraId="404CB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68D6149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0F6B996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912B76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2" w:type="dxa"/>
            <w:gridSpan w:val="2"/>
            <w:noWrap w:val="0"/>
            <w:vAlign w:val="center"/>
          </w:tcPr>
          <w:p w14:paraId="5777E894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</w:tr>
      <w:tr w14:paraId="57D8D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98B9358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5DA861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A05EEF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3899.24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1683953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3899.24</w:t>
            </w:r>
          </w:p>
        </w:tc>
      </w:tr>
      <w:tr w14:paraId="4C86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6070EC2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  <w:tc>
          <w:tcPr>
            <w:tcW w:w="1189" w:type="dxa"/>
            <w:noWrap w:val="0"/>
            <w:vAlign w:val="center"/>
          </w:tcPr>
          <w:p w14:paraId="2CC3856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（㎡）</w:t>
            </w:r>
          </w:p>
        </w:tc>
        <w:tc>
          <w:tcPr>
            <w:tcW w:w="849" w:type="dxa"/>
            <w:noWrap w:val="0"/>
            <w:vAlign w:val="center"/>
          </w:tcPr>
          <w:p w14:paraId="102B76B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实际规模（㎡）</w:t>
            </w:r>
          </w:p>
        </w:tc>
        <w:tc>
          <w:tcPr>
            <w:tcW w:w="1129" w:type="dxa"/>
            <w:noWrap w:val="0"/>
            <w:vAlign w:val="center"/>
          </w:tcPr>
          <w:p w14:paraId="0245DB9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11" w:type="dxa"/>
            <w:noWrap w:val="0"/>
            <w:vAlign w:val="center"/>
          </w:tcPr>
          <w:p w14:paraId="1B97EAA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预算投资（万元）</w:t>
            </w:r>
          </w:p>
        </w:tc>
        <w:tc>
          <w:tcPr>
            <w:tcW w:w="969" w:type="dxa"/>
            <w:noWrap w:val="0"/>
            <w:vAlign w:val="center"/>
          </w:tcPr>
          <w:p w14:paraId="7FFF3BA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实际投资（万元）</w:t>
            </w:r>
          </w:p>
        </w:tc>
        <w:tc>
          <w:tcPr>
            <w:tcW w:w="863" w:type="dxa"/>
            <w:noWrap w:val="0"/>
            <w:vAlign w:val="center"/>
          </w:tcPr>
          <w:p w14:paraId="5A49E77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投资概算控制率</w:t>
            </w:r>
          </w:p>
        </w:tc>
      </w:tr>
      <w:tr w14:paraId="5E58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7149F376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noWrap w:val="0"/>
            <w:vAlign w:val="center"/>
          </w:tcPr>
          <w:p w14:paraId="38D6274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49" w:type="dxa"/>
            <w:noWrap w:val="0"/>
            <w:vAlign w:val="center"/>
          </w:tcPr>
          <w:p w14:paraId="4FC9D06D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29" w:type="dxa"/>
            <w:noWrap w:val="0"/>
            <w:vAlign w:val="center"/>
          </w:tcPr>
          <w:p w14:paraId="3FAB9B9D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11" w:type="dxa"/>
            <w:noWrap w:val="0"/>
            <w:vAlign w:val="center"/>
          </w:tcPr>
          <w:p w14:paraId="474C4134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969" w:type="dxa"/>
            <w:noWrap w:val="0"/>
            <w:vAlign w:val="center"/>
          </w:tcPr>
          <w:p w14:paraId="46290ED3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863" w:type="dxa"/>
            <w:noWrap w:val="0"/>
            <w:vAlign w:val="center"/>
          </w:tcPr>
          <w:p w14:paraId="28E26A00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4ADE8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354" w:type="dxa"/>
            <w:noWrap w:val="0"/>
            <w:vAlign w:val="center"/>
          </w:tcPr>
          <w:p w14:paraId="45096F5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6110" w:type="dxa"/>
            <w:gridSpan w:val="6"/>
            <w:noWrap w:val="0"/>
            <w:vAlign w:val="center"/>
          </w:tcPr>
          <w:p w14:paraId="1014BD5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</w:tbl>
    <w:p w14:paraId="332F1168">
      <w:pPr>
        <w:pStyle w:val="10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lang w:val="en-US" w:eastAsia="zh-CN"/>
        </w:rPr>
      </w:pPr>
      <w:r>
        <w:rPr>
          <w:rFonts w:eastAsia="仿宋_GB2312"/>
          <w:kern w:val="0"/>
          <w:sz w:val="22"/>
        </w:rPr>
        <w:t>说明：“项目支出”需要填报基本支出以外的所有项目支出情况，“公用经费”填报基本支出中的一般商品和服务支出。</w:t>
      </w:r>
    </w:p>
    <w:p w14:paraId="07D95A71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龙樟灵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2024年6月22日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z w:val="22"/>
          <w:lang w:val="en-US" w:eastAsia="zh-CN"/>
        </w:rPr>
        <w:t>0745-2184350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</w:t>
      </w:r>
    </w:p>
    <w:p w14:paraId="0373AE1D">
      <w:pP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br w:type="page"/>
      </w:r>
    </w:p>
    <w:p w14:paraId="5F0666EA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</w:p>
    <w:p w14:paraId="6CE9936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附件1-2</w:t>
      </w:r>
    </w:p>
    <w:p w14:paraId="0A17A2BC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整体支出绩效自评表</w:t>
      </w:r>
    </w:p>
    <w:tbl>
      <w:tblPr>
        <w:tblStyle w:val="8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151"/>
        <w:gridCol w:w="1096"/>
        <w:gridCol w:w="994"/>
        <w:gridCol w:w="91"/>
        <w:gridCol w:w="1187"/>
        <w:gridCol w:w="1124"/>
        <w:gridCol w:w="700"/>
        <w:gridCol w:w="616"/>
        <w:gridCol w:w="1159"/>
      </w:tblGrid>
      <w:tr w14:paraId="74DF3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144" w:type="dxa"/>
            <w:noWrap w:val="0"/>
            <w:vAlign w:val="center"/>
          </w:tcPr>
          <w:p w14:paraId="4D051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8118" w:type="dxa"/>
            <w:gridSpan w:val="9"/>
            <w:noWrap w:val="0"/>
            <w:vAlign w:val="center"/>
          </w:tcPr>
          <w:p w14:paraId="2EE30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怀化市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武陵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中学　</w:t>
            </w:r>
          </w:p>
        </w:tc>
      </w:tr>
      <w:tr w14:paraId="54F46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44" w:type="dxa"/>
            <w:vMerge w:val="restart"/>
            <w:noWrap w:val="0"/>
            <w:vAlign w:val="center"/>
          </w:tcPr>
          <w:p w14:paraId="06B26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年度预</w:t>
            </w:r>
          </w:p>
          <w:p w14:paraId="4CDFF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算申请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247" w:type="dxa"/>
            <w:gridSpan w:val="2"/>
            <w:noWrap w:val="0"/>
            <w:vAlign w:val="center"/>
          </w:tcPr>
          <w:p w14:paraId="37451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</w:p>
        </w:tc>
        <w:tc>
          <w:tcPr>
            <w:tcW w:w="994" w:type="dxa"/>
            <w:noWrap w:val="0"/>
            <w:vAlign w:val="center"/>
          </w:tcPr>
          <w:p w14:paraId="42685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年初</w:t>
            </w:r>
          </w:p>
          <w:p w14:paraId="22EA2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预算数</w:t>
            </w:r>
          </w:p>
        </w:tc>
        <w:tc>
          <w:tcPr>
            <w:tcW w:w="1278" w:type="dxa"/>
            <w:gridSpan w:val="2"/>
            <w:noWrap w:val="0"/>
            <w:vAlign w:val="center"/>
          </w:tcPr>
          <w:p w14:paraId="3134A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全年预算数</w:t>
            </w:r>
          </w:p>
        </w:tc>
        <w:tc>
          <w:tcPr>
            <w:tcW w:w="1124" w:type="dxa"/>
            <w:noWrap w:val="0"/>
            <w:vAlign w:val="center"/>
          </w:tcPr>
          <w:p w14:paraId="5B04B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7DEF1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700" w:type="dxa"/>
            <w:noWrap w:val="0"/>
            <w:vAlign w:val="center"/>
          </w:tcPr>
          <w:p w14:paraId="73B16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616" w:type="dxa"/>
            <w:noWrap w:val="0"/>
            <w:vAlign w:val="center"/>
          </w:tcPr>
          <w:p w14:paraId="6A6F8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159" w:type="dxa"/>
            <w:noWrap w:val="0"/>
            <w:vAlign w:val="center"/>
          </w:tcPr>
          <w:p w14:paraId="3BB19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113D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77D49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47" w:type="dxa"/>
            <w:gridSpan w:val="2"/>
            <w:noWrap w:val="0"/>
            <w:vAlign w:val="center"/>
          </w:tcPr>
          <w:p w14:paraId="25C74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994" w:type="dxa"/>
            <w:noWrap w:val="0"/>
            <w:vAlign w:val="center"/>
          </w:tcPr>
          <w:p w14:paraId="41763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4534.45</w:t>
            </w:r>
          </w:p>
        </w:tc>
        <w:tc>
          <w:tcPr>
            <w:tcW w:w="1278" w:type="dxa"/>
            <w:gridSpan w:val="2"/>
            <w:noWrap w:val="0"/>
            <w:vAlign w:val="center"/>
          </w:tcPr>
          <w:p w14:paraId="1CE50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4501.08</w:t>
            </w:r>
          </w:p>
        </w:tc>
        <w:tc>
          <w:tcPr>
            <w:tcW w:w="1124" w:type="dxa"/>
            <w:noWrap w:val="0"/>
            <w:vAlign w:val="center"/>
          </w:tcPr>
          <w:p w14:paraId="36E11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4501.08</w:t>
            </w:r>
          </w:p>
        </w:tc>
        <w:tc>
          <w:tcPr>
            <w:tcW w:w="700" w:type="dxa"/>
            <w:noWrap w:val="0"/>
            <w:vAlign w:val="center"/>
          </w:tcPr>
          <w:p w14:paraId="53395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582EC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59" w:type="dxa"/>
            <w:noWrap w:val="0"/>
            <w:vAlign w:val="center"/>
          </w:tcPr>
          <w:p w14:paraId="2C0AE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10</w:t>
            </w:r>
          </w:p>
        </w:tc>
      </w:tr>
      <w:tr w14:paraId="612A5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4D06B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9" w:type="dxa"/>
            <w:gridSpan w:val="5"/>
            <w:noWrap w:val="0"/>
            <w:vAlign w:val="center"/>
          </w:tcPr>
          <w:p w14:paraId="065CB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按收入性质分：</w:t>
            </w:r>
          </w:p>
        </w:tc>
        <w:tc>
          <w:tcPr>
            <w:tcW w:w="3599" w:type="dxa"/>
            <w:gridSpan w:val="4"/>
            <w:noWrap w:val="0"/>
            <w:vAlign w:val="center"/>
          </w:tcPr>
          <w:p w14:paraId="4DDE3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按支出性质分：</w:t>
            </w:r>
          </w:p>
        </w:tc>
      </w:tr>
      <w:tr w14:paraId="75030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7194C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9" w:type="dxa"/>
            <w:gridSpan w:val="5"/>
            <w:noWrap w:val="0"/>
            <w:vAlign w:val="center"/>
          </w:tcPr>
          <w:p w14:paraId="47E0C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 xml:space="preserve">  其中：  一般公共预算：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3899.24</w:t>
            </w:r>
          </w:p>
        </w:tc>
        <w:tc>
          <w:tcPr>
            <w:tcW w:w="3599" w:type="dxa"/>
            <w:gridSpan w:val="4"/>
            <w:noWrap w:val="0"/>
            <w:vAlign w:val="center"/>
          </w:tcPr>
          <w:p w14:paraId="23F2E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其中：基本支出：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4227.55</w:t>
            </w:r>
          </w:p>
        </w:tc>
      </w:tr>
      <w:tr w14:paraId="68763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63A72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9" w:type="dxa"/>
            <w:gridSpan w:val="5"/>
            <w:noWrap w:val="0"/>
            <w:vAlign w:val="center"/>
          </w:tcPr>
          <w:p w14:paraId="00D8E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政府性基金拨款：</w:t>
            </w:r>
          </w:p>
        </w:tc>
        <w:tc>
          <w:tcPr>
            <w:tcW w:w="3599" w:type="dxa"/>
            <w:gridSpan w:val="4"/>
            <w:noWrap w:val="0"/>
            <w:vAlign w:val="center"/>
          </w:tcPr>
          <w:p w14:paraId="28A16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项目支出：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273.53</w:t>
            </w:r>
          </w:p>
        </w:tc>
      </w:tr>
      <w:tr w14:paraId="32ED3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1317C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9" w:type="dxa"/>
            <w:gridSpan w:val="5"/>
            <w:noWrap w:val="0"/>
            <w:vAlign w:val="center"/>
          </w:tcPr>
          <w:p w14:paraId="441E3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纳入专户管理的非税收入拨款：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601.84</w:t>
            </w:r>
          </w:p>
        </w:tc>
        <w:tc>
          <w:tcPr>
            <w:tcW w:w="3599" w:type="dxa"/>
            <w:gridSpan w:val="4"/>
            <w:noWrap w:val="0"/>
            <w:vAlign w:val="center"/>
          </w:tcPr>
          <w:p w14:paraId="7ABBC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6C7E8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27747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9" w:type="dxa"/>
            <w:gridSpan w:val="5"/>
            <w:noWrap w:val="0"/>
            <w:vAlign w:val="center"/>
          </w:tcPr>
          <w:p w14:paraId="5EA7A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其他资金：</w:t>
            </w:r>
          </w:p>
        </w:tc>
        <w:tc>
          <w:tcPr>
            <w:tcW w:w="3599" w:type="dxa"/>
            <w:gridSpan w:val="4"/>
            <w:noWrap w:val="0"/>
            <w:vAlign w:val="center"/>
          </w:tcPr>
          <w:p w14:paraId="006C2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</w:tr>
      <w:tr w14:paraId="2B477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restart"/>
            <w:noWrap w:val="0"/>
            <w:vAlign w:val="center"/>
          </w:tcPr>
          <w:p w14:paraId="743E9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9" w:type="dxa"/>
            <w:gridSpan w:val="5"/>
            <w:noWrap w:val="0"/>
            <w:vAlign w:val="center"/>
          </w:tcPr>
          <w:p w14:paraId="3493F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3599" w:type="dxa"/>
            <w:gridSpan w:val="4"/>
            <w:noWrap w:val="0"/>
            <w:vAlign w:val="center"/>
          </w:tcPr>
          <w:p w14:paraId="69666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4B2D4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21850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9" w:type="dxa"/>
            <w:gridSpan w:val="5"/>
            <w:noWrap w:val="0"/>
            <w:vAlign w:val="center"/>
          </w:tcPr>
          <w:p w14:paraId="69530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坚持现代办学理念，注重科学管理，不断深化内部改革，形成以人为本的管理特色。一手抓常规、一手抓教改的教学特色。学生自主管理，注重特长发展的德育特色。致力推行素质教育。</w:t>
            </w:r>
          </w:p>
        </w:tc>
        <w:tc>
          <w:tcPr>
            <w:tcW w:w="3599" w:type="dxa"/>
            <w:gridSpan w:val="4"/>
            <w:noWrap w:val="0"/>
            <w:vAlign w:val="center"/>
          </w:tcPr>
          <w:p w14:paraId="49281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坚持现代办学理念，注重科学管理，不断深化内部改革，形成以人为本的管理特色。一手抓常规、一手抓教改的教学特色。学生自主管理，注重特长发展的德育特色。致力推行素质教育。</w:t>
            </w:r>
          </w:p>
        </w:tc>
      </w:tr>
      <w:tr w14:paraId="40F27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44" w:type="dxa"/>
            <w:vMerge w:val="restart"/>
            <w:noWrap w:val="0"/>
            <w:vAlign w:val="center"/>
          </w:tcPr>
          <w:p w14:paraId="37985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217B4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0DCCA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4E02A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151" w:type="dxa"/>
            <w:noWrap w:val="0"/>
            <w:vAlign w:val="center"/>
          </w:tcPr>
          <w:p w14:paraId="27054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96" w:type="dxa"/>
            <w:noWrap w:val="0"/>
            <w:vAlign w:val="center"/>
          </w:tcPr>
          <w:p w14:paraId="092D3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0DE2B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187" w:type="dxa"/>
            <w:noWrap w:val="0"/>
            <w:vAlign w:val="center"/>
          </w:tcPr>
          <w:p w14:paraId="04798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69037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24" w:type="dxa"/>
            <w:noWrap w:val="0"/>
            <w:vAlign w:val="center"/>
          </w:tcPr>
          <w:p w14:paraId="5F423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49E76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700" w:type="dxa"/>
            <w:noWrap w:val="0"/>
            <w:vAlign w:val="center"/>
          </w:tcPr>
          <w:p w14:paraId="3D12C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616" w:type="dxa"/>
            <w:noWrap w:val="0"/>
            <w:vAlign w:val="center"/>
          </w:tcPr>
          <w:p w14:paraId="3F167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159" w:type="dxa"/>
            <w:noWrap w:val="0"/>
            <w:vAlign w:val="top"/>
          </w:tcPr>
          <w:p w14:paraId="1A6EC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6AAD1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218B1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52075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3B2A6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 w:val="restart"/>
            <w:noWrap w:val="0"/>
            <w:vAlign w:val="center"/>
          </w:tcPr>
          <w:p w14:paraId="69792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55A5B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50分)</w:t>
            </w:r>
          </w:p>
        </w:tc>
        <w:tc>
          <w:tcPr>
            <w:tcW w:w="1096" w:type="dxa"/>
            <w:noWrap w:val="0"/>
            <w:vAlign w:val="center"/>
          </w:tcPr>
          <w:p w14:paraId="66E60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</w:t>
            </w:r>
          </w:p>
          <w:p w14:paraId="2A712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3A88A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重点工作完成数</w:t>
            </w:r>
          </w:p>
        </w:tc>
        <w:tc>
          <w:tcPr>
            <w:tcW w:w="1187" w:type="dxa"/>
            <w:noWrap w:val="0"/>
            <w:vAlign w:val="center"/>
          </w:tcPr>
          <w:p w14:paraId="69344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5次</w:t>
            </w:r>
          </w:p>
        </w:tc>
        <w:tc>
          <w:tcPr>
            <w:tcW w:w="1124" w:type="dxa"/>
            <w:noWrap w:val="0"/>
            <w:vAlign w:val="center"/>
          </w:tcPr>
          <w:p w14:paraId="1B33B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5BEF1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189B9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59" w:type="dxa"/>
            <w:noWrap w:val="0"/>
            <w:vAlign w:val="center"/>
          </w:tcPr>
          <w:p w14:paraId="2F182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700B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10686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 w:val="continue"/>
            <w:noWrap w:val="0"/>
            <w:vAlign w:val="center"/>
          </w:tcPr>
          <w:p w14:paraId="50C59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4B99F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</w:t>
            </w:r>
          </w:p>
          <w:p w14:paraId="6E00E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436F0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达标完成率</w:t>
            </w:r>
          </w:p>
        </w:tc>
        <w:tc>
          <w:tcPr>
            <w:tcW w:w="1187" w:type="dxa"/>
            <w:noWrap w:val="0"/>
            <w:vAlign w:val="center"/>
          </w:tcPr>
          <w:p w14:paraId="571FB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24" w:type="dxa"/>
            <w:noWrap w:val="0"/>
            <w:vAlign w:val="center"/>
          </w:tcPr>
          <w:p w14:paraId="286E9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80%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0" w:type="dxa"/>
            <w:noWrap w:val="0"/>
            <w:vAlign w:val="center"/>
          </w:tcPr>
          <w:p w14:paraId="06F56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2447B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3168D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7F4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5F90D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 w:val="continue"/>
            <w:noWrap w:val="0"/>
            <w:vAlign w:val="center"/>
          </w:tcPr>
          <w:p w14:paraId="199FC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46857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</w:t>
            </w:r>
          </w:p>
          <w:p w14:paraId="40660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23517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及时完成情况</w:t>
            </w:r>
          </w:p>
        </w:tc>
        <w:tc>
          <w:tcPr>
            <w:tcW w:w="1187" w:type="dxa"/>
            <w:noWrap w:val="0"/>
            <w:vAlign w:val="center"/>
          </w:tcPr>
          <w:p w14:paraId="22E73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按规定时间内完成工作</w:t>
            </w:r>
          </w:p>
        </w:tc>
        <w:tc>
          <w:tcPr>
            <w:tcW w:w="1124" w:type="dxa"/>
            <w:noWrap w:val="0"/>
            <w:vAlign w:val="center"/>
          </w:tcPr>
          <w:p w14:paraId="12504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基本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按规定时间内完成工作</w:t>
            </w:r>
          </w:p>
        </w:tc>
        <w:tc>
          <w:tcPr>
            <w:tcW w:w="700" w:type="dxa"/>
            <w:noWrap w:val="0"/>
            <w:vAlign w:val="center"/>
          </w:tcPr>
          <w:p w14:paraId="0CD45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460A1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0200B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D897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39DAE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 w:val="continue"/>
            <w:noWrap w:val="0"/>
            <w:vAlign w:val="center"/>
          </w:tcPr>
          <w:p w14:paraId="37F87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4E545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</w:t>
            </w:r>
          </w:p>
          <w:p w14:paraId="49AC2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3FFA6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成本控制</w:t>
            </w:r>
          </w:p>
        </w:tc>
        <w:tc>
          <w:tcPr>
            <w:tcW w:w="1187" w:type="dxa"/>
            <w:noWrap w:val="0"/>
            <w:vAlign w:val="center"/>
          </w:tcPr>
          <w:p w14:paraId="0BE1B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4534.45万元</w:t>
            </w:r>
          </w:p>
        </w:tc>
        <w:tc>
          <w:tcPr>
            <w:tcW w:w="1124" w:type="dxa"/>
            <w:noWrap w:val="0"/>
            <w:vAlign w:val="center"/>
          </w:tcPr>
          <w:p w14:paraId="70284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4501.08万元</w:t>
            </w:r>
          </w:p>
        </w:tc>
        <w:tc>
          <w:tcPr>
            <w:tcW w:w="700" w:type="dxa"/>
            <w:noWrap w:val="0"/>
            <w:vAlign w:val="center"/>
          </w:tcPr>
          <w:p w14:paraId="1FBAD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 w:firstLineChars="10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noWrap w:val="0"/>
            <w:vAlign w:val="center"/>
          </w:tcPr>
          <w:p w14:paraId="76C18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159" w:type="dxa"/>
            <w:noWrap w:val="0"/>
            <w:vAlign w:val="center"/>
          </w:tcPr>
          <w:p w14:paraId="2D005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720D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6BE32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 w:val="restart"/>
            <w:noWrap w:val="0"/>
            <w:vAlign w:val="center"/>
          </w:tcPr>
          <w:p w14:paraId="0C00B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16398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1096" w:type="dxa"/>
            <w:noWrap w:val="0"/>
            <w:vAlign w:val="center"/>
          </w:tcPr>
          <w:p w14:paraId="77BF2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577C5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58916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带动学校周边经济发展</w:t>
            </w:r>
          </w:p>
        </w:tc>
        <w:tc>
          <w:tcPr>
            <w:tcW w:w="1187" w:type="dxa"/>
            <w:noWrap w:val="0"/>
            <w:vAlign w:val="center"/>
          </w:tcPr>
          <w:p w14:paraId="12BCD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效果良好</w:t>
            </w:r>
          </w:p>
        </w:tc>
        <w:tc>
          <w:tcPr>
            <w:tcW w:w="1124" w:type="dxa"/>
            <w:noWrap w:val="0"/>
            <w:vAlign w:val="center"/>
          </w:tcPr>
          <w:p w14:paraId="63776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效果良好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142FD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shd w:val="clear" w:color="auto" w:fill="auto"/>
            <w:noWrap w:val="0"/>
            <w:vAlign w:val="center"/>
          </w:tcPr>
          <w:p w14:paraId="30FC3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34E5F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E1DA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198A6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 w:val="continue"/>
            <w:noWrap w:val="0"/>
            <w:vAlign w:val="center"/>
          </w:tcPr>
          <w:p w14:paraId="1ABB8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4A813E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1B051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72B88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单位工作职能给社会增加的正面影响</w:t>
            </w:r>
          </w:p>
        </w:tc>
        <w:tc>
          <w:tcPr>
            <w:tcW w:w="1187" w:type="dxa"/>
            <w:noWrap w:val="0"/>
            <w:vAlign w:val="center"/>
          </w:tcPr>
          <w:p w14:paraId="6F4BC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效果良好</w:t>
            </w:r>
          </w:p>
        </w:tc>
        <w:tc>
          <w:tcPr>
            <w:tcW w:w="1124" w:type="dxa"/>
            <w:noWrap w:val="0"/>
            <w:vAlign w:val="center"/>
          </w:tcPr>
          <w:p w14:paraId="6B37F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效果良好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1708A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shd w:val="clear" w:color="auto" w:fill="auto"/>
            <w:noWrap w:val="0"/>
            <w:vAlign w:val="center"/>
          </w:tcPr>
          <w:p w14:paraId="69979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7D6E9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E89A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754B5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 w:val="continue"/>
            <w:noWrap w:val="0"/>
            <w:vAlign w:val="center"/>
          </w:tcPr>
          <w:p w14:paraId="6E6FF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55914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23295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6A47E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生态效益情况</w:t>
            </w:r>
          </w:p>
        </w:tc>
        <w:tc>
          <w:tcPr>
            <w:tcW w:w="1187" w:type="dxa"/>
            <w:noWrap w:val="0"/>
            <w:vAlign w:val="center"/>
          </w:tcPr>
          <w:p w14:paraId="7C145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效果良好</w:t>
            </w:r>
          </w:p>
        </w:tc>
        <w:tc>
          <w:tcPr>
            <w:tcW w:w="1124" w:type="dxa"/>
            <w:noWrap w:val="0"/>
            <w:vAlign w:val="center"/>
          </w:tcPr>
          <w:p w14:paraId="24B83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效果良好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4F36F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shd w:val="clear" w:color="auto" w:fill="auto"/>
            <w:noWrap w:val="0"/>
            <w:vAlign w:val="center"/>
          </w:tcPr>
          <w:p w14:paraId="6F71E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159" w:type="dxa"/>
            <w:noWrap w:val="0"/>
            <w:vAlign w:val="center"/>
          </w:tcPr>
          <w:p w14:paraId="282D7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DFDD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20D7F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vMerge w:val="continue"/>
            <w:noWrap w:val="0"/>
            <w:vAlign w:val="center"/>
          </w:tcPr>
          <w:p w14:paraId="06F6B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noWrap w:val="0"/>
            <w:vAlign w:val="center"/>
          </w:tcPr>
          <w:p w14:paraId="6DF68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58F2A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可持续影响情况</w:t>
            </w:r>
          </w:p>
        </w:tc>
        <w:tc>
          <w:tcPr>
            <w:tcW w:w="1187" w:type="dxa"/>
            <w:noWrap w:val="0"/>
            <w:vAlign w:val="center"/>
          </w:tcPr>
          <w:p w14:paraId="7F7B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效果良好</w:t>
            </w:r>
          </w:p>
        </w:tc>
        <w:tc>
          <w:tcPr>
            <w:tcW w:w="1124" w:type="dxa"/>
            <w:noWrap w:val="0"/>
            <w:vAlign w:val="center"/>
          </w:tcPr>
          <w:p w14:paraId="1EEFC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效果良好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473AB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shd w:val="clear" w:color="auto" w:fill="auto"/>
            <w:noWrap w:val="0"/>
            <w:vAlign w:val="center"/>
          </w:tcPr>
          <w:p w14:paraId="6B68D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765EC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7F72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4" w:type="dxa"/>
            <w:vMerge w:val="continue"/>
            <w:noWrap w:val="0"/>
            <w:vAlign w:val="center"/>
          </w:tcPr>
          <w:p w14:paraId="5F1C6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104E9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77417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07232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096" w:type="dxa"/>
            <w:noWrap w:val="0"/>
            <w:vAlign w:val="center"/>
          </w:tcPr>
          <w:p w14:paraId="3F5F8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50236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社会公众满意度</w:t>
            </w:r>
          </w:p>
        </w:tc>
        <w:tc>
          <w:tcPr>
            <w:tcW w:w="1187" w:type="dxa"/>
            <w:noWrap w:val="0"/>
            <w:vAlign w:val="center"/>
          </w:tcPr>
          <w:p w14:paraId="3B0F2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124" w:type="dxa"/>
            <w:noWrap w:val="0"/>
            <w:vAlign w:val="center"/>
          </w:tcPr>
          <w:p w14:paraId="293AD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4DB48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616" w:type="dxa"/>
            <w:shd w:val="clear" w:color="auto" w:fill="auto"/>
            <w:noWrap w:val="0"/>
            <w:vAlign w:val="center"/>
          </w:tcPr>
          <w:p w14:paraId="2EDF3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159" w:type="dxa"/>
            <w:noWrap w:val="0"/>
            <w:vAlign w:val="center"/>
          </w:tcPr>
          <w:p w14:paraId="1DAB1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08B5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87" w:type="dxa"/>
            <w:gridSpan w:val="7"/>
            <w:noWrap w:val="0"/>
            <w:vAlign w:val="center"/>
          </w:tcPr>
          <w:p w14:paraId="68ACE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700" w:type="dxa"/>
            <w:noWrap w:val="0"/>
            <w:vAlign w:val="center"/>
          </w:tcPr>
          <w:p w14:paraId="6329B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616" w:type="dxa"/>
            <w:noWrap w:val="0"/>
            <w:vAlign w:val="center"/>
          </w:tcPr>
          <w:p w14:paraId="0222D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85</w:t>
            </w:r>
          </w:p>
        </w:tc>
        <w:tc>
          <w:tcPr>
            <w:tcW w:w="1159" w:type="dxa"/>
            <w:noWrap w:val="0"/>
            <w:vAlign w:val="center"/>
          </w:tcPr>
          <w:p w14:paraId="572BC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5C69BA11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龙樟灵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2024年6月22日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z w:val="22"/>
          <w:lang w:val="en-US" w:eastAsia="zh-CN"/>
        </w:rPr>
        <w:t>0745-2184350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 </w:t>
      </w:r>
    </w:p>
    <w:p w14:paraId="12F76DB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4C35A5E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附件2</w:t>
      </w:r>
    </w:p>
    <w:p w14:paraId="1A60C46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项目支出绩效自评报告</w:t>
      </w:r>
    </w:p>
    <w:p w14:paraId="4826CE8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一、项目基本情况</w:t>
      </w:r>
    </w:p>
    <w:p w14:paraId="371D901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（一）项目概况</w:t>
      </w:r>
    </w:p>
    <w:p w14:paraId="54E6800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1.项目决策背景</w:t>
      </w:r>
    </w:p>
    <w:p w14:paraId="291B3359">
      <w:pPr>
        <w:pStyle w:val="14"/>
        <w:spacing w:line="360" w:lineRule="auto"/>
        <w:ind w:firstLine="640" w:firstLineChars="200"/>
        <w:rPr>
          <w:rFonts w:hint="eastAsia" w:ascii="仿宋" w:eastAsia="仿宋"/>
          <w:sz w:val="32"/>
          <w:szCs w:val="32"/>
        </w:rPr>
      </w:pPr>
      <w:r>
        <w:rPr>
          <w:rFonts w:hint="eastAsia" w:ascii="仿宋" w:eastAsia="仿宋"/>
          <w:sz w:val="32"/>
          <w:szCs w:val="32"/>
        </w:rPr>
        <w:t>根据市教育局的工作安排，怀化市人才学校铁北校区已于2020年7月迁出。为了应对怀铁一小、钟秀学校小学毕业生逐年快速递增的局面，从2020年开始，我校在每个年级18个班的基础上，逐年扩大办学规模，扩招4～6个初一新生班级，未来三年将累计增加12～18教学班。为了更好的利用学校现有资源，挖掘办学潜力，改善我校办学条件，</w:t>
      </w:r>
      <w:r>
        <w:rPr>
          <w:rFonts w:hint="eastAsia" w:ascii="仿宋" w:eastAsia="仿宋"/>
          <w:sz w:val="32"/>
          <w:szCs w:val="32"/>
          <w:lang w:val="en-US" w:eastAsia="zh-CN"/>
        </w:rPr>
        <w:t>特实施</w:t>
      </w:r>
      <w:r>
        <w:rPr>
          <w:rFonts w:hint="eastAsia" w:ascii="仿宋" w:eastAsia="仿宋"/>
          <w:sz w:val="32"/>
          <w:szCs w:val="32"/>
        </w:rPr>
        <w:t>校方责任险、校园保安经费</w:t>
      </w:r>
      <w:r>
        <w:rPr>
          <w:rFonts w:hint="eastAsia" w:ascii="仿宋" w:eastAsia="仿宋"/>
          <w:sz w:val="32"/>
          <w:szCs w:val="32"/>
          <w:lang w:eastAsia="zh-CN"/>
        </w:rPr>
        <w:t>、</w:t>
      </w:r>
      <w:r>
        <w:rPr>
          <w:rFonts w:hint="eastAsia" w:ascii="仿宋" w:eastAsia="仿宋"/>
          <w:sz w:val="32"/>
          <w:szCs w:val="32"/>
        </w:rPr>
        <w:t>课后服务费</w:t>
      </w:r>
      <w:r>
        <w:rPr>
          <w:rFonts w:hint="eastAsia" w:ascii="仿宋" w:eastAsia="仿宋"/>
          <w:sz w:val="32"/>
          <w:szCs w:val="32"/>
          <w:lang w:eastAsia="zh-CN"/>
        </w:rPr>
        <w:t>、</w:t>
      </w:r>
      <w:r>
        <w:rPr>
          <w:rFonts w:hint="eastAsia" w:ascii="仿宋" w:eastAsia="仿宋"/>
          <w:sz w:val="32"/>
          <w:szCs w:val="32"/>
          <w:lang w:val="en-US" w:eastAsia="zh-CN"/>
        </w:rPr>
        <w:t>教师培训</w:t>
      </w:r>
      <w:r>
        <w:rPr>
          <w:rFonts w:hint="eastAsia" w:ascii="仿宋" w:eastAsia="仿宋"/>
          <w:sz w:val="32"/>
          <w:szCs w:val="32"/>
        </w:rPr>
        <w:t>等业务工作经费</w:t>
      </w:r>
      <w:r>
        <w:rPr>
          <w:rFonts w:hint="eastAsia" w:ascii="仿宋" w:eastAsia="仿宋"/>
          <w:sz w:val="32"/>
          <w:szCs w:val="32"/>
          <w:lang w:val="en-US" w:eastAsia="zh-CN"/>
        </w:rPr>
        <w:t>项目</w:t>
      </w:r>
      <w:r>
        <w:rPr>
          <w:rFonts w:hint="eastAsia" w:ascii="仿宋" w:eastAsia="仿宋"/>
          <w:sz w:val="32"/>
          <w:szCs w:val="32"/>
        </w:rPr>
        <w:t>，校园维修改造及设备采购</w:t>
      </w:r>
      <w:r>
        <w:rPr>
          <w:rFonts w:hint="eastAsia" w:ascii="仿宋" w:eastAsia="仿宋"/>
          <w:sz w:val="32"/>
          <w:szCs w:val="32"/>
          <w:lang w:val="en-US" w:eastAsia="zh-CN"/>
        </w:rPr>
        <w:t>项目</w:t>
      </w:r>
      <w:r>
        <w:rPr>
          <w:rFonts w:hint="eastAsia" w:ascii="仿宋" w:eastAsia="仿宋"/>
          <w:sz w:val="32"/>
          <w:szCs w:val="32"/>
        </w:rPr>
        <w:t>。</w:t>
      </w:r>
    </w:p>
    <w:p w14:paraId="60D1BE5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2.项目主要内容</w:t>
      </w:r>
    </w:p>
    <w:p w14:paraId="7D882515">
      <w:pPr>
        <w:pStyle w:val="14"/>
        <w:spacing w:line="360" w:lineRule="auto"/>
        <w:ind w:firstLine="640" w:firstLineChars="200"/>
        <w:rPr>
          <w:rFonts w:hint="eastAsia" w:ascii="仿宋" w:eastAsia="仿宋"/>
          <w:sz w:val="32"/>
          <w:szCs w:val="32"/>
          <w:lang w:val="en-US" w:eastAsia="zh-CN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>专项</w:t>
      </w:r>
      <w:r>
        <w:rPr>
          <w:rFonts w:hint="eastAsia" w:ascii="仿宋" w:eastAsia="仿宋"/>
          <w:sz w:val="32"/>
          <w:szCs w:val="32"/>
        </w:rPr>
        <w:t>业务工作经费</w:t>
      </w:r>
      <w:r>
        <w:rPr>
          <w:rFonts w:hint="eastAsia" w:ascii="仿宋" w:eastAsia="仿宋"/>
          <w:sz w:val="32"/>
          <w:szCs w:val="32"/>
          <w:lang w:val="en-US" w:eastAsia="zh-CN"/>
        </w:rPr>
        <w:t>项目主要用于</w:t>
      </w:r>
      <w:r>
        <w:rPr>
          <w:rFonts w:hint="eastAsia" w:ascii="仿宋" w:eastAsia="仿宋"/>
          <w:sz w:val="32"/>
          <w:szCs w:val="32"/>
        </w:rPr>
        <w:t>校方责任险、校园保安</w:t>
      </w:r>
      <w:r>
        <w:rPr>
          <w:rFonts w:hint="eastAsia" w:ascii="仿宋" w:eastAsia="仿宋"/>
          <w:sz w:val="32"/>
          <w:szCs w:val="32"/>
          <w:lang w:eastAsia="zh-CN"/>
        </w:rPr>
        <w:t>、</w:t>
      </w:r>
      <w:r>
        <w:rPr>
          <w:rFonts w:hint="eastAsia" w:ascii="仿宋" w:eastAsia="仿宋"/>
          <w:sz w:val="32"/>
          <w:szCs w:val="32"/>
        </w:rPr>
        <w:t>课后服务</w:t>
      </w:r>
      <w:r>
        <w:rPr>
          <w:rFonts w:hint="eastAsia" w:ascii="仿宋" w:eastAsia="仿宋"/>
          <w:sz w:val="32"/>
          <w:szCs w:val="32"/>
          <w:lang w:eastAsia="zh-CN"/>
        </w:rPr>
        <w:t>、</w:t>
      </w:r>
      <w:r>
        <w:rPr>
          <w:rFonts w:hint="eastAsia" w:ascii="仿宋" w:eastAsia="仿宋"/>
          <w:sz w:val="32"/>
          <w:szCs w:val="32"/>
          <w:lang w:val="en-US" w:eastAsia="zh-CN"/>
        </w:rPr>
        <w:t>教师培训等业务工作。</w:t>
      </w:r>
    </w:p>
    <w:p w14:paraId="703B3D25">
      <w:pPr>
        <w:ind w:firstLine="640" w:firstLineChars="200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eastAsia="仿宋"/>
          <w:sz w:val="32"/>
          <w:szCs w:val="32"/>
        </w:rPr>
        <w:t>校园维修改造及设备采购</w:t>
      </w:r>
      <w:r>
        <w:rPr>
          <w:rFonts w:hint="eastAsia" w:ascii="仿宋" w:eastAsia="仿宋"/>
          <w:sz w:val="32"/>
          <w:szCs w:val="32"/>
          <w:lang w:val="en-US" w:eastAsia="zh-CN"/>
        </w:rPr>
        <w:t>项目主要用于校园维修及教学设备采购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。</w:t>
      </w:r>
    </w:p>
    <w:p w14:paraId="282A6714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项目组织管理机构</w:t>
      </w:r>
    </w:p>
    <w:p w14:paraId="6ED3C24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rightChars="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各项目支出的组织管理机构为校总务室。</w:t>
      </w:r>
    </w:p>
    <w:p w14:paraId="43813F4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default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（二）预算资金使用管理情况</w:t>
      </w:r>
    </w:p>
    <w:p w14:paraId="51311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outlineLvl w:val="1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Toc10810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1.预算资金安排及管理情况</w:t>
      </w:r>
      <w:bookmarkEnd w:id="0"/>
    </w:p>
    <w:p w14:paraId="2B75DFB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（1）资金来源及拨付流程</w:t>
      </w:r>
    </w:p>
    <w:p w14:paraId="18C7FAC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项目支出的经费来源为财政拨款，拨付流程为业务部门组织项目实施完工，经单位审批程序，向财政请款，再予以支付。</w:t>
      </w:r>
    </w:p>
    <w:p w14:paraId="7492C08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（2）资金到位情况</w:t>
      </w:r>
    </w:p>
    <w:p w14:paraId="2AD1FE10">
      <w:pPr>
        <w:pStyle w:val="12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2023年专项资金到位数为273.53万元，其中校方责任险、校园保安经费、课后服务费、教师培训等业务工作经费129.72万元，校园维修改造及设备采购147.39万元。</w:t>
      </w:r>
    </w:p>
    <w:p w14:paraId="0CB5EDD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）资金使用情况</w:t>
      </w:r>
    </w:p>
    <w:p w14:paraId="69CF2CEB">
      <w:pPr>
        <w:pStyle w:val="12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2022年专项资金执行数为273.53万元，其中校方责任险、校园保安经费、课后服务费、教师培训等业务工作经费129.72万元，校园维修改造及设备采购147.39万元。</w:t>
      </w:r>
    </w:p>
    <w:p w14:paraId="2A692BF1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资金管理制度及执行情况</w:t>
      </w:r>
    </w:p>
    <w:p w14:paraId="0843EED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ascii="仿宋" w:hAnsi="仿宋" w:eastAsia="仿宋"/>
          <w:spacing w:val="-2"/>
          <w:sz w:val="32"/>
          <w:szCs w:val="32"/>
        </w:rPr>
        <w:t>我校财务管理制度健全，执行制度严格合规，会计核算符合相关规定，资金专款专用，资金支付依据和开支标准合法合规，严格执行政府采购。我校严格按照财务管理的相关要求，建立了《政府采购预算》及《政府采购管理办法》等专项资金管理办法，专项资金使用、审批、稽核符合内部管理规范。</w:t>
      </w:r>
    </w:p>
    <w:p w14:paraId="6592854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.项目组织实施管理情况</w:t>
      </w:r>
    </w:p>
    <w:p w14:paraId="796B1252">
      <w:pPr>
        <w:widowControl/>
        <w:shd w:val="clear" w:color="auto" w:fill="FFFFFF"/>
        <w:spacing w:line="600" w:lineRule="atLeast"/>
        <w:ind w:firstLine="640"/>
        <w:rPr>
          <w:rFonts w:hint="default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我单位课后服务费等业务工作经费为专项业务工作经费，主要用于全面完成课后服务等工作目标运转支出，不存在招投标等情况。</w:t>
      </w:r>
    </w:p>
    <w:p w14:paraId="1EF556B0">
      <w:pPr>
        <w:pStyle w:val="12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校园维修改造及设备采购项目</w:t>
      </w:r>
      <w:r>
        <w:rPr>
          <w:rFonts w:hint="eastAsia" w:ascii="仿宋" w:hAnsi="仿宋" w:eastAsia="仿宋" w:cs="Times New Roman"/>
          <w:color w:val="auto"/>
          <w:spacing w:val="-2"/>
          <w:kern w:val="2"/>
          <w:sz w:val="32"/>
          <w:szCs w:val="32"/>
          <w:lang w:val="en-US" w:eastAsia="zh-CN" w:bidi="ar-SA"/>
        </w:rPr>
        <w:t>都成立了以分管后勤工作的副校长为组长的项目实施小组，对项目进行招投标、调整、验收等相关工作。</w:t>
      </w:r>
    </w:p>
    <w:p w14:paraId="6DA5C1D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（三）预算绩效目标情况</w:t>
      </w:r>
    </w:p>
    <w:p w14:paraId="0FCE816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1.绩效目标</w:t>
      </w:r>
    </w:p>
    <w:p w14:paraId="4FD3563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>项目绩效总目标为改善办学条件、</w:t>
      </w:r>
      <w:r>
        <w:rPr>
          <w:rFonts w:hint="eastAsia" w:ascii="仿宋" w:eastAsia="仿宋" w:cs="Times New Roman"/>
          <w:sz w:val="32"/>
          <w:szCs w:val="32"/>
          <w:lang w:val="en-US" w:eastAsia="zh-CN"/>
        </w:rPr>
        <w:t>保障校方责任险和校园保安落实、做好课后服务及教师培训。阶段性目标为完成</w:t>
      </w:r>
      <w:r>
        <w:rPr>
          <w:rFonts w:hint="eastAsia" w:ascii="仿宋" w:eastAsia="仿宋"/>
          <w:sz w:val="32"/>
          <w:szCs w:val="32"/>
          <w:lang w:val="en-US" w:eastAsia="zh-CN"/>
        </w:rPr>
        <w:t>校园维修及只能测评云服务采购</w:t>
      </w:r>
      <w:r>
        <w:rPr>
          <w:rFonts w:hint="eastAsia" w:ascii="仿宋" w:eastAsia="仿宋" w:cs="Times New Roman"/>
          <w:sz w:val="32"/>
          <w:szCs w:val="32"/>
          <w:lang w:val="en-US" w:eastAsia="zh-CN"/>
        </w:rPr>
        <w:t>，完成校方责任险、校园保安、课后服务、做好课后服务及教师培训等相关业务工作。</w:t>
      </w:r>
    </w:p>
    <w:p w14:paraId="4BC64F3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2.绩效指标</w:t>
      </w:r>
    </w:p>
    <w:p w14:paraId="2AC26DFB">
      <w:pPr>
        <w:pStyle w:val="14"/>
        <w:spacing w:line="360" w:lineRule="auto"/>
        <w:ind w:firstLine="640" w:firstLineChars="200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eastAsia="仿宋"/>
          <w:sz w:val="32"/>
          <w:szCs w:val="32"/>
          <w:lang w:val="en-US" w:eastAsia="zh-CN"/>
        </w:rPr>
        <w:t>预期主要的生态效益资源消耗有所降低，社会效益学校口碑不断提高，经济效益财产安全有效保障。</w:t>
      </w:r>
    </w:p>
    <w:p w14:paraId="23BCC3F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 w:left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二、绩效评价工作情况</w:t>
      </w:r>
    </w:p>
    <w:p w14:paraId="60339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（一）绩效评价目的</w:t>
      </w:r>
    </w:p>
    <w:p w14:paraId="1F1BC2D9">
      <w:pPr>
        <w:pStyle w:val="12"/>
        <w:numPr>
          <w:ilvl w:val="0"/>
          <w:numId w:val="0"/>
        </w:numPr>
        <w:ind w:firstLine="6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通过绩效评价，能总结项目实施过程中存在的问题，提高资金使用效益。</w:t>
      </w:r>
    </w:p>
    <w:p w14:paraId="19B175A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" w:name="_Toc11844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被评价单位、绩效评价范围与时段</w:t>
      </w:r>
      <w:bookmarkEnd w:id="1"/>
    </w:p>
    <w:p w14:paraId="16C6E18A">
      <w:pPr>
        <w:pStyle w:val="12"/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本次绩效评价单位为怀化市武陵中学，评价范围为2023年使用项目资金。</w:t>
      </w:r>
    </w:p>
    <w:p w14:paraId="15ABB8EC">
      <w:pPr>
        <w:numPr>
          <w:ilvl w:val="0"/>
          <w:numId w:val="3"/>
        </w:numPr>
        <w:spacing w:line="600" w:lineRule="exact"/>
        <w:ind w:left="0" w:leftChars="0" w:firstLine="643" w:firstLineChars="200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2" w:name="_Toc31835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绩效评价原则、评价指标体系、评价方法</w:t>
      </w:r>
      <w:bookmarkEnd w:id="2"/>
    </w:p>
    <w:p w14:paraId="315BD9F2">
      <w:pPr>
        <w:pStyle w:val="12"/>
        <w:numPr>
          <w:ilvl w:val="0"/>
          <w:numId w:val="0"/>
        </w:numPr>
        <w:ind w:leftChars="200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/>
          <w:lang w:val="en-US" w:eastAsia="zh-CN"/>
        </w:rPr>
        <w:t xml:space="preserve">   绩效评价的原则、指标体系、评价方法根据财政统一指导意见进行。</w:t>
      </w:r>
    </w:p>
    <w:p w14:paraId="073CD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3" w:name="_Toc7615"/>
      <w:bookmarkStart w:id="4" w:name="_Toc32076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三、主要绩效及评价结论</w:t>
      </w:r>
      <w:bookmarkEnd w:id="3"/>
      <w:bookmarkEnd w:id="4"/>
    </w:p>
    <w:p w14:paraId="62C80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（一）社会效益</w:t>
      </w:r>
    </w:p>
    <w:p w14:paraId="2E908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20" w:firstLineChars="200"/>
        <w:textAlignment w:val="auto"/>
        <w:rPr>
          <w:rFonts w:hint="default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通过项目实施教学质量有所提升，维修成本有所减少。</w:t>
      </w:r>
    </w:p>
    <w:p w14:paraId="79E22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（二）生态效益</w:t>
      </w:r>
    </w:p>
    <w:p w14:paraId="12078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20" w:firstLineChars="200"/>
        <w:textAlignment w:val="auto"/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通过项目实施优质教育均衡有效提升，改善办学条件效果明显。</w:t>
      </w:r>
    </w:p>
    <w:p w14:paraId="787AA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（三）可持续影响</w:t>
      </w:r>
    </w:p>
    <w:p w14:paraId="00F80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20" w:firstLineChars="200"/>
        <w:textAlignment w:val="auto"/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通过项目实施有效促进当地教育事业发展，资产使用期限更持久。</w:t>
      </w:r>
    </w:p>
    <w:p w14:paraId="13104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（四）满意度情况</w:t>
      </w:r>
    </w:p>
    <w:p w14:paraId="10D0F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20" w:firstLineChars="200"/>
        <w:textAlignment w:val="auto"/>
        <w:rPr>
          <w:rFonts w:hint="default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社会群众对项目实施满意度90%以上。</w:t>
      </w:r>
    </w:p>
    <w:p w14:paraId="38815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default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（五）评价结论</w:t>
      </w:r>
    </w:p>
    <w:p w14:paraId="0271B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5" w:name="_Toc16332"/>
      <w:bookmarkStart w:id="6" w:name="_Toc27541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四、绩效评价指标分析</w:t>
      </w:r>
      <w:bookmarkEnd w:id="5"/>
      <w:bookmarkEnd w:id="6"/>
    </w:p>
    <w:p w14:paraId="38F35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7" w:name="_Toc17679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(一)项目决策情况</w:t>
      </w:r>
      <w:bookmarkEnd w:id="7"/>
    </w:p>
    <w:p w14:paraId="77F596F4">
      <w:pPr>
        <w:pStyle w:val="12"/>
        <w:rPr>
          <w:rFonts w:hint="eastAsia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我单位严格按照相应的业务管理制度、国家财经法规和财务管理以及有关专项资金管理办法的规定，完成制定的项目绩效目标。</w:t>
      </w:r>
    </w:p>
    <w:p w14:paraId="2D6A3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8" w:name="_Toc28411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(二)项目过程情况</w:t>
      </w:r>
      <w:bookmarkEnd w:id="8"/>
    </w:p>
    <w:p w14:paraId="53B17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9" w:name="_Toc10140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1.资金管理</w:t>
      </w:r>
      <w:bookmarkEnd w:id="9"/>
    </w:p>
    <w:p w14:paraId="76AE8FF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/>
          <w:lang w:val="en-US" w:eastAsia="zh-CN"/>
        </w:rPr>
      </w:pPr>
      <w:r>
        <w:rPr>
          <w:rFonts w:ascii="仿宋" w:hAnsi="仿宋" w:eastAsia="仿宋"/>
          <w:spacing w:val="-2"/>
          <w:sz w:val="32"/>
          <w:szCs w:val="32"/>
        </w:rPr>
        <w:t>我校财务管理制度健全，执行制度严格合规，会计核算符合相关规定，资金专款专用，资金支付依据和开支标准合法合规，严格执行政府采购。我校严格按照财务管理的相关要求，建立了《政府采购预算》及《政府采购管理办法》等专项资金管理办法，专项资金使用、审批、稽核符合内部管理规范。</w:t>
      </w:r>
    </w:p>
    <w:p w14:paraId="2A15AC8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0" w:name="_Toc1210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项目实施</w:t>
      </w:r>
      <w:bookmarkEnd w:id="10"/>
    </w:p>
    <w:p w14:paraId="0C81B807">
      <w:pPr>
        <w:widowControl/>
        <w:shd w:val="clear" w:color="auto" w:fill="FFFFFF"/>
        <w:spacing w:line="600" w:lineRule="atLeast"/>
        <w:ind w:firstLine="640"/>
        <w:rPr>
          <w:rFonts w:hint="default" w:ascii="仿宋" w:hAnsi="仿宋" w:eastAsia="仿宋"/>
          <w:spacing w:val="-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我单位课后服务费等业务工作经费为专项业务工作经费，主要用于全面完成课后服务等工作目标运转支出，不存在招投标等情况。</w:t>
      </w:r>
    </w:p>
    <w:p w14:paraId="38971F03">
      <w:pPr>
        <w:pStyle w:val="12"/>
        <w:rPr>
          <w:rFonts w:hint="eastAsia" w:ascii="仿宋" w:eastAsia="仿宋"/>
          <w:sz w:val="32"/>
          <w:szCs w:val="32"/>
        </w:rPr>
      </w:pPr>
      <w:r>
        <w:rPr>
          <w:rFonts w:hint="eastAsia" w:ascii="仿宋" w:hAnsi="仿宋" w:eastAsia="仿宋"/>
          <w:spacing w:val="-2"/>
          <w:sz w:val="32"/>
          <w:szCs w:val="32"/>
          <w:lang w:val="en-US" w:eastAsia="zh-CN"/>
        </w:rPr>
        <w:t>校园维修改造及设备采购项目</w:t>
      </w:r>
      <w:r>
        <w:rPr>
          <w:rFonts w:hint="eastAsia" w:ascii="仿宋" w:hAnsi="仿宋" w:eastAsia="仿宋" w:cs="Times New Roman"/>
          <w:color w:val="auto"/>
          <w:spacing w:val="-2"/>
          <w:kern w:val="2"/>
          <w:sz w:val="32"/>
          <w:szCs w:val="32"/>
          <w:lang w:val="en-US" w:eastAsia="zh-CN" w:bidi="ar-SA"/>
        </w:rPr>
        <w:t>都成立了以分管后勤工作的副校长为组长的项目实施小组，对项目进行招投标、调整、验收等相关工作。</w:t>
      </w:r>
    </w:p>
    <w:p w14:paraId="18E6DC9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1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1" w:name="_Toc6604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(三)项目产出情况</w:t>
      </w:r>
      <w:bookmarkEnd w:id="11"/>
    </w:p>
    <w:p w14:paraId="24E556F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2" w:name="_Toc20742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1.产出数量</w:t>
      </w:r>
      <w:bookmarkEnd w:id="12"/>
    </w:p>
    <w:p w14:paraId="0C7BA0D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default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专项业务费支出数量指标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为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校方责任险参保率100%，校园维修改造及设备支出数量指标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为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工作任务覆盖率100%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。</w:t>
      </w:r>
    </w:p>
    <w:p w14:paraId="3F0718D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3" w:name="_Toc5372"/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2.产出质量</w:t>
      </w:r>
      <w:bookmarkEnd w:id="13"/>
    </w:p>
    <w:p w14:paraId="7A24A9D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</w:pPr>
      <w:bookmarkStart w:id="14" w:name="_Toc25948"/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专项业务费支出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质量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指标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为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保安在岗时长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24小时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，校园维修改造及设备支出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质量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指标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为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质量达标率100%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。</w:t>
      </w:r>
    </w:p>
    <w:p w14:paraId="0170CCB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3.产出成本</w:t>
      </w:r>
      <w:bookmarkEnd w:id="14"/>
    </w:p>
    <w:p w14:paraId="689FF39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</w:pPr>
      <w:bookmarkStart w:id="15" w:name="_Toc21477"/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专项业务费支出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成本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指标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为预算支出129.72万元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，校园维修改造及设备支出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成本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指标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为预算支出147.39万元。</w:t>
      </w:r>
    </w:p>
    <w:p w14:paraId="6765ED7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4.产出时效</w:t>
      </w:r>
      <w:bookmarkEnd w:id="15"/>
    </w:p>
    <w:p w14:paraId="2B86118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2"/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</w:pPr>
      <w:bookmarkStart w:id="16" w:name="_Toc12690"/>
      <w:bookmarkStart w:id="17" w:name="_Toc3072"/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及时完成率专项业务费支出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时效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指标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为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及时完成率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100%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，校园维修改造及设备支出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时效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指标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为</w:t>
      </w:r>
      <w:r>
        <w:rPr>
          <w:rFonts w:hint="eastAsia" w:asciiTheme="minorHAnsi" w:hAnsiTheme="minorHAnsi" w:eastAsiaTheme="minorEastAsia" w:cstheme="minorBidi"/>
          <w:color w:val="000000"/>
          <w:kern w:val="2"/>
          <w:sz w:val="31"/>
          <w:szCs w:val="31"/>
          <w:lang w:val="en-US" w:eastAsia="zh-CN" w:bidi="ar-SA"/>
        </w:rPr>
        <w:t>及时完成率</w:t>
      </w:r>
      <w:r>
        <w:rPr>
          <w:rFonts w:hint="eastAsia" w:cstheme="minorBidi"/>
          <w:color w:val="000000"/>
          <w:kern w:val="2"/>
          <w:sz w:val="31"/>
          <w:szCs w:val="31"/>
          <w:lang w:val="en-US" w:eastAsia="zh-CN" w:bidi="ar-SA"/>
        </w:rPr>
        <w:t>100%。</w:t>
      </w:r>
    </w:p>
    <w:p w14:paraId="295EF6A8">
      <w:pPr>
        <w:pStyle w:val="7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520" w:lineRule="exact"/>
        <w:ind w:left="0"/>
        <w:textAlignment w:val="auto"/>
        <w:outlineLvl w:val="1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项目效益情况</w:t>
      </w:r>
      <w:bookmarkEnd w:id="16"/>
      <w:bookmarkEnd w:id="17"/>
    </w:p>
    <w:p w14:paraId="721EB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18" w:name="_Toc390096931"/>
      <w:bookmarkStart w:id="19" w:name="_Toc390267055"/>
      <w:bookmarkStart w:id="20" w:name="_Toc24241"/>
      <w:bookmarkStart w:id="21" w:name="_Toc12414"/>
      <w:r>
        <w:rPr>
          <w:rFonts w:hint="eastAsia" w:eastAsia="仿宋_GB2312"/>
          <w:sz w:val="32"/>
          <w:szCs w:val="32"/>
          <w:lang w:val="en-US" w:eastAsia="zh-CN"/>
        </w:rPr>
        <w:t>专项资金</w:t>
      </w:r>
      <w:r>
        <w:rPr>
          <w:rFonts w:hint="eastAsia" w:eastAsia="仿宋_GB2312"/>
          <w:sz w:val="32"/>
          <w:szCs w:val="32"/>
        </w:rPr>
        <w:t>的主要绩效为</w:t>
      </w:r>
      <w:r>
        <w:rPr>
          <w:rFonts w:hint="eastAsia" w:ascii="仿宋" w:eastAsia="仿宋" w:cs="Times New Roman"/>
          <w:sz w:val="32"/>
          <w:szCs w:val="32"/>
          <w:lang w:val="en-US" w:eastAsia="zh-CN"/>
        </w:rPr>
        <w:t>完成校园维修改造和设备采购，完成校方责任险、校园保安、课后服务、教师培训等相关业务工作。</w:t>
      </w:r>
    </w:p>
    <w:p w14:paraId="4C38D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五、项目主要经验、存在的问题</w:t>
      </w:r>
      <w:bookmarkEnd w:id="18"/>
      <w:bookmarkEnd w:id="19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及建议</w:t>
      </w:r>
      <w:bookmarkEnd w:id="20"/>
      <w:bookmarkEnd w:id="21"/>
    </w:p>
    <w:p w14:paraId="7C90D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outlineLvl w:val="1"/>
        <w:rPr>
          <w:rFonts w:hint="default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22" w:name="_Toc23434"/>
      <w:bookmarkStart w:id="23" w:name="_Toc5316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（一）项目主要经验</w:t>
      </w:r>
      <w:bookmarkEnd w:id="22"/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及做法</w:t>
      </w:r>
      <w:bookmarkEnd w:id="23"/>
    </w:p>
    <w:p w14:paraId="4D0165B3"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bookmarkStart w:id="24" w:name="_Toc2597"/>
      <w:bookmarkStart w:id="25" w:name="_Toc6772"/>
      <w:r>
        <w:rPr>
          <w:rFonts w:hint="eastAsia" w:eastAsia="仿宋_GB2312"/>
          <w:sz w:val="32"/>
          <w:szCs w:val="32"/>
        </w:rPr>
        <w:t>1、在资金</w:t>
      </w:r>
      <w:r>
        <w:rPr>
          <w:rFonts w:hint="eastAsia" w:eastAsia="仿宋_GB2312"/>
          <w:sz w:val="32"/>
          <w:szCs w:val="32"/>
          <w:lang w:val="en-US" w:eastAsia="zh-CN"/>
        </w:rPr>
        <w:t>使用</w:t>
      </w:r>
      <w:r>
        <w:rPr>
          <w:rFonts w:hint="eastAsia" w:eastAsia="仿宋_GB2312"/>
          <w:sz w:val="32"/>
          <w:szCs w:val="32"/>
        </w:rPr>
        <w:t>方面，严格按照专项资金管理办法执行。</w:t>
      </w:r>
    </w:p>
    <w:p w14:paraId="4A34F809">
      <w:pPr>
        <w:spacing w:line="600" w:lineRule="exact"/>
        <w:ind w:firstLine="640" w:firstLineChars="200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eastAsia="仿宋_GB2312"/>
          <w:sz w:val="32"/>
          <w:szCs w:val="32"/>
        </w:rPr>
        <w:t>2、在预算执行方面，严格按照年初的绩效目标执行，资金使用达到了预期效益。</w:t>
      </w:r>
    </w:p>
    <w:p w14:paraId="1623F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outlineLvl w:val="1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（二）存在的问题</w:t>
      </w:r>
      <w:bookmarkEnd w:id="24"/>
      <w:bookmarkEnd w:id="25"/>
    </w:p>
    <w:p w14:paraId="27E92258">
      <w:pPr>
        <w:spacing w:line="600" w:lineRule="exact"/>
        <w:ind w:firstLine="640" w:firstLineChars="200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26" w:name="_Toc29278"/>
      <w:bookmarkStart w:id="27" w:name="_Toc16271"/>
      <w:r>
        <w:rPr>
          <w:rFonts w:hint="eastAsia" w:eastAsia="仿宋_GB2312"/>
          <w:sz w:val="32"/>
          <w:szCs w:val="32"/>
        </w:rPr>
        <w:t>预算编制需要更加科学、及时。</w:t>
      </w:r>
    </w:p>
    <w:p w14:paraId="51CB9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outlineLvl w:val="1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（三）有关建议</w:t>
      </w:r>
      <w:bookmarkEnd w:id="26"/>
      <w:bookmarkEnd w:id="27"/>
    </w:p>
    <w:p w14:paraId="12CAA742">
      <w:pPr>
        <w:pStyle w:val="14"/>
        <w:spacing w:line="360" w:lineRule="auto"/>
        <w:ind w:firstLine="632" w:firstLineChars="200"/>
        <w:rPr>
          <w:rFonts w:hint="default"/>
        </w:rPr>
      </w:pPr>
      <w:r>
        <w:rPr>
          <w:rFonts w:hint="eastAsia" w:ascii="仿宋" w:hAnsi="仿宋" w:eastAsia="仿宋"/>
          <w:spacing w:val="-2"/>
          <w:sz w:val="32"/>
          <w:szCs w:val="32"/>
        </w:rPr>
        <w:t>进一步加强各科室的预算管理意识，对特殊项目事前提出预算要求，严格按照预算编制的相关制度和要求进行预算编制，尽量做到该纳入预算的，全部纳入预算。</w:t>
      </w:r>
    </w:p>
    <w:p w14:paraId="0029A02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052E13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报告应包括以下附件：</w:t>
      </w:r>
    </w:p>
    <w:p w14:paraId="322E137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仿宋_GB2312" w:eastAsia="仿宋_GB2312" w:cs="仿宋_GB2312" w:hAnsiTheme="minorHAnsi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项目支出绩效自评表（一个项目支出一张表）</w:t>
      </w:r>
    </w:p>
    <w:p w14:paraId="26670F3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1142221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7260312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4EB0AF6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487D4C7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3C2662D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bookmarkStart w:id="28" w:name="_GoBack"/>
      <w:bookmarkEnd w:id="28"/>
    </w:p>
    <w:p w14:paraId="1DBF2C7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附件2-1</w:t>
      </w:r>
    </w:p>
    <w:p w14:paraId="0EECE926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8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14:paraId="4FE5E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 w14:paraId="6A509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 w14:paraId="6FD4F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2C200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课后服务费等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专项业务费</w:t>
            </w:r>
          </w:p>
        </w:tc>
      </w:tr>
      <w:tr w14:paraId="28B8D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 w14:paraId="1CC52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1CEFA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　怀化市教育局　</w:t>
            </w:r>
          </w:p>
        </w:tc>
        <w:tc>
          <w:tcPr>
            <w:tcW w:w="1134" w:type="dxa"/>
            <w:noWrap w:val="0"/>
            <w:vAlign w:val="center"/>
          </w:tcPr>
          <w:p w14:paraId="0F955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 w14:paraId="01E54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　怀化市武陵中学</w:t>
            </w:r>
          </w:p>
        </w:tc>
      </w:tr>
      <w:tr w14:paraId="67355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040A1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 w14:paraId="7EFA7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 w14:paraId="15DF4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 w14:paraId="7B893C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04EF1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 w14:paraId="76298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 w14:paraId="615C0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09A27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 w14:paraId="4F0AB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366E9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3ECAC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78C8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5A84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05773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 w14:paraId="4F80B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30.45</w:t>
            </w:r>
          </w:p>
        </w:tc>
        <w:tc>
          <w:tcPr>
            <w:tcW w:w="1209" w:type="dxa"/>
            <w:noWrap w:val="0"/>
            <w:vAlign w:val="center"/>
          </w:tcPr>
          <w:p w14:paraId="1D9A1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129.72</w:t>
            </w:r>
          </w:p>
        </w:tc>
        <w:tc>
          <w:tcPr>
            <w:tcW w:w="1134" w:type="dxa"/>
            <w:noWrap w:val="0"/>
            <w:vAlign w:val="center"/>
          </w:tcPr>
          <w:p w14:paraId="6A98B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129.72</w:t>
            </w:r>
          </w:p>
        </w:tc>
        <w:tc>
          <w:tcPr>
            <w:tcW w:w="828" w:type="dxa"/>
            <w:noWrap w:val="0"/>
            <w:vAlign w:val="center"/>
          </w:tcPr>
          <w:p w14:paraId="32B4D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873" w:type="dxa"/>
            <w:noWrap w:val="0"/>
            <w:vAlign w:val="center"/>
          </w:tcPr>
          <w:p w14:paraId="01E65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49687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4533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2E0F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02534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 w14:paraId="78914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69239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45051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496E5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7CD23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5DAD4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4AC7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AA0B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03BFB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 w14:paraId="186D6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21BF0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C159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5AF0F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505F1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D55A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0805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B541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01A1F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 w14:paraId="51A61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0E9F1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1D012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614AF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6379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702F1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B25E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7469F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2DFE2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3DC44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1A9E2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99CB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70AA7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保障校方责任险和校园保安落实，做好课后服务及教师培训。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1D260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完成校方责任险、校园保安、课后服务、教师培训等相关业务工作</w:t>
            </w:r>
          </w:p>
        </w:tc>
      </w:tr>
      <w:tr w14:paraId="44AB2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3E23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2D9AB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35301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2CBB3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3495E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 w14:paraId="70BDC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 w14:paraId="25ED0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2A62C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1288B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 w14:paraId="73C2E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42999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 w14:paraId="579E2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23B1D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1F32B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1B141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08CDA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57A33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2A39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31288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1077B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50分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080" w:type="dxa"/>
            <w:noWrap w:val="0"/>
            <w:vAlign w:val="center"/>
          </w:tcPr>
          <w:p w14:paraId="14097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 w14:paraId="1617C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校方责任险参保率</w:t>
            </w:r>
          </w:p>
        </w:tc>
        <w:tc>
          <w:tcPr>
            <w:tcW w:w="1209" w:type="dxa"/>
            <w:noWrap w:val="0"/>
            <w:vAlign w:val="center"/>
          </w:tcPr>
          <w:p w14:paraId="37DDC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 w14:paraId="30D81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 w14:paraId="43A9F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781C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4FF93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BA00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9FD6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AAA1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AE12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 w14:paraId="0BD44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保安在岗时长</w:t>
            </w:r>
          </w:p>
        </w:tc>
        <w:tc>
          <w:tcPr>
            <w:tcW w:w="1209" w:type="dxa"/>
            <w:noWrap w:val="0"/>
            <w:vAlign w:val="center"/>
          </w:tcPr>
          <w:p w14:paraId="17708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24小时</w:t>
            </w:r>
          </w:p>
        </w:tc>
        <w:tc>
          <w:tcPr>
            <w:tcW w:w="1134" w:type="dxa"/>
            <w:noWrap w:val="0"/>
            <w:vAlign w:val="center"/>
          </w:tcPr>
          <w:p w14:paraId="2414F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24小时</w:t>
            </w:r>
          </w:p>
        </w:tc>
        <w:tc>
          <w:tcPr>
            <w:tcW w:w="828" w:type="dxa"/>
            <w:noWrap w:val="0"/>
            <w:vAlign w:val="center"/>
          </w:tcPr>
          <w:p w14:paraId="73E57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noWrap w:val="0"/>
            <w:vAlign w:val="center"/>
          </w:tcPr>
          <w:p w14:paraId="4E46D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 w14:paraId="53A0A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196F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FC04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9B38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697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 w14:paraId="1F468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及时完成率</w:t>
            </w:r>
          </w:p>
        </w:tc>
        <w:tc>
          <w:tcPr>
            <w:tcW w:w="1209" w:type="dxa"/>
            <w:noWrap w:val="0"/>
            <w:vAlign w:val="center"/>
          </w:tcPr>
          <w:p w14:paraId="0F756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 w14:paraId="0A053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 w14:paraId="3D3E5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noWrap w:val="0"/>
            <w:vAlign w:val="center"/>
          </w:tcPr>
          <w:p w14:paraId="7C681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418" w:type="dxa"/>
            <w:noWrap w:val="0"/>
            <w:vAlign w:val="center"/>
          </w:tcPr>
          <w:p w14:paraId="17FAA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98F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B441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8657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637C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 w14:paraId="4756B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预算支出</w:t>
            </w:r>
          </w:p>
        </w:tc>
        <w:tc>
          <w:tcPr>
            <w:tcW w:w="1209" w:type="dxa"/>
            <w:noWrap w:val="0"/>
            <w:vAlign w:val="center"/>
          </w:tcPr>
          <w:p w14:paraId="38604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129.72万元</w:t>
            </w:r>
          </w:p>
        </w:tc>
        <w:tc>
          <w:tcPr>
            <w:tcW w:w="1134" w:type="dxa"/>
            <w:noWrap w:val="0"/>
            <w:vAlign w:val="center"/>
          </w:tcPr>
          <w:p w14:paraId="65E7C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129.72万元</w:t>
            </w:r>
          </w:p>
        </w:tc>
        <w:tc>
          <w:tcPr>
            <w:tcW w:w="828" w:type="dxa"/>
            <w:noWrap w:val="0"/>
            <w:vAlign w:val="center"/>
          </w:tcPr>
          <w:p w14:paraId="3F620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547A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07889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9BD2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293E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4EED6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3F203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noWrap w:val="0"/>
            <w:vAlign w:val="center"/>
          </w:tcPr>
          <w:p w14:paraId="03494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10BB6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4961F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学校财产安全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3B68C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有效保障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2E2CA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有效保障</w:t>
            </w:r>
          </w:p>
        </w:tc>
        <w:tc>
          <w:tcPr>
            <w:tcW w:w="828" w:type="dxa"/>
            <w:noWrap w:val="0"/>
            <w:vAlign w:val="center"/>
          </w:tcPr>
          <w:p w14:paraId="32DA6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F1E6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199AE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BB4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59DB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1395E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6D71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65849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3A595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教学质量</w:t>
            </w:r>
          </w:p>
        </w:tc>
        <w:tc>
          <w:tcPr>
            <w:tcW w:w="1209" w:type="dxa"/>
            <w:noWrap w:val="0"/>
            <w:vAlign w:val="center"/>
          </w:tcPr>
          <w:p w14:paraId="2FAA3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有所提升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773B8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有所提升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13F2D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A809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7B26B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DCD3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A18F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9361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B303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0E397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shd w:val="clear" w:color="auto" w:fill="auto"/>
            <w:noWrap w:val="0"/>
            <w:vAlign w:val="center"/>
          </w:tcPr>
          <w:p w14:paraId="4F91B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优质教育均衡</w:t>
            </w:r>
          </w:p>
        </w:tc>
        <w:tc>
          <w:tcPr>
            <w:tcW w:w="1209" w:type="dxa"/>
            <w:noWrap w:val="0"/>
            <w:vAlign w:val="center"/>
          </w:tcPr>
          <w:p w14:paraId="5FD8F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有效提升</w:t>
            </w:r>
          </w:p>
        </w:tc>
        <w:tc>
          <w:tcPr>
            <w:tcW w:w="1134" w:type="dxa"/>
            <w:noWrap w:val="0"/>
            <w:vAlign w:val="center"/>
          </w:tcPr>
          <w:p w14:paraId="16ED2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有效提升</w:t>
            </w:r>
          </w:p>
        </w:tc>
        <w:tc>
          <w:tcPr>
            <w:tcW w:w="828" w:type="dxa"/>
            <w:noWrap w:val="0"/>
            <w:vAlign w:val="center"/>
          </w:tcPr>
          <w:p w14:paraId="49D3A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1AD0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 w14:paraId="797DD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208C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9422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79F4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6C75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shd w:val="clear" w:color="auto" w:fill="auto"/>
            <w:noWrap w:val="0"/>
            <w:vAlign w:val="center"/>
          </w:tcPr>
          <w:p w14:paraId="14B6F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当地教育事业发展</w:t>
            </w:r>
          </w:p>
        </w:tc>
        <w:tc>
          <w:tcPr>
            <w:tcW w:w="1209" w:type="dxa"/>
            <w:noWrap w:val="0"/>
            <w:vAlign w:val="center"/>
          </w:tcPr>
          <w:p w14:paraId="33EDD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持续促进</w:t>
            </w:r>
          </w:p>
        </w:tc>
        <w:tc>
          <w:tcPr>
            <w:tcW w:w="1134" w:type="dxa"/>
            <w:noWrap w:val="0"/>
            <w:vAlign w:val="center"/>
          </w:tcPr>
          <w:p w14:paraId="78266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持续促进</w:t>
            </w:r>
          </w:p>
        </w:tc>
        <w:tc>
          <w:tcPr>
            <w:tcW w:w="828" w:type="dxa"/>
            <w:noWrap w:val="0"/>
            <w:vAlign w:val="center"/>
          </w:tcPr>
          <w:p w14:paraId="61DBF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C625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 w14:paraId="4D324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2E60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B21F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8597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29A91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15745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noWrap w:val="0"/>
            <w:vAlign w:val="center"/>
          </w:tcPr>
          <w:p w14:paraId="67BA5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 w14:paraId="0FBC4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社会群众满意度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7E214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264EE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828" w:type="dxa"/>
            <w:noWrap w:val="0"/>
            <w:vAlign w:val="center"/>
          </w:tcPr>
          <w:p w14:paraId="2EB2B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3453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03C9C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17B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 w14:paraId="609E8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 w14:paraId="61F29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1F56E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96</w:t>
            </w:r>
          </w:p>
        </w:tc>
        <w:tc>
          <w:tcPr>
            <w:tcW w:w="1418" w:type="dxa"/>
            <w:noWrap w:val="0"/>
            <w:vAlign w:val="center"/>
          </w:tcPr>
          <w:p w14:paraId="29029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010AE906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20"/>
          <w:szCs w:val="20"/>
          <w:lang w:val="en-US" w:eastAsia="zh-CN" w:bidi="ar-SA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20"/>
          <w:szCs w:val="20"/>
          <w:lang w:val="en-US" w:eastAsia="zh-CN" w:bidi="ar-SA"/>
        </w:rPr>
        <w:t xml:space="preserve">填表人：龙樟灵            填报日期：2024年6月20日             联系电话：15115112937 </w:t>
      </w:r>
    </w:p>
    <w:p w14:paraId="72CF26E2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napToGrid/>
          <w:color w:val="000000"/>
          <w:kern w:val="0"/>
          <w:sz w:val="20"/>
          <w:szCs w:val="20"/>
          <w:lang w:val="en-US" w:eastAsia="zh-CN" w:bidi="ar-SA"/>
        </w:rPr>
      </w:pPr>
    </w:p>
    <w:p w14:paraId="5C89DFE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0"/>
          <w:szCs w:val="20"/>
          <w:shd w:val="clear" w:fill="FFFFFF"/>
          <w:lang w:val="en-US" w:eastAsia="zh-CN"/>
        </w:rPr>
        <w:t>附件2-1</w:t>
      </w:r>
    </w:p>
    <w:p w14:paraId="058E14A6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项目支出绩效自评表</w:t>
      </w:r>
    </w:p>
    <w:tbl>
      <w:tblPr>
        <w:tblStyle w:val="8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149"/>
        <w:gridCol w:w="1209"/>
        <w:gridCol w:w="1134"/>
        <w:gridCol w:w="828"/>
        <w:gridCol w:w="873"/>
        <w:gridCol w:w="1418"/>
      </w:tblGrid>
      <w:tr w14:paraId="5E2B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80" w:type="dxa"/>
            <w:noWrap w:val="0"/>
            <w:vAlign w:val="center"/>
          </w:tcPr>
          <w:p w14:paraId="6B15B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项目支</w:t>
            </w:r>
          </w:p>
          <w:p w14:paraId="25A61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noWrap w:val="0"/>
            <w:vAlign w:val="center"/>
          </w:tcPr>
          <w:p w14:paraId="43041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校园维修改造及设备</w:t>
            </w:r>
          </w:p>
        </w:tc>
      </w:tr>
      <w:tr w14:paraId="525A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 w14:paraId="79DD3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7A50E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　怀化市教育局　</w:t>
            </w:r>
          </w:p>
        </w:tc>
        <w:tc>
          <w:tcPr>
            <w:tcW w:w="1134" w:type="dxa"/>
            <w:noWrap w:val="0"/>
            <w:vAlign w:val="center"/>
          </w:tcPr>
          <w:p w14:paraId="10C29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实施单位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 w14:paraId="0A8DD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　怀化市武陵中学</w:t>
            </w:r>
          </w:p>
        </w:tc>
      </w:tr>
      <w:tr w14:paraId="4EF92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5C50F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 w14:paraId="7384E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49" w:type="dxa"/>
            <w:noWrap w:val="0"/>
            <w:vAlign w:val="center"/>
          </w:tcPr>
          <w:p w14:paraId="60D1F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年初</w:t>
            </w:r>
          </w:p>
          <w:p w14:paraId="013ED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4A15B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全年</w:t>
            </w:r>
          </w:p>
          <w:p w14:paraId="3775C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noWrap w:val="0"/>
            <w:vAlign w:val="center"/>
          </w:tcPr>
          <w:p w14:paraId="609D9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全年</w:t>
            </w:r>
          </w:p>
          <w:p w14:paraId="20840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执行数</w:t>
            </w:r>
          </w:p>
        </w:tc>
        <w:tc>
          <w:tcPr>
            <w:tcW w:w="828" w:type="dxa"/>
            <w:noWrap w:val="0"/>
            <w:vAlign w:val="center"/>
          </w:tcPr>
          <w:p w14:paraId="7F6B9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1DC3F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noWrap w:val="0"/>
            <w:vAlign w:val="center"/>
          </w:tcPr>
          <w:p w14:paraId="2F4E6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得分</w:t>
            </w:r>
          </w:p>
        </w:tc>
      </w:tr>
      <w:tr w14:paraId="0E6F4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7338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7071B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149" w:type="dxa"/>
            <w:noWrap w:val="0"/>
            <w:vAlign w:val="center"/>
          </w:tcPr>
          <w:p w14:paraId="3AA46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209" w:type="dxa"/>
            <w:noWrap w:val="0"/>
            <w:vAlign w:val="center"/>
          </w:tcPr>
          <w:p w14:paraId="1803D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147.39</w:t>
            </w:r>
          </w:p>
        </w:tc>
        <w:tc>
          <w:tcPr>
            <w:tcW w:w="1134" w:type="dxa"/>
            <w:noWrap w:val="0"/>
            <w:vAlign w:val="center"/>
          </w:tcPr>
          <w:p w14:paraId="14D60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147.39</w:t>
            </w:r>
          </w:p>
        </w:tc>
        <w:tc>
          <w:tcPr>
            <w:tcW w:w="828" w:type="dxa"/>
            <w:noWrap w:val="0"/>
            <w:vAlign w:val="center"/>
          </w:tcPr>
          <w:p w14:paraId="2E7CA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873" w:type="dxa"/>
            <w:noWrap w:val="0"/>
            <w:vAlign w:val="center"/>
          </w:tcPr>
          <w:p w14:paraId="4E398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noWrap w:val="0"/>
            <w:vAlign w:val="center"/>
          </w:tcPr>
          <w:p w14:paraId="21E30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64EC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1DA1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19A8C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149" w:type="dxa"/>
            <w:noWrap w:val="0"/>
            <w:vAlign w:val="center"/>
          </w:tcPr>
          <w:p w14:paraId="46B43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50791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6B016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4E4FB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487C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D523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C0A4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C172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20C32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149" w:type="dxa"/>
            <w:noWrap w:val="0"/>
            <w:vAlign w:val="center"/>
          </w:tcPr>
          <w:p w14:paraId="04720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3EBBA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05991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48130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3BAC6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21EEC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B3C7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20E7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noWrap w:val="0"/>
            <w:vAlign w:val="center"/>
          </w:tcPr>
          <w:p w14:paraId="41EF5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49" w:type="dxa"/>
            <w:noWrap w:val="0"/>
            <w:vAlign w:val="center"/>
          </w:tcPr>
          <w:p w14:paraId="1F325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12567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noWrap w:val="0"/>
            <w:vAlign w:val="center"/>
          </w:tcPr>
          <w:p w14:paraId="24AF1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28" w:type="dxa"/>
            <w:noWrap w:val="0"/>
            <w:vAlign w:val="center"/>
          </w:tcPr>
          <w:p w14:paraId="3879B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47EF9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noWrap w:val="0"/>
            <w:vAlign w:val="center"/>
          </w:tcPr>
          <w:p w14:paraId="322B7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3130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245AA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6F08B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15B83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7044A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94A7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47E8B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改善我校办学条件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4253" w:type="dxa"/>
            <w:gridSpan w:val="4"/>
            <w:noWrap w:val="0"/>
            <w:vAlign w:val="center"/>
          </w:tcPr>
          <w:p w14:paraId="6B01C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完成校园维修改造及设备购置</w:t>
            </w:r>
          </w:p>
        </w:tc>
      </w:tr>
      <w:tr w14:paraId="4438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7277C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绩</w:t>
            </w:r>
          </w:p>
          <w:p w14:paraId="43FB1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</w:t>
            </w:r>
          </w:p>
          <w:p w14:paraId="529A5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</w:t>
            </w:r>
          </w:p>
          <w:p w14:paraId="291E5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5B02E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noWrap w:val="0"/>
            <w:vAlign w:val="center"/>
          </w:tcPr>
          <w:p w14:paraId="12A0E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149" w:type="dxa"/>
            <w:noWrap w:val="0"/>
            <w:vAlign w:val="center"/>
          </w:tcPr>
          <w:p w14:paraId="7D6A6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7FB65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年度</w:t>
            </w:r>
          </w:p>
          <w:p w14:paraId="7E560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noWrap w:val="0"/>
            <w:vAlign w:val="center"/>
          </w:tcPr>
          <w:p w14:paraId="0B7C4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实际</w:t>
            </w:r>
          </w:p>
          <w:p w14:paraId="29C5E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noWrap w:val="0"/>
            <w:vAlign w:val="center"/>
          </w:tcPr>
          <w:p w14:paraId="47545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53BCD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418" w:type="dxa"/>
            <w:noWrap w:val="0"/>
            <w:vAlign w:val="center"/>
          </w:tcPr>
          <w:p w14:paraId="51AC4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偏差原因</w:t>
            </w:r>
          </w:p>
          <w:p w14:paraId="0F113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分析及</w:t>
            </w:r>
          </w:p>
          <w:p w14:paraId="7724D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 w14:paraId="55B97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688B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02BC2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产出指标</w:t>
            </w:r>
          </w:p>
          <w:p w14:paraId="7EBE2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50分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080" w:type="dxa"/>
            <w:noWrap w:val="0"/>
            <w:vAlign w:val="center"/>
          </w:tcPr>
          <w:p w14:paraId="7BD35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149" w:type="dxa"/>
            <w:noWrap w:val="0"/>
            <w:vAlign w:val="center"/>
          </w:tcPr>
          <w:p w14:paraId="6D26F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工作任务覆盖率</w:t>
            </w:r>
          </w:p>
        </w:tc>
        <w:tc>
          <w:tcPr>
            <w:tcW w:w="1209" w:type="dxa"/>
            <w:noWrap w:val="0"/>
            <w:vAlign w:val="center"/>
          </w:tcPr>
          <w:p w14:paraId="3B8C8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 w14:paraId="3FD37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 w14:paraId="32B9C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C4DA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989D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F598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3230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BB12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6FD9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149" w:type="dxa"/>
            <w:noWrap w:val="0"/>
            <w:vAlign w:val="center"/>
          </w:tcPr>
          <w:p w14:paraId="73A41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质量达标率</w:t>
            </w:r>
          </w:p>
        </w:tc>
        <w:tc>
          <w:tcPr>
            <w:tcW w:w="1209" w:type="dxa"/>
            <w:noWrap w:val="0"/>
            <w:vAlign w:val="center"/>
          </w:tcPr>
          <w:p w14:paraId="147FA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 w14:paraId="4D5FC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 w14:paraId="0125F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noWrap w:val="0"/>
            <w:vAlign w:val="center"/>
          </w:tcPr>
          <w:p w14:paraId="1C5FE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 w14:paraId="51142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3ACA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373F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A59C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C191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149" w:type="dxa"/>
            <w:noWrap w:val="0"/>
            <w:vAlign w:val="center"/>
          </w:tcPr>
          <w:p w14:paraId="04264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及时完成率</w:t>
            </w:r>
          </w:p>
        </w:tc>
        <w:tc>
          <w:tcPr>
            <w:tcW w:w="1209" w:type="dxa"/>
            <w:noWrap w:val="0"/>
            <w:vAlign w:val="center"/>
          </w:tcPr>
          <w:p w14:paraId="59DBB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noWrap w:val="0"/>
            <w:vAlign w:val="center"/>
          </w:tcPr>
          <w:p w14:paraId="7F5EE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noWrap w:val="0"/>
            <w:vAlign w:val="center"/>
          </w:tcPr>
          <w:p w14:paraId="3F786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873" w:type="dxa"/>
            <w:noWrap w:val="0"/>
            <w:vAlign w:val="center"/>
          </w:tcPr>
          <w:p w14:paraId="4D35B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noWrap w:val="0"/>
            <w:vAlign w:val="center"/>
          </w:tcPr>
          <w:p w14:paraId="396DF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3380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DA51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45915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5172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149" w:type="dxa"/>
            <w:noWrap w:val="0"/>
            <w:vAlign w:val="center"/>
          </w:tcPr>
          <w:p w14:paraId="533A7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预算支出</w:t>
            </w:r>
          </w:p>
        </w:tc>
        <w:tc>
          <w:tcPr>
            <w:tcW w:w="1209" w:type="dxa"/>
            <w:noWrap w:val="0"/>
            <w:vAlign w:val="center"/>
          </w:tcPr>
          <w:p w14:paraId="0044B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147.39万元</w:t>
            </w:r>
          </w:p>
        </w:tc>
        <w:tc>
          <w:tcPr>
            <w:tcW w:w="1134" w:type="dxa"/>
            <w:noWrap w:val="0"/>
            <w:vAlign w:val="center"/>
          </w:tcPr>
          <w:p w14:paraId="72540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147.39万元</w:t>
            </w:r>
          </w:p>
        </w:tc>
        <w:tc>
          <w:tcPr>
            <w:tcW w:w="828" w:type="dxa"/>
            <w:noWrap w:val="0"/>
            <w:vAlign w:val="center"/>
          </w:tcPr>
          <w:p w14:paraId="77BAA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AF95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14153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64E3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2F66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5A094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效益指标</w:t>
            </w:r>
          </w:p>
          <w:p w14:paraId="5896F9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noWrap w:val="0"/>
            <w:vAlign w:val="center"/>
          </w:tcPr>
          <w:p w14:paraId="40CC7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经济效</w:t>
            </w:r>
          </w:p>
          <w:p w14:paraId="248AC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04D0D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维修成本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79605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有所减少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11889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有所减少</w:t>
            </w:r>
          </w:p>
        </w:tc>
        <w:tc>
          <w:tcPr>
            <w:tcW w:w="828" w:type="dxa"/>
            <w:noWrap w:val="0"/>
            <w:vAlign w:val="center"/>
          </w:tcPr>
          <w:p w14:paraId="3BBB6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C7A2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noWrap w:val="0"/>
            <w:vAlign w:val="center"/>
          </w:tcPr>
          <w:p w14:paraId="6C565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3C77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720B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6CBD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800C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社会效</w:t>
            </w:r>
          </w:p>
          <w:p w14:paraId="5AF1D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noWrap w:val="0"/>
            <w:vAlign w:val="center"/>
          </w:tcPr>
          <w:p w14:paraId="09211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教学质量</w:t>
            </w:r>
          </w:p>
        </w:tc>
        <w:tc>
          <w:tcPr>
            <w:tcW w:w="1209" w:type="dxa"/>
            <w:noWrap w:val="0"/>
            <w:vAlign w:val="center"/>
          </w:tcPr>
          <w:p w14:paraId="75786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有所提升　</w:t>
            </w:r>
          </w:p>
        </w:tc>
        <w:tc>
          <w:tcPr>
            <w:tcW w:w="1134" w:type="dxa"/>
            <w:noWrap w:val="0"/>
            <w:vAlign w:val="center"/>
          </w:tcPr>
          <w:p w14:paraId="54909D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有所提升　</w:t>
            </w:r>
          </w:p>
        </w:tc>
        <w:tc>
          <w:tcPr>
            <w:tcW w:w="828" w:type="dxa"/>
            <w:noWrap w:val="0"/>
            <w:vAlign w:val="center"/>
          </w:tcPr>
          <w:p w14:paraId="08AC1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7369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noWrap w:val="0"/>
            <w:vAlign w:val="center"/>
          </w:tcPr>
          <w:p w14:paraId="266E6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4407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5C2A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025D0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D897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生态效</w:t>
            </w:r>
          </w:p>
          <w:p w14:paraId="3599A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149" w:type="dxa"/>
            <w:shd w:val="clear" w:color="auto" w:fill="auto"/>
            <w:noWrap w:val="0"/>
            <w:vAlign w:val="center"/>
          </w:tcPr>
          <w:p w14:paraId="3B3F1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改善办学条件</w:t>
            </w:r>
          </w:p>
        </w:tc>
        <w:tc>
          <w:tcPr>
            <w:tcW w:w="1209" w:type="dxa"/>
            <w:noWrap w:val="0"/>
            <w:vAlign w:val="center"/>
          </w:tcPr>
          <w:p w14:paraId="39E78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1134" w:type="dxa"/>
            <w:noWrap w:val="0"/>
            <w:vAlign w:val="center"/>
          </w:tcPr>
          <w:p w14:paraId="78D37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效果明显</w:t>
            </w:r>
          </w:p>
        </w:tc>
        <w:tc>
          <w:tcPr>
            <w:tcW w:w="828" w:type="dxa"/>
            <w:noWrap w:val="0"/>
            <w:vAlign w:val="center"/>
          </w:tcPr>
          <w:p w14:paraId="64907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37B4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 w14:paraId="097E4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FCB8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793C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3DCE1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851D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149" w:type="dxa"/>
            <w:shd w:val="clear" w:color="auto" w:fill="auto"/>
            <w:noWrap w:val="0"/>
            <w:vAlign w:val="center"/>
          </w:tcPr>
          <w:p w14:paraId="32948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资产使用期限</w:t>
            </w:r>
          </w:p>
        </w:tc>
        <w:tc>
          <w:tcPr>
            <w:tcW w:w="1209" w:type="dxa"/>
            <w:noWrap w:val="0"/>
            <w:vAlign w:val="center"/>
          </w:tcPr>
          <w:p w14:paraId="57E72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更持久</w:t>
            </w:r>
          </w:p>
        </w:tc>
        <w:tc>
          <w:tcPr>
            <w:tcW w:w="1134" w:type="dxa"/>
            <w:noWrap w:val="0"/>
            <w:vAlign w:val="center"/>
          </w:tcPr>
          <w:p w14:paraId="63F55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更持久</w:t>
            </w:r>
          </w:p>
        </w:tc>
        <w:tc>
          <w:tcPr>
            <w:tcW w:w="828" w:type="dxa"/>
            <w:noWrap w:val="0"/>
            <w:vAlign w:val="center"/>
          </w:tcPr>
          <w:p w14:paraId="40DF5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B8AA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noWrap w:val="0"/>
            <w:vAlign w:val="center"/>
          </w:tcPr>
          <w:p w14:paraId="2618C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ACC6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E0A1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731A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满意度</w:t>
            </w:r>
          </w:p>
          <w:p w14:paraId="09A24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指标</w:t>
            </w:r>
          </w:p>
          <w:p w14:paraId="58876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noWrap w:val="0"/>
            <w:vAlign w:val="center"/>
          </w:tcPr>
          <w:p w14:paraId="5A270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149" w:type="dxa"/>
            <w:noWrap w:val="0"/>
            <w:vAlign w:val="center"/>
          </w:tcPr>
          <w:p w14:paraId="7D170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社会群众满意度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480EE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29AA2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≥90%</w:t>
            </w:r>
          </w:p>
        </w:tc>
        <w:tc>
          <w:tcPr>
            <w:tcW w:w="828" w:type="dxa"/>
            <w:noWrap w:val="0"/>
            <w:vAlign w:val="center"/>
          </w:tcPr>
          <w:p w14:paraId="3527C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2AC9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noWrap w:val="0"/>
            <w:vAlign w:val="center"/>
          </w:tcPr>
          <w:p w14:paraId="316D0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1215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2" w:type="dxa"/>
            <w:gridSpan w:val="6"/>
            <w:noWrap w:val="0"/>
            <w:vAlign w:val="center"/>
          </w:tcPr>
          <w:p w14:paraId="1B8AA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828" w:type="dxa"/>
            <w:noWrap w:val="0"/>
            <w:vAlign w:val="center"/>
          </w:tcPr>
          <w:p w14:paraId="40522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4F906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95</w:t>
            </w:r>
          </w:p>
        </w:tc>
        <w:tc>
          <w:tcPr>
            <w:tcW w:w="1418" w:type="dxa"/>
            <w:noWrap w:val="0"/>
            <w:vAlign w:val="center"/>
          </w:tcPr>
          <w:p w14:paraId="56A83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436ECD1E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20"/>
          <w:szCs w:val="20"/>
          <w:lang w:val="en-US"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20"/>
          <w:szCs w:val="20"/>
          <w:lang w:val="en-US" w:eastAsia="zh-CN" w:bidi="ar-SA"/>
        </w:rPr>
        <w:t xml:space="preserve">填表人：龙樟灵            填报日期：2024年6月20日             联系电话：15115112937 </w:t>
      </w:r>
    </w:p>
    <w:p w14:paraId="57180CBE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8BF21E-A3D8-4E74-9DEA-CEEE3CF2D7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FEBF5C7-1D25-4260-A748-6D085B0C7475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3E76B4B-13FA-4986-93EF-73EA3CACEF4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0FF9C0F-83DB-4C8F-8F24-B9E5BE07B00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DA6F7CD8-C081-4EDA-98A5-37E1B251608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C09D01C-42B5-4F37-BC14-87509DBB884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B70D35DD-7B85-4DE6-9564-937D0BE3DF2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E5D14A4C-DE36-418D-BCCA-CB129F47093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955B98BD-73B7-446C-A046-564B5551D9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F027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9DD401"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9DD401"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84F1B3"/>
    <w:multiLevelType w:val="singleLevel"/>
    <w:tmpl w:val="A884F1B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5DA21AD"/>
    <w:multiLevelType w:val="singleLevel"/>
    <w:tmpl w:val="B5DA21AD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60D3F2F"/>
    <w:multiLevelType w:val="singleLevel"/>
    <w:tmpl w:val="E60D3F2F"/>
    <w:lvl w:ilvl="0" w:tentative="0">
      <w:start w:val="4"/>
      <w:numFmt w:val="decimal"/>
      <w:suff w:val="nothing"/>
      <w:lvlText w:val="（%1）"/>
      <w:lvlJc w:val="left"/>
    </w:lvl>
  </w:abstractNum>
  <w:abstractNum w:abstractNumId="3">
    <w:nsid w:val="004512C0"/>
    <w:multiLevelType w:val="singleLevel"/>
    <w:tmpl w:val="004512C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3281A355"/>
    <w:multiLevelType w:val="singleLevel"/>
    <w:tmpl w:val="3281A355"/>
    <w:lvl w:ilvl="0" w:tentative="0">
      <w:start w:val="4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MGMzZGM0ODNhOGQ4Mzc5MjRlNjEyMTNiYmY5YWIifQ=="/>
    <w:docVar w:name="KSO_WPS_MARK_KEY" w:val="9920a277-c0c3-43b4-93d3-1636fe398e0b"/>
  </w:docVars>
  <w:rsids>
    <w:rsidRoot w:val="753C4E9B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9E805B2"/>
    <w:rsid w:val="22FE234B"/>
    <w:rsid w:val="277E6F02"/>
    <w:rsid w:val="29990575"/>
    <w:rsid w:val="2AF6742D"/>
    <w:rsid w:val="2E833798"/>
    <w:rsid w:val="30E919D6"/>
    <w:rsid w:val="312A2265"/>
    <w:rsid w:val="34D96843"/>
    <w:rsid w:val="36FC0F5D"/>
    <w:rsid w:val="375773F8"/>
    <w:rsid w:val="393E32BB"/>
    <w:rsid w:val="419B2857"/>
    <w:rsid w:val="41D71DA8"/>
    <w:rsid w:val="4C6611ED"/>
    <w:rsid w:val="52E70F0F"/>
    <w:rsid w:val="552A0475"/>
    <w:rsid w:val="578D10CB"/>
    <w:rsid w:val="5A5915AC"/>
    <w:rsid w:val="68570CD5"/>
    <w:rsid w:val="6A12486A"/>
    <w:rsid w:val="6BFA37E4"/>
    <w:rsid w:val="753C4E9B"/>
    <w:rsid w:val="781113A7"/>
    <w:rsid w:val="791E6510"/>
    <w:rsid w:val="7C8D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paragraph" w:customStyle="1" w:styleId="10">
    <w:name w:val="标题1"/>
    <w:basedOn w:val="2"/>
    <w:autoRedefine/>
    <w:qFormat/>
    <w:uiPriority w:val="0"/>
    <w:rPr>
      <w:rFonts w:eastAsia="黑体"/>
    </w:rPr>
  </w:style>
  <w:style w:type="paragraph" w:customStyle="1" w:styleId="11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  <w:style w:type="paragraph" w:customStyle="1" w:styleId="12">
    <w:name w:val="_Style 1"/>
    <w:basedOn w:val="1"/>
    <w:qFormat/>
    <w:uiPriority w:val="99"/>
    <w:pPr>
      <w:spacing w:line="481" w:lineRule="atLeast"/>
      <w:ind w:firstLine="623"/>
      <w:textAlignment w:val="baseline"/>
    </w:pPr>
    <w:rPr>
      <w:color w:val="000000"/>
      <w:sz w:val="31"/>
      <w:szCs w:val="31"/>
    </w:rPr>
  </w:style>
  <w:style w:type="paragraph" w:styleId="13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4">
    <w:name w:val="无间隔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3553</Words>
  <Characters>3935</Characters>
  <Lines>0</Lines>
  <Paragraphs>0</Paragraphs>
  <TotalTime>0</TotalTime>
  <ScaleCrop>false</ScaleCrop>
  <LinksUpToDate>false</LinksUpToDate>
  <CharactersWithSpaces>4241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2024-02-22T02:03:00Z</dcterms:created>
  <dc:creator>1402836399</dc:creator>
  <cp:lastModifiedBy>沛</cp:lastModifiedBy>
  <cp:lastPrinted>2024-02-26T03:24:00Z</cp:lastPrinted>
  <dcterms:modified xsi:type="dcterms:W3CDTF">2024-10-22T16:30:08Z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46356FE0BAE44546AC2F65D672A2B61D_13</vt:lpwstr>
  </property>
</Properties>
</file>