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A8926">
      <w:pPr>
        <w:pStyle w:val="10"/>
        <w:jc w:val="center"/>
        <w:rPr>
          <w:sz w:val="56"/>
          <w:szCs w:val="56"/>
          <w:highlight w:val="none"/>
        </w:rPr>
      </w:pPr>
    </w:p>
    <w:p w14:paraId="2517A3AB">
      <w:pPr>
        <w:pStyle w:val="10"/>
        <w:jc w:val="center"/>
        <w:rPr>
          <w:sz w:val="56"/>
          <w:szCs w:val="56"/>
          <w:highlight w:val="none"/>
        </w:rPr>
      </w:pPr>
    </w:p>
    <w:p w14:paraId="41CD0D6E">
      <w:pPr>
        <w:pStyle w:val="10"/>
        <w:jc w:val="center"/>
        <w:rPr>
          <w:sz w:val="84"/>
          <w:szCs w:val="84"/>
          <w:highlight w:val="none"/>
        </w:rPr>
      </w:pPr>
    </w:p>
    <w:p w14:paraId="4131DFCA">
      <w:pPr>
        <w:pStyle w:val="10"/>
        <w:jc w:val="center"/>
        <w:rPr>
          <w:sz w:val="84"/>
          <w:szCs w:val="84"/>
          <w:highlight w:val="none"/>
        </w:rPr>
      </w:pPr>
      <w:bookmarkStart w:id="0" w:name="_GoBack"/>
      <w:bookmarkEnd w:id="0"/>
    </w:p>
    <w:p w14:paraId="7206ECF7">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w:t>
      </w:r>
    </w:p>
    <w:p w14:paraId="33075F21">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怀化市武陵中学</w:t>
      </w:r>
      <w:r>
        <w:rPr>
          <w:rFonts w:hint="eastAsia" w:ascii="方正小标宋_GBK" w:hAnsi="方正小标宋_GBK" w:eastAsia="方正小标宋_GBK" w:cs="方正小标宋_GBK"/>
          <w:sz w:val="84"/>
          <w:szCs w:val="84"/>
          <w:highlight w:val="none"/>
        </w:rPr>
        <w:t>部门决算</w:t>
      </w:r>
    </w:p>
    <w:p w14:paraId="4AA3CF05">
      <w:pPr>
        <w:pStyle w:val="10"/>
        <w:jc w:val="center"/>
        <w:rPr>
          <w:rFonts w:hint="eastAsia" w:ascii="方正小标宋_GBK" w:hAnsi="方正小标宋_GBK" w:eastAsia="方正小标宋_GBK" w:cs="方正小标宋_GBK"/>
          <w:sz w:val="56"/>
          <w:szCs w:val="56"/>
          <w:highlight w:val="none"/>
        </w:rPr>
      </w:pPr>
    </w:p>
    <w:p w14:paraId="25601A58">
      <w:pPr>
        <w:pStyle w:val="10"/>
        <w:jc w:val="center"/>
        <w:rPr>
          <w:sz w:val="56"/>
          <w:szCs w:val="56"/>
          <w:highlight w:val="none"/>
        </w:rPr>
      </w:pPr>
    </w:p>
    <w:p w14:paraId="30596787">
      <w:pPr>
        <w:pStyle w:val="10"/>
        <w:jc w:val="center"/>
        <w:rPr>
          <w:sz w:val="56"/>
          <w:szCs w:val="56"/>
          <w:highlight w:val="none"/>
        </w:rPr>
      </w:pPr>
    </w:p>
    <w:p w14:paraId="61D80312">
      <w:pPr>
        <w:pStyle w:val="10"/>
        <w:jc w:val="center"/>
        <w:rPr>
          <w:sz w:val="56"/>
          <w:szCs w:val="56"/>
          <w:highlight w:val="none"/>
        </w:rPr>
      </w:pPr>
    </w:p>
    <w:p w14:paraId="0B4276EC">
      <w:pPr>
        <w:pStyle w:val="10"/>
        <w:jc w:val="center"/>
        <w:rPr>
          <w:sz w:val="32"/>
          <w:szCs w:val="32"/>
          <w:highlight w:val="none"/>
        </w:rPr>
      </w:pPr>
    </w:p>
    <w:p w14:paraId="3139DD0A">
      <w:pPr>
        <w:pStyle w:val="10"/>
        <w:jc w:val="center"/>
        <w:rPr>
          <w:sz w:val="32"/>
          <w:szCs w:val="32"/>
          <w:highlight w:val="none"/>
        </w:rPr>
      </w:pPr>
    </w:p>
    <w:p w14:paraId="214CD923">
      <w:pPr>
        <w:pStyle w:val="10"/>
        <w:jc w:val="center"/>
        <w:rPr>
          <w:sz w:val="32"/>
          <w:szCs w:val="32"/>
          <w:highlight w:val="none"/>
        </w:rPr>
      </w:pPr>
    </w:p>
    <w:p w14:paraId="398A52DC">
      <w:pPr>
        <w:pStyle w:val="10"/>
        <w:jc w:val="center"/>
        <w:rPr>
          <w:sz w:val="32"/>
          <w:szCs w:val="32"/>
          <w:highlight w:val="none"/>
        </w:rPr>
      </w:pPr>
    </w:p>
    <w:p w14:paraId="7A15752B">
      <w:pPr>
        <w:pStyle w:val="10"/>
        <w:jc w:val="center"/>
        <w:rPr>
          <w:sz w:val="32"/>
          <w:szCs w:val="32"/>
          <w:highlight w:val="none"/>
        </w:rPr>
      </w:pPr>
    </w:p>
    <w:p w14:paraId="73964634">
      <w:pPr>
        <w:pStyle w:val="10"/>
        <w:spacing w:line="540" w:lineRule="exact"/>
        <w:jc w:val="center"/>
        <w:rPr>
          <w:sz w:val="56"/>
          <w:szCs w:val="56"/>
          <w:highlight w:val="none"/>
        </w:rPr>
      </w:pPr>
    </w:p>
    <w:p w14:paraId="62662454">
      <w:pPr>
        <w:pStyle w:val="10"/>
        <w:spacing w:line="500" w:lineRule="exact"/>
        <w:jc w:val="both"/>
        <w:rPr>
          <w:b/>
          <w:sz w:val="36"/>
          <w:szCs w:val="28"/>
          <w:highlight w:val="none"/>
        </w:rPr>
      </w:pPr>
    </w:p>
    <w:p w14:paraId="227CDB36">
      <w:pPr>
        <w:pStyle w:val="10"/>
        <w:spacing w:line="500" w:lineRule="exact"/>
        <w:jc w:val="both"/>
        <w:rPr>
          <w:b/>
          <w:sz w:val="36"/>
          <w:szCs w:val="28"/>
          <w:highlight w:val="none"/>
        </w:rPr>
      </w:pPr>
    </w:p>
    <w:p w14:paraId="6F2CBADB">
      <w:pPr>
        <w:pStyle w:val="10"/>
        <w:spacing w:line="500" w:lineRule="exact"/>
        <w:jc w:val="center"/>
        <w:rPr>
          <w:b/>
          <w:sz w:val="36"/>
          <w:szCs w:val="28"/>
          <w:highlight w:val="none"/>
        </w:rPr>
      </w:pPr>
      <w:r>
        <w:rPr>
          <w:rFonts w:hint="eastAsia"/>
          <w:b/>
          <w:sz w:val="36"/>
          <w:szCs w:val="28"/>
          <w:highlight w:val="none"/>
        </w:rPr>
        <w:t>目录</w:t>
      </w:r>
    </w:p>
    <w:p w14:paraId="0FAC7BF8">
      <w:pPr>
        <w:pStyle w:val="10"/>
        <w:keepNext w:val="0"/>
        <w:keepLines w:val="0"/>
        <w:pageBreakBefore w:val="0"/>
        <w:widowControl w:val="0"/>
        <w:kinsoku/>
        <w:wordWrap/>
        <w:overflowPunct/>
        <w:topLinePunct w:val="0"/>
        <w:autoSpaceDE w:val="0"/>
        <w:autoSpaceDN w:val="0"/>
        <w:bidi w:val="0"/>
        <w:adjustRightInd w:val="0"/>
        <w:snapToGrid/>
        <w:spacing w:line="470" w:lineRule="exact"/>
        <w:textAlignment w:val="auto"/>
        <w:rPr>
          <w:rFonts w:hint="eastAsia" w:ascii="方正仿宋_GB2312" w:hAnsi="方正仿宋_GB2312" w:eastAsia="方正仿宋_GB2312" w:cs="方正仿宋_GB2312"/>
          <w:b w:val="0"/>
          <w:bCs/>
          <w:sz w:val="28"/>
          <w:szCs w:val="28"/>
          <w:highlight w:val="none"/>
        </w:rPr>
      </w:pPr>
      <w:r>
        <w:rPr>
          <w:rFonts w:hint="eastAsia" w:ascii="方正仿宋_GB2312" w:hAnsi="方正仿宋_GB2312" w:eastAsia="方正仿宋_GB2312" w:cs="方正仿宋_GB2312"/>
          <w:b w:val="0"/>
          <w:bCs/>
          <w:sz w:val="28"/>
          <w:szCs w:val="28"/>
          <w:highlight w:val="none"/>
        </w:rPr>
        <w:t>第一部分</w:t>
      </w:r>
      <w:r>
        <w:rPr>
          <w:rFonts w:hint="eastAsia" w:ascii="方正仿宋_GB2312" w:hAnsi="方正仿宋_GB2312" w:eastAsia="方正仿宋_GB2312" w:cs="方正仿宋_GB2312"/>
          <w:b w:val="0"/>
          <w:bCs/>
          <w:sz w:val="28"/>
          <w:szCs w:val="28"/>
          <w:highlight w:val="none"/>
          <w:lang w:val="en-US" w:eastAsia="zh-CN"/>
        </w:rPr>
        <w:t xml:space="preserve"> </w:t>
      </w:r>
      <w:r>
        <w:rPr>
          <w:rFonts w:hint="eastAsia" w:ascii="方正仿宋_GB2312" w:hAnsi="方正仿宋_GB2312" w:eastAsia="方正仿宋_GB2312" w:cs="方正仿宋_GB2312"/>
          <w:b w:val="0"/>
          <w:bCs/>
          <w:sz w:val="28"/>
          <w:szCs w:val="28"/>
          <w:highlight w:val="none"/>
          <w:lang w:eastAsia="zh-CN"/>
        </w:rPr>
        <w:t>怀化市武陵中学</w:t>
      </w:r>
      <w:r>
        <w:rPr>
          <w:rFonts w:hint="eastAsia" w:ascii="方正仿宋_GB2312" w:hAnsi="方正仿宋_GB2312" w:eastAsia="方正仿宋_GB2312" w:cs="方正仿宋_GB2312"/>
          <w:b w:val="0"/>
          <w:bCs/>
          <w:sz w:val="28"/>
          <w:szCs w:val="28"/>
          <w:highlight w:val="none"/>
        </w:rPr>
        <w:t>概况</w:t>
      </w:r>
    </w:p>
    <w:p w14:paraId="1FAA1610">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5B0CF74F">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65EDD6A9">
      <w:pPr>
        <w:pStyle w:val="10"/>
        <w:keepNext w:val="0"/>
        <w:keepLines w:val="0"/>
        <w:pageBreakBefore w:val="0"/>
        <w:widowControl w:val="0"/>
        <w:kinsoku/>
        <w:wordWrap/>
        <w:overflowPunct/>
        <w:topLinePunct w:val="0"/>
        <w:autoSpaceDE w:val="0"/>
        <w:autoSpaceDN w:val="0"/>
        <w:bidi w:val="0"/>
        <w:adjustRightInd w:val="0"/>
        <w:snapToGrid/>
        <w:spacing w:line="470" w:lineRule="exact"/>
        <w:textAlignment w:val="auto"/>
        <w:rPr>
          <w:rFonts w:hint="eastAsia" w:ascii="方正仿宋_GB2312" w:hAnsi="方正仿宋_GB2312" w:eastAsia="方正仿宋_GB2312" w:cs="方正仿宋_GB2312"/>
          <w:b w:val="0"/>
          <w:bCs/>
          <w:sz w:val="28"/>
          <w:szCs w:val="28"/>
          <w:highlight w:val="none"/>
        </w:rPr>
      </w:pPr>
      <w:r>
        <w:rPr>
          <w:rFonts w:hint="eastAsia" w:ascii="方正仿宋_GB2312" w:hAnsi="方正仿宋_GB2312" w:eastAsia="方正仿宋_GB2312" w:cs="方正仿宋_GB2312"/>
          <w:b w:val="0"/>
          <w:bCs/>
          <w:sz w:val="28"/>
          <w:szCs w:val="28"/>
          <w:highlight w:val="none"/>
        </w:rPr>
        <w:t>第二部分</w:t>
      </w:r>
      <w:r>
        <w:rPr>
          <w:rFonts w:hint="eastAsia" w:ascii="方正仿宋_GB2312" w:hAnsi="方正仿宋_GB2312" w:eastAsia="方正仿宋_GB2312" w:cs="方正仿宋_GB2312"/>
          <w:b w:val="0"/>
          <w:bCs/>
          <w:sz w:val="28"/>
          <w:szCs w:val="28"/>
          <w:highlight w:val="none"/>
          <w:lang w:val="en-US" w:eastAsia="zh-CN"/>
        </w:rPr>
        <w:t xml:space="preserve"> </w:t>
      </w:r>
      <w:r>
        <w:rPr>
          <w:rFonts w:hint="eastAsia" w:ascii="方正仿宋_GB2312" w:hAnsi="方正仿宋_GB2312" w:eastAsia="方正仿宋_GB2312" w:cs="方正仿宋_GB2312"/>
          <w:b w:val="0"/>
          <w:bCs/>
          <w:sz w:val="28"/>
          <w:szCs w:val="28"/>
          <w:highlight w:val="none"/>
        </w:rPr>
        <w:t>部门决算表</w:t>
      </w:r>
    </w:p>
    <w:p w14:paraId="0DBE3E1A">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35AD6E56">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5D52C7B9">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147AFBC4">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3E740780">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0B95895E">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0217366A">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544738AD">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501FC1A1">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076CD700">
      <w:pPr>
        <w:pStyle w:val="10"/>
        <w:keepNext w:val="0"/>
        <w:keepLines w:val="0"/>
        <w:pageBreakBefore w:val="0"/>
        <w:widowControl w:val="0"/>
        <w:kinsoku/>
        <w:wordWrap/>
        <w:overflowPunct/>
        <w:topLinePunct w:val="0"/>
        <w:autoSpaceDE w:val="0"/>
        <w:autoSpaceDN w:val="0"/>
        <w:bidi w:val="0"/>
        <w:adjustRightInd w:val="0"/>
        <w:snapToGrid/>
        <w:spacing w:line="470" w:lineRule="exact"/>
        <w:textAlignment w:val="auto"/>
        <w:rPr>
          <w:rFonts w:hint="eastAsia" w:ascii="方正仿宋_GB2312" w:hAnsi="方正仿宋_GB2312" w:eastAsia="方正仿宋_GB2312" w:cs="方正仿宋_GB2312"/>
          <w:b w:val="0"/>
          <w:bCs/>
          <w:sz w:val="28"/>
          <w:szCs w:val="28"/>
          <w:highlight w:val="none"/>
        </w:rPr>
      </w:pPr>
      <w:r>
        <w:rPr>
          <w:rFonts w:hint="eastAsia" w:ascii="方正仿宋_GB2312" w:hAnsi="方正仿宋_GB2312" w:eastAsia="方正仿宋_GB2312" w:cs="方正仿宋_GB2312"/>
          <w:b w:val="0"/>
          <w:bCs/>
          <w:sz w:val="28"/>
          <w:szCs w:val="28"/>
          <w:highlight w:val="none"/>
        </w:rPr>
        <w:t>第三部分</w:t>
      </w:r>
      <w:r>
        <w:rPr>
          <w:rFonts w:hint="eastAsia" w:ascii="方正仿宋_GB2312" w:hAnsi="方正仿宋_GB2312" w:eastAsia="方正仿宋_GB2312" w:cs="方正仿宋_GB2312"/>
          <w:b w:val="0"/>
          <w:bCs/>
          <w:sz w:val="28"/>
          <w:szCs w:val="28"/>
          <w:highlight w:val="none"/>
          <w:lang w:val="en-US" w:eastAsia="zh-CN"/>
        </w:rPr>
        <w:t xml:space="preserve"> </w:t>
      </w:r>
      <w:r>
        <w:rPr>
          <w:rFonts w:hint="eastAsia" w:ascii="方正仿宋_GB2312" w:hAnsi="方正仿宋_GB2312" w:eastAsia="方正仿宋_GB2312" w:cs="方正仿宋_GB2312"/>
          <w:b w:val="0"/>
          <w:bCs/>
          <w:sz w:val="28"/>
          <w:szCs w:val="28"/>
          <w:highlight w:val="none"/>
        </w:rPr>
        <w:t>部门决算情况说明</w:t>
      </w:r>
    </w:p>
    <w:p w14:paraId="76B38315">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1A4A51B9">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4A88392B">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三、支出决算情况说明</w:t>
      </w:r>
    </w:p>
    <w:p w14:paraId="48A5AE0E">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四、财政拨款收入支出决算总体情况说明</w:t>
      </w:r>
    </w:p>
    <w:p w14:paraId="384DD74A">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五、一般公共预算财政拨款支出决算情况说明</w:t>
      </w:r>
    </w:p>
    <w:p w14:paraId="7C73C2B1">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六、一般公共预算财政拨款基本支出决算情况说明</w:t>
      </w:r>
    </w:p>
    <w:p w14:paraId="5C8CE0FF">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七、一般公共预算财政拨款三公经费支出决算情况说明</w:t>
      </w:r>
    </w:p>
    <w:p w14:paraId="156B1E1A">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八、政府性基金预算收入支出决算情况</w:t>
      </w:r>
    </w:p>
    <w:p w14:paraId="4D16FA59">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九、国有资本经营预算财政拨款支出决算情况说明</w:t>
      </w:r>
    </w:p>
    <w:p w14:paraId="4956D208">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十、关于机关运行经费支出说明</w:t>
      </w:r>
    </w:p>
    <w:p w14:paraId="471DCBD3">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rPr>
        <w:t>、一般性支出情况说明</w:t>
      </w:r>
    </w:p>
    <w:p w14:paraId="0A223FC7">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rPr>
        <w:t>、关于政府采购支出说明</w:t>
      </w:r>
    </w:p>
    <w:p w14:paraId="4E12449D">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、关于国有资产占用情况说明</w:t>
      </w:r>
    </w:p>
    <w:p w14:paraId="5921D5DB">
      <w:pPr>
        <w:pStyle w:val="10"/>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、关于预算绩效情况的说明</w:t>
      </w:r>
    </w:p>
    <w:p w14:paraId="1A8AF3C6">
      <w:pPr>
        <w:pStyle w:val="10"/>
        <w:keepNext w:val="0"/>
        <w:keepLines w:val="0"/>
        <w:pageBreakBefore w:val="0"/>
        <w:widowControl w:val="0"/>
        <w:kinsoku/>
        <w:wordWrap/>
        <w:overflowPunct/>
        <w:topLinePunct w:val="0"/>
        <w:autoSpaceDE w:val="0"/>
        <w:autoSpaceDN w:val="0"/>
        <w:bidi w:val="0"/>
        <w:adjustRightInd w:val="0"/>
        <w:snapToGrid/>
        <w:spacing w:line="470" w:lineRule="exact"/>
        <w:textAlignment w:val="auto"/>
        <w:rPr>
          <w:rFonts w:hint="eastAsia" w:ascii="方正仿宋_GB2312" w:hAnsi="方正仿宋_GB2312" w:eastAsia="方正仿宋_GB2312" w:cs="方正仿宋_GB2312"/>
          <w:b w:val="0"/>
          <w:bCs/>
          <w:sz w:val="28"/>
          <w:szCs w:val="28"/>
          <w:highlight w:val="none"/>
        </w:rPr>
      </w:pPr>
      <w:r>
        <w:rPr>
          <w:rFonts w:hint="eastAsia" w:ascii="方正仿宋_GB2312" w:hAnsi="方正仿宋_GB2312" w:eastAsia="方正仿宋_GB2312" w:cs="方正仿宋_GB2312"/>
          <w:b w:val="0"/>
          <w:bCs/>
          <w:sz w:val="28"/>
          <w:szCs w:val="28"/>
          <w:highlight w:val="none"/>
        </w:rPr>
        <w:t>第四部分</w:t>
      </w:r>
      <w:r>
        <w:rPr>
          <w:rFonts w:hint="eastAsia" w:ascii="方正仿宋_GB2312" w:hAnsi="方正仿宋_GB2312" w:eastAsia="方正仿宋_GB2312" w:cs="方正仿宋_GB2312"/>
          <w:b w:val="0"/>
          <w:bCs/>
          <w:sz w:val="28"/>
          <w:szCs w:val="28"/>
          <w:highlight w:val="none"/>
          <w:lang w:val="en-US" w:eastAsia="zh-CN"/>
        </w:rPr>
        <w:t xml:space="preserve"> </w:t>
      </w:r>
      <w:r>
        <w:rPr>
          <w:rFonts w:hint="eastAsia" w:ascii="方正仿宋_GB2312" w:hAnsi="方正仿宋_GB2312" w:eastAsia="方正仿宋_GB2312" w:cs="方正仿宋_GB2312"/>
          <w:b w:val="0"/>
          <w:bCs/>
          <w:sz w:val="28"/>
          <w:szCs w:val="28"/>
          <w:highlight w:val="none"/>
        </w:rPr>
        <w:t>名词解释</w:t>
      </w:r>
    </w:p>
    <w:p w14:paraId="16969EEF">
      <w:pPr>
        <w:pStyle w:val="10"/>
        <w:keepNext w:val="0"/>
        <w:keepLines w:val="0"/>
        <w:pageBreakBefore w:val="0"/>
        <w:widowControl w:val="0"/>
        <w:kinsoku/>
        <w:wordWrap/>
        <w:overflowPunct/>
        <w:topLinePunct w:val="0"/>
        <w:autoSpaceDE w:val="0"/>
        <w:autoSpaceDN w:val="0"/>
        <w:bidi w:val="0"/>
        <w:adjustRightInd w:val="0"/>
        <w:snapToGrid/>
        <w:spacing w:line="470" w:lineRule="exact"/>
        <w:textAlignment w:val="auto"/>
        <w:rPr>
          <w:rFonts w:hint="default" w:ascii="方正仿宋_GB2312" w:hAnsi="方正仿宋_GB2312" w:eastAsia="方正仿宋_GB2312" w:cs="方正仿宋_GB2312"/>
          <w:b w:val="0"/>
          <w:bCs/>
          <w:sz w:val="32"/>
          <w:szCs w:val="32"/>
          <w:highlight w:val="none"/>
          <w:lang w:val="en-US" w:eastAsia="zh-CN"/>
        </w:rPr>
      </w:pPr>
      <w:r>
        <w:rPr>
          <w:rFonts w:hint="eastAsia" w:ascii="方正仿宋_GB2312" w:hAnsi="方正仿宋_GB2312" w:eastAsia="方正仿宋_GB2312" w:cs="方正仿宋_GB2312"/>
          <w:b w:val="0"/>
          <w:bCs/>
          <w:sz w:val="28"/>
          <w:szCs w:val="28"/>
          <w:highlight w:val="none"/>
          <w:lang w:val="en-US" w:eastAsia="zh-CN"/>
        </w:rPr>
        <w:t>第五部分 附件</w:t>
      </w:r>
    </w:p>
    <w:p w14:paraId="3FD17FC8">
      <w:pPr>
        <w:jc w:val="center"/>
        <w:rPr>
          <w:sz w:val="72"/>
          <w:szCs w:val="72"/>
          <w:highlight w:val="none"/>
        </w:rPr>
      </w:pPr>
    </w:p>
    <w:p w14:paraId="35844FC7">
      <w:pPr>
        <w:jc w:val="center"/>
        <w:rPr>
          <w:sz w:val="72"/>
          <w:szCs w:val="72"/>
          <w:highlight w:val="none"/>
        </w:rPr>
      </w:pPr>
    </w:p>
    <w:p w14:paraId="736E22F4">
      <w:pPr>
        <w:jc w:val="center"/>
        <w:rPr>
          <w:sz w:val="72"/>
          <w:szCs w:val="72"/>
          <w:highlight w:val="none"/>
        </w:rPr>
      </w:pPr>
    </w:p>
    <w:p w14:paraId="6BD6369C">
      <w:pPr>
        <w:jc w:val="center"/>
        <w:rPr>
          <w:sz w:val="72"/>
          <w:szCs w:val="72"/>
          <w:highlight w:val="none"/>
        </w:rPr>
      </w:pPr>
    </w:p>
    <w:p w14:paraId="04C716ED">
      <w:pPr>
        <w:rPr>
          <w:rFonts w:hint="eastAsia" w:ascii="方正小标宋_GBK" w:hAnsi="方正小标宋_GBK" w:eastAsia="方正小标宋_GBK" w:cs="方正小标宋_GBK"/>
          <w:sz w:val="72"/>
          <w:szCs w:val="72"/>
          <w:highlight w:val="none"/>
        </w:rPr>
      </w:pPr>
    </w:p>
    <w:p w14:paraId="1E9EE373">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48F9E423">
      <w:pPr>
        <w:pStyle w:val="10"/>
        <w:jc w:val="center"/>
        <w:rPr>
          <w:rFonts w:hint="eastAsia" w:ascii="方正小标宋_GBK" w:hAnsi="方正小标宋_GBK" w:eastAsia="方正小标宋_GBK" w:cs="方正小标宋_GBK"/>
          <w:sz w:val="84"/>
          <w:szCs w:val="84"/>
          <w:highlight w:val="none"/>
        </w:rPr>
      </w:pPr>
    </w:p>
    <w:p w14:paraId="2373F9F9">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怀化市武陵中学</w:t>
      </w:r>
      <w:r>
        <w:rPr>
          <w:rFonts w:hint="eastAsia" w:ascii="方正小标宋_GBK" w:hAnsi="方正小标宋_GBK" w:eastAsia="方正小标宋_GBK" w:cs="方正小标宋_GBK"/>
          <w:sz w:val="84"/>
          <w:szCs w:val="84"/>
          <w:highlight w:val="none"/>
        </w:rPr>
        <w:t>概况</w:t>
      </w:r>
    </w:p>
    <w:p w14:paraId="02423008">
      <w:pPr>
        <w:jc w:val="center"/>
        <w:rPr>
          <w:rFonts w:hint="eastAsia" w:ascii="方正小标宋_GBK" w:hAnsi="方正小标宋_GBK" w:eastAsia="方正小标宋_GBK" w:cs="方正小标宋_GBK"/>
          <w:sz w:val="72"/>
          <w:szCs w:val="72"/>
          <w:highlight w:val="none"/>
        </w:rPr>
      </w:pPr>
    </w:p>
    <w:p w14:paraId="102EA07F">
      <w:pPr>
        <w:jc w:val="center"/>
        <w:rPr>
          <w:rFonts w:hint="eastAsia" w:ascii="方正小标宋_GBK" w:hAnsi="方正小标宋_GBK" w:eastAsia="方正小标宋_GBK" w:cs="方正小标宋_GBK"/>
          <w:sz w:val="72"/>
          <w:szCs w:val="72"/>
          <w:highlight w:val="none"/>
        </w:rPr>
      </w:pPr>
    </w:p>
    <w:p w14:paraId="3362BF9A">
      <w:pPr>
        <w:jc w:val="center"/>
        <w:rPr>
          <w:sz w:val="72"/>
          <w:szCs w:val="72"/>
          <w:highlight w:val="none"/>
        </w:rPr>
      </w:pPr>
    </w:p>
    <w:p w14:paraId="622CCDC2">
      <w:pPr>
        <w:jc w:val="center"/>
        <w:rPr>
          <w:sz w:val="72"/>
          <w:szCs w:val="72"/>
          <w:highlight w:val="none"/>
        </w:rPr>
      </w:pPr>
    </w:p>
    <w:p w14:paraId="027ACB3F">
      <w:pPr>
        <w:pStyle w:val="2"/>
        <w:rPr>
          <w:highlight w:val="none"/>
        </w:rPr>
      </w:pPr>
    </w:p>
    <w:p w14:paraId="42AEC034">
      <w:pPr>
        <w:jc w:val="center"/>
        <w:rPr>
          <w:sz w:val="72"/>
          <w:szCs w:val="72"/>
          <w:highlight w:val="none"/>
        </w:rPr>
      </w:pPr>
    </w:p>
    <w:p w14:paraId="3B7AABB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lang w:val="en-US" w:eastAsia="zh-CN"/>
        </w:rPr>
        <w:t>一、</w:t>
      </w:r>
      <w:r>
        <w:rPr>
          <w:rFonts w:hint="eastAsia" w:ascii="方正仿宋_GB2312" w:hAnsi="方正仿宋_GB2312" w:eastAsia="方正仿宋_GB2312" w:cs="方正仿宋_GB2312"/>
          <w:b w:val="0"/>
          <w:bCs/>
          <w:sz w:val="32"/>
          <w:szCs w:val="32"/>
          <w:highlight w:val="none"/>
        </w:rPr>
        <w:t>部门职责</w:t>
      </w:r>
    </w:p>
    <w:p w14:paraId="71FFBC3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我校是一所义务制教育初级中学，主要职能是教育教学，培养学生德、智、体、美、劳全面发展，成为品德优秀，思想端正的优秀人才。</w:t>
      </w:r>
    </w:p>
    <w:p w14:paraId="7EC1E9B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二、机构设置及决算单位构成</w:t>
      </w:r>
    </w:p>
    <w:p w14:paraId="39AFEE4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（一）内设机构设置。怀化市武陵中学内设机构包括：共分三个年级组，58个教学班，内设行政办公室、教务室、教研室、德育室、总务室、督导室共6个科室。</w:t>
      </w:r>
    </w:p>
    <w:p w14:paraId="5DB0C3DD">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（二）决算单位构成。怀化市武陵中学202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年部门决算汇总公开单位构成包括：怀化市武陵中学本级</w:t>
      </w:r>
      <w:r>
        <w:rPr>
          <w:rFonts w:hint="eastAsia" w:ascii="仿宋_GB2312" w:hAnsi="仿宋_GB2312" w:eastAsia="仿宋_GB2312" w:cs="仿宋_GB2312"/>
          <w:sz w:val="32"/>
          <w:szCs w:val="32"/>
          <w:highlight w:val="none"/>
          <w:lang w:eastAsia="zh-CN"/>
        </w:rPr>
        <w:t>。</w:t>
      </w:r>
    </w:p>
    <w:p w14:paraId="0BFC989E">
      <w:pPr>
        <w:widowControl/>
        <w:spacing w:line="600" w:lineRule="exact"/>
        <w:rPr>
          <w:rFonts w:hint="eastAsia" w:ascii="Times New Roman" w:hAnsi="Times New Roman" w:eastAsia="仿宋_GB2312" w:cs="仿宋_GB2312"/>
          <w:bCs/>
          <w:kern w:val="0"/>
          <w:sz w:val="32"/>
          <w:szCs w:val="32"/>
          <w:highlight w:val="none"/>
        </w:rPr>
      </w:pPr>
    </w:p>
    <w:p w14:paraId="75E0DFAA">
      <w:pPr>
        <w:jc w:val="left"/>
        <w:rPr>
          <w:rFonts w:ascii="仿宋_GB2312" w:eastAsia="仿宋_GB2312" w:hAnsiTheme="minorEastAsia"/>
          <w:sz w:val="28"/>
          <w:szCs w:val="32"/>
          <w:highlight w:val="none"/>
        </w:rPr>
      </w:pPr>
    </w:p>
    <w:p w14:paraId="46982311">
      <w:pPr>
        <w:jc w:val="center"/>
        <w:rPr>
          <w:rFonts w:ascii="黑体" w:hAnsi="黑体" w:eastAsia="黑体"/>
          <w:sz w:val="28"/>
          <w:szCs w:val="28"/>
          <w:highlight w:val="none"/>
        </w:rPr>
      </w:pPr>
    </w:p>
    <w:p w14:paraId="0EC61390">
      <w:pPr>
        <w:jc w:val="center"/>
        <w:rPr>
          <w:rFonts w:ascii="黑体" w:hAnsi="黑体" w:eastAsia="黑体"/>
          <w:sz w:val="28"/>
          <w:szCs w:val="28"/>
          <w:highlight w:val="none"/>
        </w:rPr>
      </w:pPr>
    </w:p>
    <w:p w14:paraId="101E7E1D">
      <w:pPr>
        <w:jc w:val="center"/>
        <w:rPr>
          <w:rFonts w:ascii="黑体" w:hAnsi="黑体" w:eastAsia="黑体"/>
          <w:sz w:val="28"/>
          <w:szCs w:val="28"/>
          <w:highlight w:val="none"/>
        </w:rPr>
      </w:pPr>
    </w:p>
    <w:p w14:paraId="6B2B4A1B">
      <w:pPr>
        <w:jc w:val="center"/>
        <w:rPr>
          <w:rFonts w:ascii="黑体" w:hAnsi="黑体" w:eastAsia="黑体"/>
          <w:sz w:val="28"/>
          <w:szCs w:val="28"/>
          <w:highlight w:val="none"/>
        </w:rPr>
      </w:pPr>
    </w:p>
    <w:p w14:paraId="2776CDBC">
      <w:pPr>
        <w:jc w:val="center"/>
        <w:rPr>
          <w:rFonts w:ascii="黑体" w:hAnsi="黑体" w:eastAsia="黑体"/>
          <w:sz w:val="28"/>
          <w:szCs w:val="28"/>
          <w:highlight w:val="none"/>
        </w:rPr>
      </w:pPr>
    </w:p>
    <w:p w14:paraId="2C3C6397">
      <w:pPr>
        <w:jc w:val="center"/>
        <w:rPr>
          <w:rFonts w:ascii="黑体" w:hAnsi="黑体" w:eastAsia="黑体"/>
          <w:sz w:val="28"/>
          <w:szCs w:val="28"/>
          <w:highlight w:val="none"/>
        </w:rPr>
      </w:pPr>
    </w:p>
    <w:p w14:paraId="42CBF475">
      <w:pPr>
        <w:jc w:val="center"/>
        <w:rPr>
          <w:rFonts w:ascii="黑体" w:hAnsi="黑体" w:eastAsia="黑体"/>
          <w:sz w:val="28"/>
          <w:szCs w:val="28"/>
          <w:highlight w:val="none"/>
        </w:rPr>
      </w:pPr>
    </w:p>
    <w:p w14:paraId="614A8470">
      <w:pPr>
        <w:jc w:val="center"/>
        <w:rPr>
          <w:rFonts w:ascii="黑体" w:hAnsi="黑体" w:eastAsia="黑体"/>
          <w:sz w:val="28"/>
          <w:szCs w:val="28"/>
          <w:highlight w:val="none"/>
        </w:rPr>
      </w:pPr>
    </w:p>
    <w:p w14:paraId="587D2C73">
      <w:pPr>
        <w:jc w:val="center"/>
        <w:rPr>
          <w:rFonts w:ascii="黑体" w:hAnsi="黑体" w:eastAsia="黑体"/>
          <w:sz w:val="28"/>
          <w:szCs w:val="28"/>
          <w:highlight w:val="none"/>
        </w:rPr>
      </w:pPr>
    </w:p>
    <w:p w14:paraId="61FC5F2A">
      <w:pPr>
        <w:jc w:val="center"/>
        <w:rPr>
          <w:rFonts w:ascii="黑体" w:hAnsi="黑体" w:eastAsia="黑体"/>
          <w:sz w:val="28"/>
          <w:szCs w:val="28"/>
          <w:highlight w:val="none"/>
        </w:rPr>
      </w:pPr>
    </w:p>
    <w:p w14:paraId="13F86123">
      <w:pPr>
        <w:jc w:val="center"/>
        <w:rPr>
          <w:rFonts w:ascii="黑体" w:hAnsi="黑体" w:eastAsia="黑体"/>
          <w:sz w:val="28"/>
          <w:szCs w:val="28"/>
          <w:highlight w:val="none"/>
        </w:rPr>
      </w:pPr>
    </w:p>
    <w:p w14:paraId="711170EB">
      <w:pPr>
        <w:jc w:val="center"/>
        <w:rPr>
          <w:rFonts w:ascii="黑体" w:hAnsi="黑体" w:eastAsia="黑体"/>
          <w:sz w:val="28"/>
          <w:szCs w:val="28"/>
          <w:highlight w:val="none"/>
        </w:rPr>
      </w:pPr>
    </w:p>
    <w:p w14:paraId="7184E060">
      <w:pPr>
        <w:jc w:val="center"/>
        <w:rPr>
          <w:sz w:val="72"/>
          <w:szCs w:val="72"/>
          <w:highlight w:val="none"/>
        </w:rPr>
      </w:pPr>
    </w:p>
    <w:p w14:paraId="7EE675F7">
      <w:pPr>
        <w:jc w:val="center"/>
        <w:rPr>
          <w:sz w:val="72"/>
          <w:szCs w:val="72"/>
          <w:highlight w:val="none"/>
        </w:rPr>
      </w:pPr>
    </w:p>
    <w:p w14:paraId="6B990F7E">
      <w:pPr>
        <w:jc w:val="center"/>
        <w:rPr>
          <w:sz w:val="72"/>
          <w:szCs w:val="72"/>
          <w:highlight w:val="none"/>
        </w:rPr>
      </w:pPr>
    </w:p>
    <w:p w14:paraId="519176EF">
      <w:pPr>
        <w:jc w:val="center"/>
        <w:rPr>
          <w:sz w:val="72"/>
          <w:szCs w:val="72"/>
          <w:highlight w:val="none"/>
        </w:rPr>
      </w:pPr>
    </w:p>
    <w:p w14:paraId="6DF25D84">
      <w:pPr>
        <w:pStyle w:val="10"/>
        <w:jc w:val="center"/>
        <w:rPr>
          <w:rFonts w:hint="eastAsia" w:ascii="方正小标宋_GBK" w:hAnsi="方正小标宋_GBK" w:eastAsia="方正小标宋_GBK" w:cs="方正小标宋_GBK"/>
          <w:sz w:val="84"/>
          <w:szCs w:val="84"/>
          <w:highlight w:val="none"/>
        </w:rPr>
      </w:pPr>
    </w:p>
    <w:p w14:paraId="6C5B3BBE">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04CCA6ED">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3839028E">
      <w:pPr>
        <w:pStyle w:val="10"/>
        <w:jc w:val="center"/>
        <w:rPr>
          <w:rFonts w:hint="eastAsia" w:ascii="方正小标宋_GBK" w:hAnsi="方正小标宋_GBK" w:eastAsia="方正小标宋_GBK" w:cs="方正小标宋_GBK"/>
          <w:sz w:val="84"/>
          <w:szCs w:val="84"/>
          <w:highlight w:val="none"/>
          <w:lang w:val="en-US" w:eastAsia="zh-CN"/>
        </w:rPr>
      </w:pPr>
    </w:p>
    <w:p w14:paraId="1285A81E">
      <w:pPr>
        <w:pStyle w:val="10"/>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见附件</w:t>
      </w:r>
    </w:p>
    <w:p w14:paraId="32D6F1B4">
      <w:pPr>
        <w:jc w:val="center"/>
        <w:rPr>
          <w:sz w:val="72"/>
          <w:szCs w:val="72"/>
          <w:highlight w:val="none"/>
        </w:rPr>
      </w:pPr>
    </w:p>
    <w:p w14:paraId="416A7CD3">
      <w:pPr>
        <w:jc w:val="center"/>
        <w:rPr>
          <w:sz w:val="72"/>
          <w:szCs w:val="72"/>
          <w:highlight w:val="none"/>
        </w:rPr>
      </w:pPr>
    </w:p>
    <w:p w14:paraId="7C10BE91">
      <w:pPr>
        <w:jc w:val="center"/>
        <w:rPr>
          <w:sz w:val="72"/>
          <w:szCs w:val="72"/>
          <w:highlight w:val="none"/>
        </w:rPr>
      </w:pPr>
    </w:p>
    <w:p w14:paraId="3B496D56">
      <w:pPr>
        <w:jc w:val="center"/>
        <w:rPr>
          <w:sz w:val="72"/>
          <w:szCs w:val="72"/>
          <w:highlight w:val="none"/>
        </w:rPr>
      </w:pPr>
    </w:p>
    <w:p w14:paraId="40D01644">
      <w:pPr>
        <w:jc w:val="center"/>
        <w:rPr>
          <w:sz w:val="72"/>
          <w:szCs w:val="72"/>
          <w:highlight w:val="none"/>
        </w:rPr>
      </w:pPr>
    </w:p>
    <w:p w14:paraId="2242A0CA">
      <w:pPr>
        <w:pStyle w:val="10"/>
        <w:rPr>
          <w:sz w:val="72"/>
          <w:szCs w:val="72"/>
          <w:highlight w:val="none"/>
        </w:rPr>
      </w:pPr>
    </w:p>
    <w:p w14:paraId="091418D0">
      <w:pPr>
        <w:pStyle w:val="10"/>
        <w:rPr>
          <w:sz w:val="72"/>
          <w:szCs w:val="72"/>
          <w:highlight w:val="none"/>
        </w:rPr>
      </w:pPr>
    </w:p>
    <w:p w14:paraId="678E1677">
      <w:pPr>
        <w:pStyle w:val="10"/>
        <w:jc w:val="both"/>
        <w:rPr>
          <w:sz w:val="72"/>
          <w:szCs w:val="72"/>
          <w:highlight w:val="none"/>
        </w:rPr>
      </w:pPr>
    </w:p>
    <w:p w14:paraId="2204DFDB">
      <w:pPr>
        <w:pStyle w:val="10"/>
        <w:jc w:val="center"/>
        <w:rPr>
          <w:rFonts w:hint="eastAsia" w:ascii="方正小标宋_GBK" w:hAnsi="方正小标宋_GBK" w:eastAsia="方正小标宋_GBK" w:cs="方正小标宋_GBK"/>
          <w:sz w:val="72"/>
          <w:szCs w:val="72"/>
          <w:highlight w:val="none"/>
        </w:rPr>
      </w:pPr>
    </w:p>
    <w:p w14:paraId="1910EB18">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4C457F68">
      <w:pPr>
        <w:pStyle w:val="10"/>
        <w:jc w:val="center"/>
        <w:rPr>
          <w:rFonts w:hint="eastAsia" w:ascii="方正小标宋_GBK" w:hAnsi="方正小标宋_GBK" w:eastAsia="方正小标宋_GBK" w:cs="方正小标宋_GBK"/>
          <w:sz w:val="84"/>
          <w:szCs w:val="84"/>
          <w:highlight w:val="none"/>
        </w:rPr>
      </w:pPr>
    </w:p>
    <w:p w14:paraId="05A79837">
      <w:pPr>
        <w:pStyle w:val="10"/>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年度部门决算情况说明</w:t>
      </w:r>
    </w:p>
    <w:p w14:paraId="1BE47EC5">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12E5CC3F">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一、收入支出决算总体情况说明</w:t>
      </w:r>
    </w:p>
    <w:p w14:paraId="5E338DD6">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年度收、支总计</w:t>
      </w:r>
      <w:r>
        <w:rPr>
          <w:rFonts w:hint="eastAsia" w:ascii="仿宋_GB2312" w:hAnsi="仿宋_GB2312" w:eastAsia="仿宋_GB2312" w:cs="仿宋_GB2312"/>
          <w:sz w:val="32"/>
          <w:szCs w:val="32"/>
          <w:highlight w:val="none"/>
          <w:lang w:val="en-US" w:eastAsia="zh-CN"/>
        </w:rPr>
        <w:t>均为4885.71</w:t>
      </w:r>
      <w:r>
        <w:rPr>
          <w:rFonts w:hint="eastAsia" w:ascii="仿宋_GB2312" w:hAnsi="仿宋_GB2312" w:eastAsia="仿宋_GB2312" w:cs="仿宋_GB2312"/>
          <w:sz w:val="32"/>
          <w:szCs w:val="32"/>
          <w:highlight w:val="none"/>
        </w:rPr>
        <w:t>万元。与上年相比，增加</w:t>
      </w:r>
      <w:r>
        <w:rPr>
          <w:rFonts w:hint="eastAsia" w:ascii="仿宋_GB2312" w:hAnsi="仿宋_GB2312" w:eastAsia="仿宋_GB2312" w:cs="仿宋_GB2312"/>
          <w:sz w:val="32"/>
          <w:szCs w:val="32"/>
          <w:highlight w:val="none"/>
          <w:lang w:val="en-US" w:eastAsia="zh-CN"/>
        </w:rPr>
        <w:t>857.38</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21.28</w:t>
      </w:r>
      <w:r>
        <w:rPr>
          <w:rFonts w:hint="eastAsia" w:ascii="仿宋_GB2312" w:hAnsi="仿宋_GB2312" w:eastAsia="仿宋_GB2312" w:cs="仿宋_GB2312"/>
          <w:sz w:val="32"/>
          <w:szCs w:val="32"/>
          <w:highlight w:val="none"/>
        </w:rPr>
        <w:t>%，主要是因为</w:t>
      </w:r>
      <w:r>
        <w:rPr>
          <w:rFonts w:hint="eastAsia" w:ascii="仿宋_GB2312" w:hAnsi="仿宋_GB2312" w:eastAsia="仿宋_GB2312" w:cs="仿宋_GB2312"/>
          <w:sz w:val="32"/>
          <w:szCs w:val="32"/>
          <w:highlight w:val="none"/>
          <w:lang w:val="en-US" w:eastAsia="zh-CN"/>
        </w:rPr>
        <w:t>课后服务费、校园维修改造及设备采购等收入增加。</w:t>
      </w:r>
    </w:p>
    <w:p w14:paraId="6F99A3B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二、收入决算情况说明</w:t>
      </w:r>
    </w:p>
    <w:p w14:paraId="380E1A2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年度收入合计</w:t>
      </w:r>
      <w:r>
        <w:rPr>
          <w:rFonts w:hint="eastAsia" w:ascii="仿宋_GB2312" w:hAnsi="仿宋_GB2312" w:eastAsia="仿宋_GB2312" w:cs="仿宋_GB2312"/>
          <w:sz w:val="32"/>
          <w:szCs w:val="32"/>
          <w:highlight w:val="none"/>
          <w:lang w:val="en-US" w:eastAsia="zh-CN"/>
        </w:rPr>
        <w:t>4885.71</w:t>
      </w:r>
      <w:r>
        <w:rPr>
          <w:rFonts w:hint="eastAsia" w:ascii="仿宋_GB2312" w:hAnsi="仿宋_GB2312" w:eastAsia="仿宋_GB2312" w:cs="仿宋_GB2312"/>
          <w:sz w:val="32"/>
          <w:szCs w:val="32"/>
          <w:highlight w:val="none"/>
        </w:rPr>
        <w:t>万元，其中：财政拨款收入</w:t>
      </w:r>
      <w:r>
        <w:rPr>
          <w:rFonts w:hint="eastAsia" w:ascii="仿宋_GB2312" w:hAnsi="仿宋_GB2312" w:eastAsia="仿宋_GB2312" w:cs="仿宋_GB2312"/>
          <w:sz w:val="32"/>
          <w:szCs w:val="32"/>
          <w:highlight w:val="none"/>
          <w:lang w:val="en-US" w:eastAsia="zh-CN"/>
        </w:rPr>
        <w:t>3981.13</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81.49</w:t>
      </w:r>
      <w:r>
        <w:rPr>
          <w:rFonts w:hint="eastAsia" w:ascii="仿宋_GB2312" w:hAnsi="仿宋_GB2312" w:eastAsia="仿宋_GB2312" w:cs="仿宋_GB2312"/>
          <w:sz w:val="32"/>
          <w:szCs w:val="32"/>
          <w:highlight w:val="none"/>
        </w:rPr>
        <w:t>%；事业收入</w:t>
      </w:r>
      <w:r>
        <w:rPr>
          <w:rFonts w:hint="eastAsia" w:ascii="仿宋_GB2312" w:hAnsi="仿宋_GB2312" w:eastAsia="仿宋_GB2312" w:cs="仿宋_GB2312"/>
          <w:sz w:val="32"/>
          <w:szCs w:val="32"/>
          <w:highlight w:val="none"/>
          <w:lang w:val="en-US" w:eastAsia="zh-CN"/>
        </w:rPr>
        <w:t>904.57</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18.51</w:t>
      </w:r>
      <w:r>
        <w:rPr>
          <w:rFonts w:hint="eastAsia" w:ascii="仿宋_GB2312" w:hAnsi="仿宋_GB2312" w:eastAsia="仿宋_GB2312" w:cs="仿宋_GB2312"/>
          <w:sz w:val="32"/>
          <w:szCs w:val="32"/>
          <w:highlight w:val="none"/>
        </w:rPr>
        <w:t>%。</w:t>
      </w:r>
    </w:p>
    <w:p w14:paraId="323F86D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三、支出决算情况说明</w:t>
      </w:r>
    </w:p>
    <w:p w14:paraId="6DBA8A7D">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年度支出合计</w:t>
      </w:r>
      <w:r>
        <w:rPr>
          <w:rFonts w:hint="eastAsia" w:ascii="仿宋_GB2312" w:hAnsi="仿宋_GB2312" w:eastAsia="仿宋_GB2312" w:cs="仿宋_GB2312"/>
          <w:sz w:val="32"/>
          <w:szCs w:val="32"/>
          <w:highlight w:val="none"/>
          <w:lang w:val="en-US" w:eastAsia="zh-CN"/>
        </w:rPr>
        <w:t>4885.71</w:t>
      </w:r>
      <w:r>
        <w:rPr>
          <w:rFonts w:hint="eastAsia" w:ascii="仿宋_GB2312" w:hAnsi="仿宋_GB2312" w:eastAsia="仿宋_GB2312" w:cs="仿宋_GB2312"/>
          <w:sz w:val="32"/>
          <w:szCs w:val="32"/>
          <w:highlight w:val="none"/>
        </w:rPr>
        <w:t>万元，其中：基本支出</w:t>
      </w:r>
      <w:r>
        <w:rPr>
          <w:rFonts w:hint="eastAsia" w:ascii="仿宋_GB2312" w:hAnsi="仿宋_GB2312" w:eastAsia="仿宋_GB2312" w:cs="仿宋_GB2312"/>
          <w:sz w:val="32"/>
          <w:szCs w:val="32"/>
          <w:highlight w:val="none"/>
          <w:lang w:val="en-US" w:eastAsia="zh-CN"/>
        </w:rPr>
        <w:t>4288.73</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87.78</w:t>
      </w:r>
      <w:r>
        <w:rPr>
          <w:rFonts w:hint="eastAsia" w:ascii="仿宋_GB2312" w:hAnsi="仿宋_GB2312" w:eastAsia="仿宋_GB2312" w:cs="仿宋_GB2312"/>
          <w:sz w:val="32"/>
          <w:szCs w:val="32"/>
          <w:highlight w:val="none"/>
        </w:rPr>
        <w:t>%；项目支出</w:t>
      </w:r>
      <w:r>
        <w:rPr>
          <w:rFonts w:hint="eastAsia" w:ascii="仿宋_GB2312" w:hAnsi="仿宋_GB2312" w:eastAsia="仿宋_GB2312" w:cs="仿宋_GB2312"/>
          <w:sz w:val="32"/>
          <w:szCs w:val="32"/>
          <w:highlight w:val="none"/>
          <w:lang w:val="en-US" w:eastAsia="zh-CN"/>
        </w:rPr>
        <w:t>596.97</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12.22</w:t>
      </w:r>
      <w:r>
        <w:rPr>
          <w:rFonts w:hint="eastAsia" w:ascii="仿宋_GB2312" w:hAnsi="仿宋_GB2312" w:eastAsia="仿宋_GB2312" w:cs="仿宋_GB2312"/>
          <w:sz w:val="32"/>
          <w:szCs w:val="32"/>
          <w:highlight w:val="none"/>
        </w:rPr>
        <w:t>%。</w:t>
      </w:r>
    </w:p>
    <w:p w14:paraId="69887F2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四、财政拨款收入支出决算总体情况说明</w:t>
      </w:r>
    </w:p>
    <w:p w14:paraId="3111C62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年度财政拨款收、支总计</w:t>
      </w:r>
      <w:r>
        <w:rPr>
          <w:rFonts w:hint="eastAsia" w:ascii="仿宋_GB2312" w:hAnsi="仿宋_GB2312" w:eastAsia="仿宋_GB2312" w:cs="仿宋_GB2312"/>
          <w:sz w:val="32"/>
          <w:szCs w:val="32"/>
          <w:highlight w:val="none"/>
          <w:lang w:val="en-US" w:eastAsia="zh-CN"/>
        </w:rPr>
        <w:t>均为3981.13</w:t>
      </w:r>
      <w:r>
        <w:rPr>
          <w:rFonts w:hint="eastAsia" w:ascii="仿宋_GB2312" w:hAnsi="仿宋_GB2312" w:eastAsia="仿宋_GB2312" w:cs="仿宋_GB2312"/>
          <w:sz w:val="32"/>
          <w:szCs w:val="32"/>
          <w:highlight w:val="none"/>
        </w:rPr>
        <w:t>万元，与上年相比，增加</w:t>
      </w:r>
      <w:r>
        <w:rPr>
          <w:rFonts w:hint="eastAsia" w:ascii="仿宋_GB2312" w:hAnsi="仿宋_GB2312" w:eastAsia="仿宋_GB2312" w:cs="仿宋_GB2312"/>
          <w:sz w:val="32"/>
          <w:szCs w:val="32"/>
          <w:highlight w:val="none"/>
          <w:lang w:val="en-US" w:eastAsia="zh-CN"/>
        </w:rPr>
        <w:t>452.63</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增长</w:t>
      </w:r>
      <w:r>
        <w:rPr>
          <w:rFonts w:hint="eastAsia" w:ascii="仿宋_GB2312" w:hAnsi="仿宋_GB2312" w:eastAsia="仿宋_GB2312" w:cs="仿宋_GB2312"/>
          <w:sz w:val="32"/>
          <w:szCs w:val="32"/>
          <w:highlight w:val="none"/>
          <w:lang w:val="en-US" w:eastAsia="zh-CN"/>
        </w:rPr>
        <w:t>12.83</w:t>
      </w:r>
      <w:r>
        <w:rPr>
          <w:rFonts w:hint="eastAsia" w:ascii="仿宋_GB2312" w:hAnsi="仿宋_GB2312" w:eastAsia="仿宋_GB2312" w:cs="仿宋_GB2312"/>
          <w:sz w:val="32"/>
          <w:szCs w:val="32"/>
          <w:highlight w:val="none"/>
        </w:rPr>
        <w:t>%，主要是因为</w:t>
      </w:r>
      <w:r>
        <w:rPr>
          <w:rFonts w:hint="eastAsia" w:ascii="仿宋_GB2312" w:hAnsi="仿宋_GB2312" w:eastAsia="仿宋_GB2312" w:cs="仿宋_GB2312"/>
          <w:sz w:val="32"/>
          <w:szCs w:val="32"/>
          <w:highlight w:val="none"/>
          <w:lang w:eastAsia="zh-CN"/>
        </w:rPr>
        <w:t>人员社保类支出增加。</w:t>
      </w:r>
    </w:p>
    <w:p w14:paraId="4E06F59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五、一般公共预算财政拨款支出决算情况说明</w:t>
      </w:r>
    </w:p>
    <w:p w14:paraId="6482348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（一）财政拨款支出决算总体情况</w:t>
      </w:r>
    </w:p>
    <w:p w14:paraId="18D4FC3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w:t>
      </w:r>
      <w:r>
        <w:rPr>
          <w:rFonts w:hint="eastAsia" w:ascii="仿宋_GB2312" w:hAnsi="仿宋_GB2312" w:eastAsia="仿宋_GB2312" w:cs="仿宋_GB2312"/>
          <w:sz w:val="32"/>
          <w:szCs w:val="32"/>
          <w:highlight w:val="none"/>
          <w:lang w:val="en-US" w:eastAsia="zh-CN"/>
        </w:rPr>
        <w:t>3981.13</w:t>
      </w:r>
      <w:r>
        <w:rPr>
          <w:rFonts w:hint="eastAsia" w:ascii="仿宋_GB2312" w:hAnsi="仿宋_GB2312" w:eastAsia="仿宋_GB2312" w:cs="仿宋_GB2312"/>
          <w:sz w:val="32"/>
          <w:szCs w:val="32"/>
          <w:highlight w:val="none"/>
        </w:rPr>
        <w:t>万元，占本年支出合计的</w:t>
      </w:r>
      <w:r>
        <w:rPr>
          <w:rFonts w:hint="eastAsia" w:ascii="仿宋_GB2312" w:hAnsi="仿宋_GB2312" w:eastAsia="仿宋_GB2312" w:cs="仿宋_GB2312"/>
          <w:sz w:val="32"/>
          <w:szCs w:val="32"/>
          <w:highlight w:val="none"/>
          <w:lang w:val="en-US" w:eastAsia="zh-CN"/>
        </w:rPr>
        <w:t>81.49</w:t>
      </w:r>
      <w:r>
        <w:rPr>
          <w:rFonts w:hint="eastAsia" w:ascii="仿宋_GB2312" w:hAnsi="仿宋_GB2312" w:eastAsia="仿宋_GB2312" w:cs="仿宋_GB2312"/>
          <w:sz w:val="32"/>
          <w:szCs w:val="32"/>
          <w:highlight w:val="none"/>
        </w:rPr>
        <w:t>%，与上年相比，财政拨款支出增加</w:t>
      </w:r>
      <w:r>
        <w:rPr>
          <w:rFonts w:hint="eastAsia" w:ascii="仿宋_GB2312" w:hAnsi="仿宋_GB2312" w:eastAsia="仿宋_GB2312" w:cs="仿宋_GB2312"/>
          <w:sz w:val="32"/>
          <w:szCs w:val="32"/>
          <w:highlight w:val="none"/>
          <w:lang w:val="en-US" w:eastAsia="zh-CN"/>
        </w:rPr>
        <w:t>452.63</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12.83</w:t>
      </w:r>
      <w:r>
        <w:rPr>
          <w:rFonts w:hint="eastAsia" w:ascii="仿宋_GB2312" w:hAnsi="仿宋_GB2312" w:eastAsia="仿宋_GB2312" w:cs="仿宋_GB2312"/>
          <w:sz w:val="32"/>
          <w:szCs w:val="32"/>
          <w:highlight w:val="none"/>
        </w:rPr>
        <w:t>%，主要是因为</w:t>
      </w:r>
      <w:r>
        <w:rPr>
          <w:rFonts w:hint="eastAsia" w:ascii="仿宋_GB2312" w:hAnsi="仿宋_GB2312" w:eastAsia="仿宋_GB2312" w:cs="仿宋_GB2312"/>
          <w:sz w:val="32"/>
          <w:szCs w:val="32"/>
          <w:highlight w:val="none"/>
          <w:lang w:eastAsia="zh-CN"/>
        </w:rPr>
        <w:t>人员社保类支出增加。</w:t>
      </w:r>
    </w:p>
    <w:p w14:paraId="3A609FE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（二）财政拨款支出决算结构情况</w:t>
      </w:r>
    </w:p>
    <w:p w14:paraId="1CA0661D">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w:t>
      </w:r>
      <w:r>
        <w:rPr>
          <w:rFonts w:hint="eastAsia" w:ascii="仿宋_GB2312" w:hAnsi="仿宋_GB2312" w:eastAsia="仿宋_GB2312" w:cs="仿宋_GB2312"/>
          <w:sz w:val="32"/>
          <w:szCs w:val="32"/>
          <w:highlight w:val="none"/>
          <w:lang w:val="en-US" w:eastAsia="zh-CN"/>
        </w:rPr>
        <w:t>3981.13</w:t>
      </w:r>
      <w:r>
        <w:rPr>
          <w:rFonts w:hint="eastAsia" w:ascii="仿宋_GB2312" w:hAnsi="仿宋_GB2312" w:eastAsia="仿宋_GB2312" w:cs="仿宋_GB2312"/>
          <w:sz w:val="32"/>
          <w:szCs w:val="32"/>
          <w:highlight w:val="none"/>
        </w:rPr>
        <w:t>万元，主要用于以下方面：一般公共服务（类）支出</w:t>
      </w:r>
      <w:r>
        <w:rPr>
          <w:rFonts w:hint="eastAsia" w:ascii="仿宋_GB2312" w:hAnsi="仿宋_GB2312" w:eastAsia="仿宋_GB2312" w:cs="仿宋_GB2312"/>
          <w:sz w:val="32"/>
          <w:szCs w:val="32"/>
          <w:highlight w:val="none"/>
          <w:lang w:val="en-US" w:eastAsia="zh-CN"/>
        </w:rPr>
        <w:t>26.4</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0.66</w:t>
      </w:r>
      <w:r>
        <w:rPr>
          <w:rFonts w:hint="eastAsia" w:ascii="仿宋_GB2312" w:hAnsi="仿宋_GB2312" w:eastAsia="仿宋_GB2312" w:cs="仿宋_GB2312"/>
          <w:sz w:val="32"/>
          <w:szCs w:val="32"/>
          <w:highlight w:val="none"/>
        </w:rPr>
        <w:t>%；教育（类）支出</w:t>
      </w:r>
      <w:r>
        <w:rPr>
          <w:rFonts w:hint="eastAsia" w:ascii="仿宋_GB2312" w:hAnsi="仿宋_GB2312" w:eastAsia="仿宋_GB2312" w:cs="仿宋_GB2312"/>
          <w:sz w:val="32"/>
          <w:szCs w:val="32"/>
          <w:highlight w:val="none"/>
          <w:lang w:val="en-US" w:eastAsia="zh-CN"/>
        </w:rPr>
        <w:t>3385.32</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85.03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社会保障和就业支出（类）支出</w:t>
      </w:r>
      <w:r>
        <w:rPr>
          <w:rFonts w:hint="eastAsia" w:ascii="仿宋_GB2312" w:hAnsi="仿宋_GB2312" w:eastAsia="仿宋_GB2312" w:cs="仿宋_GB2312"/>
          <w:sz w:val="32"/>
          <w:szCs w:val="32"/>
          <w:highlight w:val="none"/>
          <w:lang w:val="en-US" w:eastAsia="zh-CN"/>
        </w:rPr>
        <w:t>364.06</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9.14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卫生健康支出（类）支出</w:t>
      </w:r>
      <w:r>
        <w:rPr>
          <w:rFonts w:hint="eastAsia" w:ascii="仿宋_GB2312" w:hAnsi="仿宋_GB2312" w:eastAsia="仿宋_GB2312" w:cs="仿宋_GB2312"/>
          <w:sz w:val="32"/>
          <w:szCs w:val="32"/>
          <w:highlight w:val="none"/>
          <w:lang w:val="en-US" w:eastAsia="zh-CN"/>
        </w:rPr>
        <w:t>132.23</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3.32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住房保障支出（类）支出</w:t>
      </w:r>
      <w:r>
        <w:rPr>
          <w:rFonts w:hint="eastAsia" w:ascii="仿宋_GB2312" w:hAnsi="仿宋_GB2312" w:eastAsia="仿宋_GB2312" w:cs="仿宋_GB2312"/>
          <w:sz w:val="32"/>
          <w:szCs w:val="32"/>
          <w:highlight w:val="none"/>
          <w:lang w:val="en-US" w:eastAsia="zh-CN"/>
        </w:rPr>
        <w:t>73.12</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1.85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14:paraId="7892CA1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（三）财政拨款支出决算具体情况</w:t>
      </w:r>
    </w:p>
    <w:p w14:paraId="780B851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年度财政拨款支出年初预算数为</w:t>
      </w:r>
      <w:r>
        <w:rPr>
          <w:rFonts w:hint="eastAsia" w:ascii="仿宋_GB2312" w:hAnsi="仿宋_GB2312" w:eastAsia="仿宋_GB2312" w:cs="仿宋_GB2312"/>
          <w:sz w:val="32"/>
          <w:szCs w:val="32"/>
          <w:highlight w:val="none"/>
          <w:lang w:val="en-US" w:eastAsia="zh-CN"/>
        </w:rPr>
        <w:t>2528.65</w:t>
      </w:r>
      <w:r>
        <w:rPr>
          <w:rFonts w:hint="eastAsia" w:ascii="仿宋_GB2312" w:hAnsi="仿宋_GB2312" w:eastAsia="仿宋_GB2312" w:cs="仿宋_GB2312"/>
          <w:sz w:val="32"/>
          <w:szCs w:val="32"/>
          <w:highlight w:val="none"/>
        </w:rPr>
        <w:t>万元，支出决算数为</w:t>
      </w:r>
      <w:r>
        <w:rPr>
          <w:rFonts w:hint="eastAsia" w:ascii="仿宋_GB2312" w:hAnsi="仿宋_GB2312" w:eastAsia="仿宋_GB2312" w:cs="仿宋_GB2312"/>
          <w:sz w:val="32"/>
          <w:szCs w:val="32"/>
          <w:highlight w:val="none"/>
          <w:lang w:val="en-US" w:eastAsia="zh-CN"/>
        </w:rPr>
        <w:t>3981.13</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157.44</w:t>
      </w:r>
      <w:r>
        <w:rPr>
          <w:rFonts w:hint="eastAsia" w:ascii="仿宋_GB2312" w:hAnsi="仿宋_GB2312" w:eastAsia="仿宋_GB2312" w:cs="仿宋_GB2312"/>
          <w:sz w:val="32"/>
          <w:szCs w:val="32"/>
          <w:highlight w:val="none"/>
        </w:rPr>
        <w:t>%，其中：</w:t>
      </w:r>
    </w:p>
    <w:p w14:paraId="790FE72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1、一般公共服务（类）组织事务（款）其他组织事务支出（项）。</w:t>
      </w:r>
    </w:p>
    <w:p w14:paraId="77F5F50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26.4</w:t>
      </w:r>
      <w:r>
        <w:rPr>
          <w:rFonts w:hint="eastAsia" w:ascii="仿宋_GB2312" w:hAnsi="仿宋_GB2312" w:eastAsia="仿宋_GB2312" w:cs="仿宋_GB2312"/>
          <w:sz w:val="32"/>
          <w:szCs w:val="32"/>
          <w:highlight w:val="none"/>
        </w:rPr>
        <w:t>万元，决算数大于年初预算数的主要原因是：年初没做预算而实际增加了</w:t>
      </w:r>
      <w:r>
        <w:rPr>
          <w:rFonts w:hint="eastAsia" w:ascii="仿宋_GB2312" w:hAnsi="仿宋_GB2312" w:eastAsia="仿宋_GB2312" w:cs="仿宋_GB2312"/>
          <w:sz w:val="32"/>
          <w:szCs w:val="32"/>
          <w:highlight w:val="none"/>
          <w:lang w:eastAsia="zh-CN"/>
        </w:rPr>
        <w:t>。</w:t>
      </w:r>
    </w:p>
    <w:p w14:paraId="1269AB0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2、教育支出（类）普通教育（款）初中教育（项）。</w:t>
      </w:r>
    </w:p>
    <w:p w14:paraId="5F87A30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134.1</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2751.31</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2051.69</w:t>
      </w:r>
      <w:r>
        <w:rPr>
          <w:rFonts w:hint="eastAsia" w:ascii="仿宋_GB2312" w:hAnsi="仿宋_GB2312" w:eastAsia="仿宋_GB2312" w:cs="仿宋_GB2312"/>
          <w:sz w:val="32"/>
          <w:szCs w:val="32"/>
          <w:highlight w:val="none"/>
        </w:rPr>
        <w:t>%，决算数大于年初预算数的主要原因是：年初预算</w:t>
      </w:r>
      <w:r>
        <w:rPr>
          <w:rFonts w:hint="eastAsia" w:ascii="仿宋_GB2312" w:hAnsi="仿宋_GB2312" w:eastAsia="仿宋_GB2312" w:cs="仿宋_GB2312"/>
          <w:sz w:val="32"/>
          <w:szCs w:val="32"/>
          <w:highlight w:val="none"/>
          <w:lang w:eastAsia="zh-CN"/>
        </w:rPr>
        <w:t>功能科目与实际下达不一致。</w:t>
      </w:r>
    </w:p>
    <w:p w14:paraId="2D8868ED">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、教育支出（类）普通教育（款）高中教育（项）。</w:t>
      </w:r>
    </w:p>
    <w:p w14:paraId="38E384C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1766.8</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51.08</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2.89</w:t>
      </w:r>
      <w:r>
        <w:rPr>
          <w:rFonts w:hint="eastAsia" w:ascii="仿宋_GB2312" w:hAnsi="仿宋_GB2312" w:eastAsia="仿宋_GB2312" w:cs="仿宋_GB2312"/>
          <w:sz w:val="32"/>
          <w:szCs w:val="32"/>
          <w:highlight w:val="none"/>
        </w:rPr>
        <w:t>%，决算数小于年初预算数的主要原因是：年初预算</w:t>
      </w:r>
      <w:r>
        <w:rPr>
          <w:rFonts w:hint="eastAsia" w:ascii="仿宋_GB2312" w:hAnsi="仿宋_GB2312" w:eastAsia="仿宋_GB2312" w:cs="仿宋_GB2312"/>
          <w:sz w:val="32"/>
          <w:szCs w:val="32"/>
          <w:highlight w:val="none"/>
          <w:lang w:eastAsia="zh-CN"/>
        </w:rPr>
        <w:t>功能科目与实际下达不一致。</w:t>
      </w:r>
    </w:p>
    <w:p w14:paraId="60282396">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、教育支出（类）普通教育（款）其他普通教育支出（项）。</w:t>
      </w:r>
    </w:p>
    <w:p w14:paraId="6EE46A3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582.93</w:t>
      </w:r>
      <w:r>
        <w:rPr>
          <w:rFonts w:hint="eastAsia" w:ascii="仿宋_GB2312" w:hAnsi="仿宋_GB2312" w:eastAsia="仿宋_GB2312" w:cs="仿宋_GB2312"/>
          <w:sz w:val="32"/>
          <w:szCs w:val="32"/>
          <w:highlight w:val="none"/>
        </w:rPr>
        <w:t>万元，决算数大于年初预算数的主要原因是：年初没做预算而实际增加了</w:t>
      </w:r>
      <w:r>
        <w:rPr>
          <w:rFonts w:hint="eastAsia" w:ascii="仿宋_GB2312" w:hAnsi="仿宋_GB2312" w:eastAsia="仿宋_GB2312" w:cs="仿宋_GB2312"/>
          <w:sz w:val="32"/>
          <w:szCs w:val="32"/>
          <w:highlight w:val="none"/>
          <w:lang w:eastAsia="zh-CN"/>
        </w:rPr>
        <w:t>。</w:t>
      </w:r>
    </w:p>
    <w:p w14:paraId="3DB83BD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、社会保障和就业支出（类）行政事业单位养老支出（款）事业单位离退休（项）。</w:t>
      </w:r>
    </w:p>
    <w:p w14:paraId="055D4ACF">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6.19</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3.31</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53.47</w:t>
      </w:r>
      <w:r>
        <w:rPr>
          <w:rFonts w:hint="eastAsia" w:ascii="仿宋_GB2312" w:hAnsi="仿宋_GB2312" w:eastAsia="仿宋_GB2312" w:cs="仿宋_GB2312"/>
          <w:sz w:val="32"/>
          <w:szCs w:val="32"/>
          <w:highlight w:val="none"/>
        </w:rPr>
        <w:t>%，决算数小于年初预算数的主要原因是：</w:t>
      </w:r>
      <w:r>
        <w:rPr>
          <w:rFonts w:hint="eastAsia" w:ascii="仿宋_GB2312" w:hAnsi="仿宋_GB2312" w:eastAsia="仿宋_GB2312" w:cs="仿宋_GB2312"/>
          <w:sz w:val="32"/>
          <w:szCs w:val="32"/>
          <w:highlight w:val="none"/>
          <w:lang w:eastAsia="zh-CN"/>
        </w:rPr>
        <w:t>实际支出离退休费比预算少。</w:t>
      </w:r>
    </w:p>
    <w:p w14:paraId="7994C92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、社会保障和就业支出（类）行政事业单位养老支出（款）机关事业单位基本养老保险缴费支出（项）。</w:t>
      </w:r>
    </w:p>
    <w:p w14:paraId="3C320A9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272.46</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265.38</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97.40</w:t>
      </w:r>
      <w:r>
        <w:rPr>
          <w:rFonts w:hint="eastAsia" w:ascii="仿宋_GB2312" w:hAnsi="仿宋_GB2312" w:eastAsia="仿宋_GB2312" w:cs="仿宋_GB2312"/>
          <w:sz w:val="32"/>
          <w:szCs w:val="32"/>
          <w:highlight w:val="none"/>
        </w:rPr>
        <w:t>%，决算数小于年初预算数的主要原因是：</w:t>
      </w:r>
      <w:r>
        <w:rPr>
          <w:rFonts w:hint="eastAsia" w:ascii="仿宋_GB2312" w:hAnsi="仿宋_GB2312" w:eastAsia="仿宋_GB2312" w:cs="仿宋_GB2312"/>
          <w:sz w:val="32"/>
          <w:szCs w:val="32"/>
          <w:highlight w:val="none"/>
          <w:lang w:eastAsia="zh-CN"/>
        </w:rPr>
        <w:t>实际支出养老保险缴费比预算少。</w:t>
      </w:r>
    </w:p>
    <w:p w14:paraId="370065A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、社会保障和就业支出（类）行政事业单位养老支出（款）其他行政事业单位养老支出（项）。</w:t>
      </w:r>
    </w:p>
    <w:p w14:paraId="15A6ABA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95.38</w:t>
      </w:r>
      <w:r>
        <w:rPr>
          <w:rFonts w:hint="eastAsia" w:ascii="仿宋_GB2312" w:hAnsi="仿宋_GB2312" w:eastAsia="仿宋_GB2312" w:cs="仿宋_GB2312"/>
          <w:sz w:val="32"/>
          <w:szCs w:val="32"/>
          <w:highlight w:val="none"/>
        </w:rPr>
        <w:t>万元，决算数大于年初预算数的主要原因是：年初没做预算而实际增加了</w:t>
      </w:r>
      <w:r>
        <w:rPr>
          <w:rFonts w:hint="eastAsia" w:ascii="仿宋_GB2312" w:hAnsi="仿宋_GB2312" w:eastAsia="仿宋_GB2312" w:cs="仿宋_GB2312"/>
          <w:sz w:val="32"/>
          <w:szCs w:val="32"/>
          <w:highlight w:val="none"/>
          <w:lang w:eastAsia="zh-CN"/>
        </w:rPr>
        <w:t>。</w:t>
      </w:r>
    </w:p>
    <w:p w14:paraId="6B7FC6A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、卫生健康支出（类）行政事业单位医疗（款）行政单位医疗（项）。</w:t>
      </w:r>
    </w:p>
    <w:p w14:paraId="7D9D90F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132.23</w:t>
      </w:r>
      <w:r>
        <w:rPr>
          <w:rFonts w:hint="eastAsia" w:ascii="仿宋_GB2312" w:hAnsi="仿宋_GB2312" w:eastAsia="仿宋_GB2312" w:cs="仿宋_GB2312"/>
          <w:sz w:val="32"/>
          <w:szCs w:val="32"/>
          <w:highlight w:val="none"/>
        </w:rPr>
        <w:t>万元，决算数大于年初预算数的主要原因是：年初预算</w:t>
      </w:r>
      <w:r>
        <w:rPr>
          <w:rFonts w:hint="eastAsia" w:ascii="仿宋_GB2312" w:hAnsi="仿宋_GB2312" w:eastAsia="仿宋_GB2312" w:cs="仿宋_GB2312"/>
          <w:sz w:val="32"/>
          <w:szCs w:val="32"/>
          <w:highlight w:val="none"/>
          <w:lang w:eastAsia="zh-CN"/>
        </w:rPr>
        <w:t>功能科目与实际下达不一致。</w:t>
      </w:r>
    </w:p>
    <w:p w14:paraId="2F0DC866">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、卫生健康支出（类）行政事业单位医疗（款）事业单位医疗（项）。</w:t>
      </w:r>
    </w:p>
    <w:p w14:paraId="5D0047D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144.75</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万元，决算数小于年初预算数的主要原因是：年初预算</w:t>
      </w:r>
      <w:r>
        <w:rPr>
          <w:rFonts w:hint="eastAsia" w:ascii="仿宋_GB2312" w:hAnsi="仿宋_GB2312" w:eastAsia="仿宋_GB2312" w:cs="仿宋_GB2312"/>
          <w:sz w:val="32"/>
          <w:szCs w:val="32"/>
          <w:highlight w:val="none"/>
          <w:lang w:eastAsia="zh-CN"/>
        </w:rPr>
        <w:t>功能科目与实际下达不一致。</w:t>
      </w:r>
    </w:p>
    <w:p w14:paraId="54B6A0B6">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、住房保障支出（类）住房改革支出（款）住房公积金（项）。</w:t>
      </w:r>
    </w:p>
    <w:p w14:paraId="1241487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204.35</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73.12</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35.78</w:t>
      </w:r>
      <w:r>
        <w:rPr>
          <w:rFonts w:hint="eastAsia" w:ascii="仿宋_GB2312" w:hAnsi="仿宋_GB2312" w:eastAsia="仿宋_GB2312" w:cs="仿宋_GB2312"/>
          <w:sz w:val="32"/>
          <w:szCs w:val="32"/>
          <w:highlight w:val="none"/>
        </w:rPr>
        <w:t>%，决算数小于年初预算数的主要原因是：</w:t>
      </w:r>
      <w:r>
        <w:rPr>
          <w:rFonts w:hint="eastAsia" w:ascii="仿宋_GB2312" w:hAnsi="仿宋_GB2312" w:eastAsia="仿宋_GB2312" w:cs="仿宋_GB2312"/>
          <w:sz w:val="32"/>
          <w:szCs w:val="32"/>
          <w:highlight w:val="none"/>
          <w:lang w:eastAsia="zh-CN"/>
        </w:rPr>
        <w:t>实际缴纳住房公积金比年初预算少。</w:t>
      </w:r>
    </w:p>
    <w:p w14:paraId="1F97406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六、一般公共预算财政拨款基本支出决算情况说明</w:t>
      </w:r>
    </w:p>
    <w:p w14:paraId="1304ADE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年度财政拨款基本支出</w:t>
      </w:r>
      <w:r>
        <w:rPr>
          <w:rFonts w:hint="eastAsia" w:ascii="仿宋_GB2312" w:hAnsi="仿宋_GB2312" w:eastAsia="仿宋_GB2312" w:cs="仿宋_GB2312"/>
          <w:sz w:val="32"/>
          <w:szCs w:val="32"/>
          <w:highlight w:val="none"/>
          <w:lang w:val="en-US" w:eastAsia="zh-CN"/>
        </w:rPr>
        <w:t>3886.12</w:t>
      </w:r>
      <w:r>
        <w:rPr>
          <w:rFonts w:hint="eastAsia" w:ascii="仿宋_GB2312" w:hAnsi="仿宋_GB2312" w:eastAsia="仿宋_GB2312" w:cs="仿宋_GB2312"/>
          <w:sz w:val="32"/>
          <w:szCs w:val="32"/>
          <w:highlight w:val="none"/>
        </w:rPr>
        <w:t>万元，其中：</w:t>
      </w:r>
    </w:p>
    <w:p w14:paraId="28BFDB69">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人员经费</w:t>
      </w:r>
      <w:r>
        <w:rPr>
          <w:rFonts w:hint="eastAsia" w:ascii="仿宋_GB2312" w:hAnsi="仿宋_GB2312" w:eastAsia="仿宋_GB2312" w:cs="仿宋_GB2312"/>
          <w:sz w:val="32"/>
          <w:szCs w:val="32"/>
          <w:highlight w:val="none"/>
          <w:lang w:val="en-US" w:eastAsia="zh-CN"/>
        </w:rPr>
        <w:t>3511.72</w:t>
      </w:r>
      <w:r>
        <w:rPr>
          <w:rFonts w:hint="eastAsia" w:ascii="仿宋_GB2312" w:hAnsi="仿宋_GB2312" w:eastAsia="仿宋_GB2312" w:cs="仿宋_GB2312"/>
          <w:sz w:val="32"/>
          <w:szCs w:val="32"/>
          <w:highlight w:val="none"/>
        </w:rPr>
        <w:t>万元，占基本支出的</w:t>
      </w:r>
      <w:r>
        <w:rPr>
          <w:rFonts w:hint="eastAsia" w:ascii="仿宋_GB2312" w:hAnsi="仿宋_GB2312" w:eastAsia="仿宋_GB2312" w:cs="仿宋_GB2312"/>
          <w:sz w:val="32"/>
          <w:szCs w:val="32"/>
          <w:highlight w:val="none"/>
          <w:lang w:val="en-US" w:eastAsia="zh-CN"/>
        </w:rPr>
        <w:t>90.37</w:t>
      </w:r>
      <w:r>
        <w:rPr>
          <w:rFonts w:hint="eastAsia" w:ascii="仿宋_GB2312" w:hAnsi="仿宋_GB2312" w:eastAsia="仿宋_GB2312" w:cs="仿宋_GB2312"/>
          <w:sz w:val="32"/>
          <w:szCs w:val="32"/>
          <w:highlight w:val="none"/>
        </w:rPr>
        <w:t>%,主要包括基本工资、津贴补贴、奖金、伙食补助费</w:t>
      </w:r>
      <w:r>
        <w:rPr>
          <w:rFonts w:hint="eastAsia" w:ascii="仿宋_GB2312" w:hAnsi="仿宋_GB2312" w:eastAsia="仿宋_GB2312" w:cs="仿宋_GB2312"/>
          <w:sz w:val="32"/>
          <w:szCs w:val="32"/>
          <w:highlight w:val="none"/>
          <w:lang w:eastAsia="zh-CN"/>
        </w:rPr>
        <w:t>、机关事业单位基本养老保险缴费、职工基本医疗保险缴费、其他社会保障缴费、住房公积金、其他工资福利支出、抚恤金、生活补助、医疗费补助、其他对个人和家庭的补助。</w:t>
      </w:r>
    </w:p>
    <w:p w14:paraId="1614DDB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公用经费</w:t>
      </w:r>
      <w:r>
        <w:rPr>
          <w:rFonts w:hint="eastAsia" w:ascii="仿宋_GB2312" w:hAnsi="仿宋_GB2312" w:eastAsia="仿宋_GB2312" w:cs="仿宋_GB2312"/>
          <w:sz w:val="32"/>
          <w:szCs w:val="32"/>
          <w:highlight w:val="none"/>
          <w:lang w:val="en-US" w:eastAsia="zh-CN"/>
        </w:rPr>
        <w:t>374.4</w:t>
      </w:r>
      <w:r>
        <w:rPr>
          <w:rFonts w:hint="eastAsia" w:ascii="仿宋_GB2312" w:hAnsi="仿宋_GB2312" w:eastAsia="仿宋_GB2312" w:cs="仿宋_GB2312"/>
          <w:sz w:val="32"/>
          <w:szCs w:val="32"/>
          <w:highlight w:val="none"/>
        </w:rPr>
        <w:t>万元，占基本支出的</w:t>
      </w:r>
      <w:r>
        <w:rPr>
          <w:rFonts w:hint="eastAsia" w:ascii="仿宋_GB2312" w:hAnsi="仿宋_GB2312" w:eastAsia="仿宋_GB2312" w:cs="仿宋_GB2312"/>
          <w:sz w:val="32"/>
          <w:szCs w:val="32"/>
          <w:highlight w:val="none"/>
          <w:lang w:val="en-US" w:eastAsia="zh-CN"/>
        </w:rPr>
        <w:t>9.63</w:t>
      </w:r>
      <w:r>
        <w:rPr>
          <w:rFonts w:hint="eastAsia" w:ascii="仿宋_GB2312" w:hAnsi="仿宋_GB2312" w:eastAsia="仿宋_GB2312" w:cs="仿宋_GB2312"/>
          <w:sz w:val="32"/>
          <w:szCs w:val="32"/>
          <w:highlight w:val="none"/>
        </w:rPr>
        <w:t>%，主要包括办公费、印刷费、</w:t>
      </w:r>
      <w:r>
        <w:rPr>
          <w:rFonts w:hint="eastAsia" w:ascii="仿宋_GB2312" w:hAnsi="仿宋_GB2312" w:eastAsia="仿宋_GB2312" w:cs="仿宋_GB2312"/>
          <w:sz w:val="32"/>
          <w:szCs w:val="32"/>
          <w:highlight w:val="none"/>
          <w:lang w:eastAsia="zh-CN"/>
        </w:rPr>
        <w:t>水费、电费、邮电费、物业管理费、差旅费、维修（护）费、会议费、培训费、公务接待费、专用材料费、劳务费、委托业务费、工会经费、其他交通费用、其他商品和服务支出</w:t>
      </w:r>
      <w:r>
        <w:rPr>
          <w:rFonts w:hint="eastAsia" w:ascii="仿宋_GB2312" w:hAnsi="仿宋_GB2312" w:eastAsia="仿宋_GB2312" w:cs="仿宋_GB2312"/>
          <w:sz w:val="32"/>
          <w:szCs w:val="32"/>
          <w:highlight w:val="none"/>
        </w:rPr>
        <w:t>。</w:t>
      </w:r>
    </w:p>
    <w:p w14:paraId="7E73D63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七、财政拨款三公经费支出决算情况说明</w:t>
      </w:r>
    </w:p>
    <w:p w14:paraId="620EF3F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（一）“三公”经费财政拨款支出决算总体情况说明</w:t>
      </w:r>
    </w:p>
    <w:p w14:paraId="5099F15F">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“三公”经费财政拨款支出预算为</w:t>
      </w:r>
      <w:r>
        <w:rPr>
          <w:rFonts w:hint="eastAsia" w:ascii="仿宋_GB2312" w:hAnsi="仿宋_GB2312" w:eastAsia="仿宋_GB2312" w:cs="仿宋_GB2312"/>
          <w:sz w:val="32"/>
          <w:szCs w:val="32"/>
          <w:highlight w:val="none"/>
          <w:lang w:val="en-US" w:eastAsia="zh-CN"/>
        </w:rPr>
        <w:t>0.11</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0.03</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27.27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决算数小于预算数的主要原因是落实过“紧日子”要求，严格执行开支标准，厉行节约；与上年相比减少</w:t>
      </w:r>
      <w:r>
        <w:rPr>
          <w:rFonts w:hint="eastAsia" w:ascii="仿宋_GB2312" w:hAnsi="仿宋_GB2312" w:eastAsia="仿宋_GB2312" w:cs="仿宋_GB2312"/>
          <w:sz w:val="32"/>
          <w:szCs w:val="32"/>
          <w:highlight w:val="none"/>
          <w:lang w:val="en-US" w:eastAsia="zh-CN"/>
        </w:rPr>
        <w:t>0.16万元，下降84.21</w:t>
      </w:r>
      <w:r>
        <w:rPr>
          <w:rFonts w:hint="eastAsia" w:ascii="仿宋_GB2312" w:hAnsi="仿宋_GB2312" w:eastAsia="仿宋_GB2312" w:cs="仿宋_GB2312"/>
          <w:sz w:val="32"/>
          <w:szCs w:val="32"/>
          <w:highlight w:val="none"/>
          <w:lang w:val="en-US" w:eastAsia="zh-CN"/>
        </w:rPr>
        <w:t>%，减少的主要原因是落实过“紧日子”要求，严格执行开支标准，厉行节约。</w:t>
      </w:r>
      <w:r>
        <w:rPr>
          <w:rFonts w:hint="eastAsia" w:ascii="仿宋_GB2312" w:hAnsi="仿宋_GB2312" w:eastAsia="仿宋_GB2312" w:cs="仿宋_GB2312"/>
          <w:sz w:val="32"/>
          <w:szCs w:val="32"/>
          <w:highlight w:val="none"/>
        </w:rPr>
        <w:t>其中：</w:t>
      </w:r>
    </w:p>
    <w:p w14:paraId="33E68CF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预算决算金额均为0万元，无法计算完成百分比，主要原因是单位未因公出国（境），与上年相比持平均为0万元，无法计算完成百分比，主要原因是单位未因公出国（境）。</w:t>
      </w:r>
    </w:p>
    <w:p w14:paraId="42457BE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公务接待费支出预算为</w:t>
      </w:r>
      <w:r>
        <w:rPr>
          <w:rFonts w:hint="eastAsia" w:ascii="仿宋_GB2312" w:hAnsi="仿宋_GB2312" w:eastAsia="仿宋_GB2312" w:cs="仿宋_GB2312"/>
          <w:sz w:val="32"/>
          <w:szCs w:val="32"/>
          <w:highlight w:val="none"/>
          <w:lang w:val="en-US" w:eastAsia="zh-CN"/>
        </w:rPr>
        <w:t>0.11</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0.03</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27.27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，决算数小于预算数的主要原因是</w:t>
      </w:r>
      <w:r>
        <w:rPr>
          <w:rFonts w:hint="eastAsia" w:ascii="仿宋_GB2312" w:hAnsi="仿宋_GB2312" w:eastAsia="仿宋_GB2312" w:cs="仿宋_GB2312"/>
          <w:sz w:val="32"/>
          <w:szCs w:val="32"/>
          <w:highlight w:val="none"/>
          <w:lang w:val="en-US" w:eastAsia="zh-CN"/>
        </w:rPr>
        <w:t>严格控制“三公”经费使用</w:t>
      </w:r>
      <w:r>
        <w:rPr>
          <w:rFonts w:hint="eastAsia" w:ascii="仿宋_GB2312" w:hAnsi="仿宋_GB2312" w:eastAsia="仿宋_GB2312" w:cs="仿宋_GB2312"/>
          <w:sz w:val="32"/>
          <w:szCs w:val="32"/>
          <w:highlight w:val="none"/>
        </w:rPr>
        <w:t>，与上年相比减少</w:t>
      </w:r>
      <w:r>
        <w:rPr>
          <w:rFonts w:hint="eastAsia" w:ascii="仿宋_GB2312" w:hAnsi="仿宋_GB2312" w:eastAsia="仿宋_GB2312" w:cs="仿宋_GB2312"/>
          <w:sz w:val="32"/>
          <w:szCs w:val="32"/>
          <w:highlight w:val="none"/>
          <w:lang w:val="en-US" w:eastAsia="zh-CN"/>
        </w:rPr>
        <w:t>0.16万元，下降84.21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减少的主要原因是</w:t>
      </w:r>
      <w:r>
        <w:rPr>
          <w:rFonts w:hint="eastAsia" w:ascii="仿宋_GB2312" w:hAnsi="仿宋_GB2312" w:eastAsia="仿宋_GB2312" w:cs="仿宋_GB2312"/>
          <w:sz w:val="32"/>
          <w:szCs w:val="32"/>
          <w:highlight w:val="none"/>
          <w:lang w:val="en-US" w:eastAsia="zh-CN"/>
        </w:rPr>
        <w:t>基数较小，比例影响较大</w:t>
      </w:r>
      <w:r>
        <w:rPr>
          <w:rFonts w:hint="eastAsia" w:ascii="仿宋_GB2312" w:hAnsi="仿宋_GB2312" w:eastAsia="仿宋_GB2312" w:cs="仿宋_GB2312"/>
          <w:sz w:val="32"/>
          <w:szCs w:val="32"/>
          <w:highlight w:val="none"/>
        </w:rPr>
        <w:t>。</w:t>
      </w:r>
    </w:p>
    <w:p w14:paraId="6D7EC5D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公务用车购置费</w:t>
      </w:r>
      <w:r>
        <w:rPr>
          <w:rFonts w:hint="eastAsia" w:ascii="仿宋_GB2312" w:hAnsi="仿宋_GB2312" w:eastAsia="仿宋_GB2312" w:cs="仿宋_GB2312"/>
          <w:sz w:val="32"/>
          <w:szCs w:val="32"/>
          <w:highlight w:val="none"/>
        </w:rPr>
        <w:t>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预算决算金额均为0万元，无法计算完成百分比，主要原因是未购置公务用车。与上年相比持平均为0万元，无法计算完成百分比，主要原因是未购置公务用车。</w:t>
      </w:r>
    </w:p>
    <w:p w14:paraId="6549B3C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公务用车运行维护费</w:t>
      </w:r>
      <w:r>
        <w:rPr>
          <w:rFonts w:hint="eastAsia" w:ascii="仿宋_GB2312" w:hAnsi="仿宋_GB2312" w:eastAsia="仿宋_GB2312" w:cs="仿宋_GB2312"/>
          <w:sz w:val="32"/>
          <w:szCs w:val="32"/>
          <w:highlight w:val="none"/>
        </w:rPr>
        <w:t>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预算决算金额均为0万元，无法计算完成百分比，主要原因是单位无公务用车。与上年相比持平均为0万元，无法计算完成百分比，主要原因是单位无公务用车。</w:t>
      </w:r>
    </w:p>
    <w:p w14:paraId="09CA256F">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（二）“三公”经费财政拨款支出决算具体情况说明</w:t>
      </w:r>
    </w:p>
    <w:p w14:paraId="66D19AD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年度“三公”经费财政拨款支出决算中，公务接待费支出决算</w:t>
      </w:r>
      <w:r>
        <w:rPr>
          <w:rFonts w:hint="eastAsia" w:ascii="仿宋_GB2312" w:hAnsi="仿宋_GB2312" w:eastAsia="仿宋_GB2312" w:cs="仿宋_GB2312"/>
          <w:sz w:val="32"/>
          <w:szCs w:val="32"/>
          <w:highlight w:val="none"/>
          <w:lang w:val="en-US" w:eastAsia="zh-CN"/>
        </w:rPr>
        <w:t>0.03</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万元，公务用车购置费及运行维护费支出决算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w:t>
      </w:r>
    </w:p>
    <w:p w14:paraId="4605279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因公出国（境）费支出决算为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万元，全年安排因公出国（境）团组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个，累计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主要是2022年我单位没有因公出国（境）。</w:t>
      </w:r>
    </w:p>
    <w:p w14:paraId="50BB5499">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2、公务接待费支出决算为</w:t>
      </w:r>
      <w:r>
        <w:rPr>
          <w:rFonts w:hint="eastAsia" w:ascii="仿宋_GB2312" w:hAnsi="仿宋_GB2312" w:eastAsia="仿宋_GB2312" w:cs="仿宋_GB2312"/>
          <w:sz w:val="32"/>
          <w:szCs w:val="32"/>
          <w:highlight w:val="none"/>
          <w:lang w:val="en-US" w:eastAsia="zh-CN"/>
        </w:rPr>
        <w:t>0.03</w:t>
      </w:r>
      <w:r>
        <w:rPr>
          <w:rFonts w:hint="eastAsia" w:ascii="仿宋_GB2312" w:hAnsi="仿宋_GB2312" w:eastAsia="仿宋_GB2312" w:cs="仿宋_GB2312"/>
          <w:sz w:val="32"/>
          <w:szCs w:val="32"/>
          <w:highlight w:val="none"/>
        </w:rPr>
        <w:t>万元，全年共接待来访团组</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个、来宾</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人次，主要是</w:t>
      </w:r>
      <w:r>
        <w:rPr>
          <w:rFonts w:hint="eastAsia" w:ascii="仿宋_GB2312" w:hAnsi="仿宋_GB2312" w:eastAsia="仿宋_GB2312" w:cs="仿宋_GB2312"/>
          <w:sz w:val="32"/>
          <w:szCs w:val="32"/>
          <w:highlight w:val="none"/>
          <w:lang w:val="en-US" w:eastAsia="zh-CN"/>
        </w:rPr>
        <w:t>教学指导交流</w:t>
      </w:r>
      <w:r>
        <w:rPr>
          <w:rFonts w:hint="eastAsia" w:ascii="仿宋_GB2312" w:hAnsi="仿宋_GB2312" w:eastAsia="仿宋_GB2312" w:cs="仿宋_GB2312"/>
          <w:sz w:val="32"/>
          <w:szCs w:val="32"/>
          <w:highlight w:val="none"/>
        </w:rPr>
        <w:t>发生的接待支出。</w:t>
      </w:r>
    </w:p>
    <w:p w14:paraId="1C34BE3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3、公务用车购置费及运行维护费支出决算为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万元，其中：公务用车购置费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rPr>
        <w:t>。公务用车运行维护费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rPr>
        <w:t>主要是无公务用车购置</w:t>
      </w:r>
      <w:r>
        <w:rPr>
          <w:rFonts w:hint="eastAsia" w:ascii="仿宋_GB2312" w:hAnsi="仿宋_GB2312" w:eastAsia="仿宋_GB2312" w:cs="仿宋_GB2312"/>
          <w:sz w:val="32"/>
          <w:szCs w:val="32"/>
          <w:highlight w:val="none"/>
          <w:lang w:val="en-US" w:eastAsia="zh-CN"/>
        </w:rPr>
        <w:t>及维护费</w:t>
      </w:r>
      <w:r>
        <w:rPr>
          <w:rFonts w:hint="eastAsia" w:ascii="仿宋_GB2312" w:hAnsi="仿宋_GB2312" w:eastAsia="仿宋_GB2312" w:cs="仿宋_GB2312"/>
          <w:sz w:val="32"/>
          <w:szCs w:val="32"/>
          <w:highlight w:val="none"/>
        </w:rPr>
        <w:t>支出，</w:t>
      </w:r>
      <w:r>
        <w:rPr>
          <w:rFonts w:hint="eastAsia" w:ascii="仿宋_GB2312" w:hAnsi="仿宋_GB2312" w:eastAsia="仿宋_GB2312" w:cs="仿宋_GB2312"/>
          <w:sz w:val="32"/>
          <w:szCs w:val="32"/>
          <w:highlight w:val="none"/>
        </w:rPr>
        <w:t>截止202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年12月31日，我单位开支财政拨款的公务用车保有量为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p>
    <w:p w14:paraId="2BF2F02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八、政府性基金预算收入支出决算情况</w:t>
      </w:r>
    </w:p>
    <w:p w14:paraId="7C0E238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仿宋" w:hAnsi="仿宋" w:eastAsia="仿宋"/>
          <w:sz w:val="32"/>
          <w:szCs w:val="32"/>
          <w:highlight w:val="none"/>
        </w:rPr>
        <w:t>2022年度</w:t>
      </w:r>
      <w:r>
        <w:rPr>
          <w:rFonts w:hint="eastAsia" w:ascii="仿宋_GB2312" w:hAnsi="仿宋_GB2312" w:eastAsia="仿宋_GB2312" w:cs="仿宋_GB2312"/>
          <w:sz w:val="32"/>
          <w:szCs w:val="32"/>
          <w:highlight w:val="none"/>
        </w:rPr>
        <w:t>本单位无政府性基金收支。</w:t>
      </w:r>
    </w:p>
    <w:p w14:paraId="2A4EEA7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方正仿宋_GB2312" w:hAnsi="方正仿宋_GB2312" w:eastAsia="方正仿宋_GB2312" w:cs="方正仿宋_GB2312"/>
          <w:b w:val="0"/>
          <w:bCs/>
          <w:sz w:val="32"/>
          <w:szCs w:val="32"/>
          <w:highlight w:val="none"/>
          <w:lang w:val="en-US" w:eastAsia="zh-CN"/>
        </w:rPr>
      </w:pPr>
      <w:r>
        <w:rPr>
          <w:rFonts w:hint="eastAsia" w:ascii="方正仿宋_GB2312" w:hAnsi="方正仿宋_GB2312" w:eastAsia="方正仿宋_GB2312" w:cs="方正仿宋_GB2312"/>
          <w:b w:val="0"/>
          <w:bCs/>
          <w:sz w:val="32"/>
          <w:szCs w:val="32"/>
          <w:highlight w:val="none"/>
          <w:lang w:val="en-US" w:eastAsia="zh-CN"/>
        </w:rPr>
        <w:t>九、国有资本经营预算财政拨款支出决算情况说明</w:t>
      </w:r>
    </w:p>
    <w:p w14:paraId="4ED6AEA9">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2022年度本单位无国有资本经营预算财政拨款支出。</w:t>
      </w:r>
    </w:p>
    <w:p w14:paraId="6C0F5B2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方正仿宋_GB2312" w:hAnsi="方正仿宋_GB2312" w:eastAsia="方正仿宋_GB2312" w:cs="方正仿宋_GB2312"/>
          <w:b w:val="0"/>
          <w:bCs/>
          <w:sz w:val="32"/>
          <w:szCs w:val="32"/>
          <w:highlight w:val="none"/>
          <w:lang w:val="en-US" w:eastAsia="zh-CN"/>
        </w:rPr>
        <w:t>十</w:t>
      </w:r>
      <w:r>
        <w:rPr>
          <w:rFonts w:hint="eastAsia" w:ascii="方正仿宋_GB2312" w:hAnsi="方正仿宋_GB2312" w:eastAsia="方正仿宋_GB2312" w:cs="方正仿宋_GB2312"/>
          <w:b w:val="0"/>
          <w:bCs/>
          <w:sz w:val="32"/>
          <w:szCs w:val="32"/>
          <w:highlight w:val="none"/>
        </w:rPr>
        <w:t>、关于机关运行经费支出说明</w:t>
      </w:r>
    </w:p>
    <w:p w14:paraId="7202696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年度机关运行经费支出</w:t>
      </w:r>
      <w:r>
        <w:rPr>
          <w:rFonts w:hint="eastAsia" w:ascii="仿宋_GB2312" w:hAnsi="仿宋_GB2312" w:eastAsia="仿宋_GB2312" w:cs="仿宋_GB2312"/>
          <w:sz w:val="32"/>
          <w:szCs w:val="32"/>
          <w:highlight w:val="none"/>
          <w:lang w:val="en-US" w:eastAsia="zh-CN"/>
        </w:rPr>
        <w:t>352.43</w:t>
      </w:r>
      <w:r>
        <w:rPr>
          <w:rFonts w:hint="eastAsia" w:ascii="仿宋_GB2312" w:hAnsi="仿宋_GB2312" w:eastAsia="仿宋_GB2312" w:cs="仿宋_GB2312"/>
          <w:sz w:val="32"/>
          <w:szCs w:val="32"/>
          <w:highlight w:val="none"/>
        </w:rPr>
        <w:t>万元，比上年决算数减少</w:t>
      </w:r>
      <w:r>
        <w:rPr>
          <w:rFonts w:hint="eastAsia" w:ascii="仿宋_GB2312" w:hAnsi="仿宋_GB2312" w:eastAsia="仿宋_GB2312" w:cs="仿宋_GB2312"/>
          <w:sz w:val="32"/>
          <w:szCs w:val="32"/>
          <w:highlight w:val="none"/>
          <w:lang w:val="en-US" w:eastAsia="zh-CN"/>
        </w:rPr>
        <w:t>99.35</w:t>
      </w:r>
      <w:r>
        <w:rPr>
          <w:rFonts w:hint="eastAsia" w:ascii="仿宋_GB2312" w:hAnsi="仿宋_GB2312" w:eastAsia="仿宋_GB2312" w:cs="仿宋_GB2312"/>
          <w:sz w:val="32"/>
          <w:szCs w:val="32"/>
          <w:highlight w:val="none"/>
        </w:rPr>
        <w:t>万元，降低</w:t>
      </w:r>
      <w:r>
        <w:rPr>
          <w:rFonts w:hint="eastAsia" w:ascii="仿宋_GB2312" w:hAnsi="仿宋_GB2312" w:eastAsia="仿宋_GB2312" w:cs="仿宋_GB2312"/>
          <w:sz w:val="32"/>
          <w:szCs w:val="32"/>
          <w:highlight w:val="none"/>
          <w:lang w:val="en-US" w:eastAsia="zh-CN"/>
        </w:rPr>
        <w:t>21.99</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受疫情影响，运行支出减少</w:t>
      </w:r>
      <w:r>
        <w:rPr>
          <w:rFonts w:hint="eastAsia" w:ascii="仿宋_GB2312" w:hAnsi="仿宋_GB2312" w:eastAsia="仿宋_GB2312" w:cs="仿宋_GB2312"/>
          <w:sz w:val="32"/>
          <w:szCs w:val="32"/>
          <w:highlight w:val="none"/>
        </w:rPr>
        <w:t>。</w:t>
      </w:r>
    </w:p>
    <w:p w14:paraId="37BF7C3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十</w:t>
      </w:r>
      <w:r>
        <w:rPr>
          <w:rFonts w:hint="eastAsia" w:ascii="方正仿宋_GB2312" w:hAnsi="方正仿宋_GB2312" w:eastAsia="方正仿宋_GB2312" w:cs="方正仿宋_GB2312"/>
          <w:b w:val="0"/>
          <w:bCs/>
          <w:sz w:val="32"/>
          <w:szCs w:val="32"/>
          <w:highlight w:val="none"/>
          <w:lang w:val="en-US" w:eastAsia="zh-CN"/>
        </w:rPr>
        <w:t>一</w:t>
      </w:r>
      <w:r>
        <w:rPr>
          <w:rFonts w:hint="eastAsia" w:ascii="方正仿宋_GB2312" w:hAnsi="方正仿宋_GB2312" w:eastAsia="方正仿宋_GB2312" w:cs="方正仿宋_GB2312"/>
          <w:b w:val="0"/>
          <w:bCs/>
          <w:sz w:val="32"/>
          <w:szCs w:val="32"/>
          <w:highlight w:val="none"/>
        </w:rPr>
        <w:t>、一般性支出情况说明</w:t>
      </w:r>
    </w:p>
    <w:p w14:paraId="6791EAA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年本部门开支会议费</w:t>
      </w:r>
      <w:r>
        <w:rPr>
          <w:rFonts w:hint="eastAsia" w:ascii="仿宋_GB2312" w:hAnsi="仿宋_GB2312" w:eastAsia="仿宋_GB2312" w:cs="仿宋_GB2312"/>
          <w:sz w:val="32"/>
          <w:szCs w:val="32"/>
          <w:highlight w:val="none"/>
          <w:lang w:val="en-US" w:eastAsia="zh-CN"/>
        </w:rPr>
        <w:t>0.14</w:t>
      </w:r>
      <w:r>
        <w:rPr>
          <w:rFonts w:hint="eastAsia" w:ascii="仿宋_GB2312" w:hAnsi="仿宋_GB2312" w:eastAsia="仿宋_GB2312" w:cs="仿宋_GB2312"/>
          <w:sz w:val="32"/>
          <w:szCs w:val="32"/>
          <w:highlight w:val="none"/>
        </w:rPr>
        <w:t>万元，用于</w:t>
      </w:r>
      <w:r>
        <w:rPr>
          <w:rFonts w:hint="eastAsia" w:ascii="仿宋_GB2312" w:hAnsi="仿宋_GB2312" w:eastAsia="仿宋_GB2312" w:cs="仿宋_GB2312"/>
          <w:sz w:val="32"/>
          <w:szCs w:val="32"/>
          <w:highlight w:val="none"/>
          <w:lang w:val="en-US" w:eastAsia="zh-CN"/>
        </w:rPr>
        <w:t>教师参加</w:t>
      </w:r>
      <w:r>
        <w:rPr>
          <w:rFonts w:hint="eastAsia" w:ascii="仿宋_GB2312" w:hAnsi="仿宋_GB2312" w:eastAsia="仿宋_GB2312" w:cs="仿宋_GB2312"/>
          <w:sz w:val="32"/>
          <w:szCs w:val="32"/>
          <w:highlight w:val="none"/>
        </w:rPr>
        <w:t>会议，人数</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人，内容为</w:t>
      </w:r>
      <w:r>
        <w:rPr>
          <w:rFonts w:hint="eastAsia" w:ascii="仿宋_GB2312" w:hAnsi="仿宋_GB2312" w:eastAsia="仿宋_GB2312" w:cs="仿宋_GB2312"/>
          <w:sz w:val="32"/>
          <w:szCs w:val="32"/>
          <w:highlight w:val="none"/>
          <w:lang w:val="en-US" w:eastAsia="zh-CN"/>
        </w:rPr>
        <w:t>教师参加各种教学会议</w:t>
      </w:r>
      <w:r>
        <w:rPr>
          <w:rFonts w:hint="eastAsia" w:ascii="仿宋_GB2312" w:hAnsi="仿宋_GB2312" w:eastAsia="仿宋_GB2312" w:cs="仿宋_GB2312"/>
          <w:sz w:val="32"/>
          <w:szCs w:val="32"/>
          <w:highlight w:val="none"/>
        </w:rPr>
        <w:t>；开支培训费</w:t>
      </w:r>
      <w:r>
        <w:rPr>
          <w:rFonts w:hint="eastAsia" w:ascii="仿宋_GB2312" w:hAnsi="仿宋_GB2312" w:eastAsia="仿宋_GB2312" w:cs="仿宋_GB2312"/>
          <w:sz w:val="32"/>
          <w:szCs w:val="32"/>
          <w:highlight w:val="none"/>
          <w:lang w:val="en-US" w:eastAsia="zh-CN"/>
        </w:rPr>
        <w:t>31.87</w:t>
      </w:r>
      <w:r>
        <w:rPr>
          <w:rFonts w:hint="eastAsia" w:ascii="仿宋_GB2312" w:hAnsi="仿宋_GB2312" w:eastAsia="仿宋_GB2312" w:cs="仿宋_GB2312"/>
          <w:sz w:val="32"/>
          <w:szCs w:val="32"/>
          <w:highlight w:val="none"/>
        </w:rPr>
        <w:t>万元，用于开展</w:t>
      </w:r>
      <w:r>
        <w:rPr>
          <w:rFonts w:hint="eastAsia" w:ascii="仿宋_GB2312" w:hAnsi="仿宋_GB2312" w:eastAsia="仿宋_GB2312" w:cs="仿宋_GB2312"/>
          <w:sz w:val="32"/>
          <w:szCs w:val="32"/>
          <w:highlight w:val="none"/>
          <w:lang w:val="en-US" w:eastAsia="zh-CN"/>
        </w:rPr>
        <w:t>教学</w:t>
      </w:r>
      <w:r>
        <w:rPr>
          <w:rFonts w:hint="eastAsia" w:ascii="仿宋_GB2312" w:hAnsi="仿宋_GB2312" w:eastAsia="仿宋_GB2312" w:cs="仿宋_GB2312"/>
          <w:sz w:val="32"/>
          <w:szCs w:val="32"/>
          <w:highlight w:val="none"/>
        </w:rPr>
        <w:t>培训，人数</w:t>
      </w:r>
      <w:r>
        <w:rPr>
          <w:rFonts w:hint="eastAsia" w:ascii="仿宋_GB2312" w:hAnsi="仿宋_GB2312" w:eastAsia="仿宋_GB2312" w:cs="仿宋_GB2312"/>
          <w:sz w:val="32"/>
          <w:szCs w:val="32"/>
          <w:highlight w:val="none"/>
          <w:lang w:val="en-US" w:eastAsia="zh-CN"/>
        </w:rPr>
        <w:t>1200</w:t>
      </w:r>
      <w:r>
        <w:rPr>
          <w:rFonts w:hint="eastAsia" w:ascii="仿宋_GB2312" w:hAnsi="仿宋_GB2312" w:eastAsia="仿宋_GB2312" w:cs="仿宋_GB2312"/>
          <w:sz w:val="32"/>
          <w:szCs w:val="32"/>
          <w:highlight w:val="none"/>
        </w:rPr>
        <w:t>人，内容为</w:t>
      </w:r>
      <w:r>
        <w:rPr>
          <w:rFonts w:hint="eastAsia" w:ascii="仿宋_GB2312" w:hAnsi="仿宋_GB2312" w:eastAsia="仿宋_GB2312" w:cs="仿宋_GB2312"/>
          <w:sz w:val="32"/>
          <w:szCs w:val="32"/>
          <w:highlight w:val="none"/>
          <w:lang w:val="en-US" w:eastAsia="zh-CN"/>
        </w:rPr>
        <w:t>名师工作室等培训</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未</w:t>
      </w:r>
      <w:r>
        <w:rPr>
          <w:rFonts w:hint="eastAsia" w:ascii="仿宋_GB2312" w:hAnsi="仿宋_GB2312" w:eastAsia="仿宋_GB2312" w:cs="仿宋_GB2312"/>
          <w:sz w:val="32"/>
          <w:szCs w:val="32"/>
          <w:highlight w:val="none"/>
        </w:rPr>
        <w:t>举办节庆、晚会、论坛、赛事活动。</w:t>
      </w:r>
    </w:p>
    <w:p w14:paraId="3589929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方正仿宋_GB2312" w:hAnsi="方正仿宋_GB2312" w:eastAsia="方正仿宋_GB2312" w:cs="方正仿宋_GB2312"/>
          <w:b w:val="0"/>
          <w:bCs/>
          <w:sz w:val="32"/>
          <w:szCs w:val="32"/>
          <w:highlight w:val="none"/>
        </w:rPr>
        <w:t>十</w:t>
      </w:r>
      <w:r>
        <w:rPr>
          <w:rFonts w:hint="eastAsia" w:ascii="方正仿宋_GB2312" w:hAnsi="方正仿宋_GB2312" w:eastAsia="方正仿宋_GB2312" w:cs="方正仿宋_GB2312"/>
          <w:b w:val="0"/>
          <w:bCs/>
          <w:sz w:val="32"/>
          <w:szCs w:val="32"/>
          <w:highlight w:val="none"/>
          <w:lang w:val="en-US" w:eastAsia="zh-CN"/>
        </w:rPr>
        <w:t>二</w:t>
      </w:r>
      <w:r>
        <w:rPr>
          <w:rFonts w:hint="eastAsia" w:ascii="方正仿宋_GB2312" w:hAnsi="方正仿宋_GB2312" w:eastAsia="方正仿宋_GB2312" w:cs="方正仿宋_GB2312"/>
          <w:b w:val="0"/>
          <w:bCs/>
          <w:sz w:val="32"/>
          <w:szCs w:val="32"/>
          <w:highlight w:val="none"/>
        </w:rPr>
        <w:t>、关于政府采购支出说明</w:t>
      </w:r>
    </w:p>
    <w:p w14:paraId="0E3C6BA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年度政府采购支出总额</w:t>
      </w:r>
      <w:r>
        <w:rPr>
          <w:rFonts w:hint="eastAsia" w:ascii="仿宋_GB2312" w:hAnsi="仿宋_GB2312" w:eastAsia="仿宋_GB2312" w:cs="仿宋_GB2312"/>
          <w:sz w:val="32"/>
          <w:szCs w:val="32"/>
          <w:highlight w:val="none"/>
          <w:lang w:val="en-US" w:eastAsia="zh-CN"/>
        </w:rPr>
        <w:t>245.15</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83.36</w:t>
      </w:r>
      <w:r>
        <w:rPr>
          <w:rFonts w:hint="eastAsia" w:ascii="仿宋_GB2312" w:hAnsi="仿宋_GB2312" w:eastAsia="仿宋_GB2312" w:cs="仿宋_GB2312"/>
          <w:sz w:val="32"/>
          <w:szCs w:val="32"/>
          <w:highlight w:val="none"/>
        </w:rPr>
        <w:t>万元、政府采购工程支出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万元、政府采购服务支出</w:t>
      </w:r>
      <w:r>
        <w:rPr>
          <w:rFonts w:hint="eastAsia" w:ascii="仿宋_GB2312" w:hAnsi="仿宋_GB2312" w:eastAsia="仿宋_GB2312" w:cs="仿宋_GB2312"/>
          <w:sz w:val="32"/>
          <w:szCs w:val="32"/>
          <w:highlight w:val="none"/>
          <w:lang w:val="en-US" w:eastAsia="zh-CN"/>
        </w:rPr>
        <w:t>161.79</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154.93</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63.20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88.65</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36.16</w:t>
      </w:r>
      <w:r>
        <w:rPr>
          <w:rFonts w:hint="eastAsia" w:ascii="仿宋_GB2312" w:hAnsi="仿宋_GB2312" w:eastAsia="仿宋_GB2312" w:cs="仿宋_GB2312"/>
          <w:sz w:val="32"/>
          <w:szCs w:val="32"/>
          <w:highlight w:val="none"/>
        </w:rPr>
        <w:t>%。货物采购授予中小企业合同金额占货物支出金额的</w:t>
      </w:r>
      <w:r>
        <w:rPr>
          <w:rFonts w:hint="eastAsia" w:ascii="仿宋_GB2312" w:hAnsi="仿宋_GB2312" w:eastAsia="仿宋_GB2312" w:cs="仿宋_GB2312"/>
          <w:sz w:val="32"/>
          <w:szCs w:val="32"/>
          <w:highlight w:val="none"/>
          <w:lang w:val="en-US" w:eastAsia="zh-CN"/>
        </w:rPr>
        <w:t>41.87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sz w:val="32"/>
          <w:szCs w:val="32"/>
          <w:highlight w:val="none"/>
        </w:rPr>
        <w:t>由于工程支出金额为0万元，无法计算工程采购授予中小企业合同金额占工程支出金额的百分比；</w:t>
      </w:r>
      <w:r>
        <w:rPr>
          <w:rFonts w:hint="eastAsia" w:ascii="仿宋_GB2312" w:hAnsi="仿宋_GB2312" w:eastAsia="仿宋_GB2312" w:cs="仿宋_GB2312"/>
          <w:sz w:val="32"/>
          <w:szCs w:val="32"/>
          <w:highlight w:val="none"/>
        </w:rPr>
        <w:t>服务采购授予中小企业合同金额占服务支出金额的</w:t>
      </w:r>
      <w:r>
        <w:rPr>
          <w:rFonts w:hint="eastAsia" w:ascii="仿宋_GB2312" w:hAnsi="仿宋_GB2312" w:eastAsia="仿宋_GB2312" w:cs="仿宋_GB2312"/>
          <w:sz w:val="32"/>
          <w:szCs w:val="32"/>
          <w:highlight w:val="none"/>
          <w:lang w:val="en-US" w:eastAsia="zh-CN"/>
        </w:rPr>
        <w:t>74.19</w:t>
      </w:r>
      <w:r>
        <w:rPr>
          <w:rFonts w:hint="eastAsia" w:ascii="仿宋_GB2312" w:hAnsi="仿宋_GB2312" w:eastAsia="仿宋_GB2312" w:cs="仿宋_GB2312"/>
          <w:sz w:val="32"/>
          <w:szCs w:val="32"/>
          <w:highlight w:val="none"/>
        </w:rPr>
        <w:t>%。</w:t>
      </w:r>
    </w:p>
    <w:p w14:paraId="4C09285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十</w:t>
      </w:r>
      <w:r>
        <w:rPr>
          <w:rFonts w:hint="eastAsia" w:ascii="方正仿宋_GB2312" w:hAnsi="方正仿宋_GB2312" w:eastAsia="方正仿宋_GB2312" w:cs="方正仿宋_GB2312"/>
          <w:b w:val="0"/>
          <w:bCs/>
          <w:sz w:val="32"/>
          <w:szCs w:val="32"/>
          <w:highlight w:val="none"/>
          <w:lang w:val="en-US" w:eastAsia="zh-CN"/>
        </w:rPr>
        <w:t>三</w:t>
      </w:r>
      <w:r>
        <w:rPr>
          <w:rFonts w:hint="eastAsia" w:ascii="方正仿宋_GB2312" w:hAnsi="方正仿宋_GB2312" w:eastAsia="方正仿宋_GB2312" w:cs="方正仿宋_GB2312"/>
          <w:b w:val="0"/>
          <w:bCs/>
          <w:sz w:val="32"/>
          <w:szCs w:val="32"/>
          <w:highlight w:val="none"/>
        </w:rPr>
        <w:t>、关于国有资产占用情况说明</w:t>
      </w:r>
    </w:p>
    <w:p w14:paraId="4EB7638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截至202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年12月31日，本单位共有车辆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无其他用车</w:t>
      </w:r>
      <w:r>
        <w:rPr>
          <w:rFonts w:hint="eastAsia" w:ascii="仿宋_GB2312" w:hAnsi="仿宋_GB2312" w:eastAsia="仿宋_GB2312" w:cs="仿宋_GB2312"/>
          <w:sz w:val="32"/>
          <w:szCs w:val="32"/>
          <w:highlight w:val="none"/>
        </w:rPr>
        <w:t>；单位价值50万元以上通用设备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14:paraId="0A9347B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rPr>
        <w:t>十</w:t>
      </w:r>
      <w:r>
        <w:rPr>
          <w:rFonts w:hint="eastAsia" w:ascii="方正仿宋_GB2312" w:hAnsi="方正仿宋_GB2312" w:eastAsia="方正仿宋_GB2312" w:cs="方正仿宋_GB2312"/>
          <w:b w:val="0"/>
          <w:bCs/>
          <w:sz w:val="32"/>
          <w:szCs w:val="32"/>
          <w:highlight w:val="none"/>
          <w:lang w:val="en-US" w:eastAsia="zh-CN"/>
        </w:rPr>
        <w:t>四</w:t>
      </w:r>
      <w:r>
        <w:rPr>
          <w:rFonts w:hint="eastAsia" w:ascii="方正仿宋_GB2312" w:hAnsi="方正仿宋_GB2312" w:eastAsia="方正仿宋_GB2312" w:cs="方正仿宋_GB2312"/>
          <w:b w:val="0"/>
          <w:bCs/>
          <w:sz w:val="32"/>
          <w:szCs w:val="32"/>
          <w:highlight w:val="none"/>
        </w:rPr>
        <w:t>、关于202</w:t>
      </w:r>
      <w:r>
        <w:rPr>
          <w:rFonts w:hint="eastAsia" w:ascii="方正仿宋_GB2312" w:hAnsi="方正仿宋_GB2312" w:eastAsia="方正仿宋_GB2312" w:cs="方正仿宋_GB2312"/>
          <w:b w:val="0"/>
          <w:bCs/>
          <w:sz w:val="32"/>
          <w:szCs w:val="32"/>
          <w:highlight w:val="none"/>
          <w:lang w:val="en-US" w:eastAsia="zh-CN"/>
        </w:rPr>
        <w:t>2</w:t>
      </w:r>
      <w:r>
        <w:rPr>
          <w:rFonts w:hint="eastAsia" w:ascii="方正仿宋_GB2312" w:hAnsi="方正仿宋_GB2312" w:eastAsia="方正仿宋_GB2312" w:cs="方正仿宋_GB2312"/>
          <w:b w:val="0"/>
          <w:bCs/>
          <w:sz w:val="32"/>
          <w:szCs w:val="32"/>
          <w:highlight w:val="none"/>
        </w:rPr>
        <w:t>年度预算绩效情况的说明</w:t>
      </w:r>
    </w:p>
    <w:p w14:paraId="3BF54B3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lang w:eastAsia="zh-CN"/>
        </w:rPr>
        <w:t>（一）</w:t>
      </w:r>
      <w:r>
        <w:rPr>
          <w:rFonts w:hint="eastAsia" w:ascii="方正仿宋_GB2312" w:hAnsi="方正仿宋_GB2312" w:eastAsia="方正仿宋_GB2312" w:cs="方正仿宋_GB2312"/>
          <w:b w:val="0"/>
          <w:bCs/>
          <w:sz w:val="32"/>
          <w:szCs w:val="32"/>
          <w:highlight w:val="none"/>
        </w:rPr>
        <w:t>部门整体支出绩效情况</w:t>
      </w:r>
    </w:p>
    <w:p w14:paraId="5687A9C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1、经济性分析。</w:t>
      </w:r>
    </w:p>
    <w:p w14:paraId="6BCD65E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学校的各项支出实行厉行节约，严格按照预算额度执行，按部门预算进行成本控制。1.财政供养人员控制在预算编制以内，编制内在职人员控制率为92%；2.整体支出预算完成率100%；3.“三公经费”预算数变动率为减少63%，较上年预算有所变动，由于我校严格按照中央“八项规定”的有关要求严格控制“三公经费”的支出，本年“三公经费”预算0.8万元，实际支出0.03万元，均为公务接待支出，控制率为3.75%，达到了预期目的。</w:t>
      </w:r>
    </w:p>
    <w:p w14:paraId="7E7580AD">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根据部门整体支出绩效评价</w:t>
      </w:r>
      <w:r>
        <w:rPr>
          <w:rFonts w:hint="eastAsia" w:ascii="仿宋_GB2312" w:hAnsi="仿宋_GB2312" w:eastAsia="仿宋_GB2312" w:cs="仿宋_GB2312"/>
          <w:sz w:val="32"/>
          <w:szCs w:val="32"/>
          <w:highlight w:val="none"/>
          <w:lang w:val="en-US" w:eastAsia="zh-CN"/>
        </w:rPr>
        <w:t>共性</w:t>
      </w:r>
      <w:r>
        <w:rPr>
          <w:rFonts w:hint="eastAsia" w:ascii="仿宋_GB2312" w:hAnsi="仿宋_GB2312" w:eastAsia="仿宋_GB2312" w:cs="仿宋_GB2312"/>
          <w:sz w:val="32"/>
          <w:szCs w:val="32"/>
          <w:highlight w:val="none"/>
        </w:rPr>
        <w:t>指标体系，我单位20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年度评价得分为</w:t>
      </w:r>
      <w:r>
        <w:rPr>
          <w:rFonts w:hint="eastAsia" w:ascii="仿宋_GB2312" w:hAnsi="仿宋_GB2312" w:eastAsia="仿宋_GB2312" w:cs="仿宋_GB2312"/>
          <w:sz w:val="32"/>
          <w:szCs w:val="32"/>
          <w:highlight w:val="none"/>
          <w:lang w:val="en-US" w:eastAsia="zh-CN"/>
        </w:rPr>
        <w:t>86</w:t>
      </w:r>
      <w:r>
        <w:rPr>
          <w:rFonts w:hint="eastAsia" w:ascii="仿宋_GB2312" w:hAnsi="仿宋_GB2312" w:eastAsia="仿宋_GB2312" w:cs="仿宋_GB2312"/>
          <w:sz w:val="32"/>
          <w:szCs w:val="32"/>
          <w:highlight w:val="none"/>
        </w:rPr>
        <w:t>分。</w:t>
      </w:r>
    </w:p>
    <w:p w14:paraId="1B95E34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2、效率性分析。</w:t>
      </w:r>
    </w:p>
    <w:p w14:paraId="1AA4268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我校坚持以习近平中国特色社会主义思想为指导，在怀化市教育局的正确领导下，紧紧围绕教育发展大局，加强领导班子、教师队伍建设，落实“四家”“三心”三同”理念，积极推进政社协同、家校协同、师生协同，致力办好让家长放心、老师安心、学生用心的优质教育。在党政建设、师德师风建设、素质教育、教学研究、特色工作、校园建设等方面取得了一些成绩。</w:t>
      </w:r>
    </w:p>
    <w:p w14:paraId="5335B5E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3、有效性分析。</w:t>
      </w:r>
    </w:p>
    <w:p w14:paraId="41B95819">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2022年我校严格执行财政局、物价局、教育局制定的收费项目和标准，对所有的收费项目进行公示，严禁擅自设立收费项目及标准，坚决杜绝教师个人收费行为。合理编制学校预算，达到收支预算平衡。</w:t>
      </w:r>
    </w:p>
    <w:p w14:paraId="7F049C5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4、可持续性分析。</w:t>
      </w:r>
    </w:p>
    <w:p w14:paraId="6DE8337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支出完成后，通过对整体支出绩效评价，提高预算编制质量，提升预算执行和控制力度，提高资金效率，保障年度目标任务的顺利完成。</w:t>
      </w:r>
    </w:p>
    <w:p w14:paraId="3319C4AD">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sz w:val="32"/>
          <w:szCs w:val="32"/>
          <w:highlight w:val="none"/>
        </w:rPr>
      </w:pPr>
      <w:r>
        <w:rPr>
          <w:rFonts w:hint="eastAsia" w:ascii="方正仿宋_GB2312" w:hAnsi="方正仿宋_GB2312" w:eastAsia="方正仿宋_GB2312" w:cs="方正仿宋_GB2312"/>
          <w:b w:val="0"/>
          <w:bCs/>
          <w:sz w:val="32"/>
          <w:szCs w:val="32"/>
          <w:highlight w:val="none"/>
          <w:lang w:eastAsia="zh-CN"/>
        </w:rPr>
        <w:t>（二）</w:t>
      </w:r>
      <w:r>
        <w:rPr>
          <w:rFonts w:hint="eastAsia" w:ascii="方正仿宋_GB2312" w:hAnsi="方正仿宋_GB2312" w:eastAsia="方正仿宋_GB2312" w:cs="方正仿宋_GB2312"/>
          <w:b w:val="0"/>
          <w:bCs/>
          <w:sz w:val="32"/>
          <w:szCs w:val="32"/>
          <w:highlight w:val="none"/>
        </w:rPr>
        <w:t>存在的问题及原因分析</w:t>
      </w:r>
    </w:p>
    <w:p w14:paraId="30C12A2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我校20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部门支出达到预期绩效目标，年初预算与部门决算仍存在偏差较大，在预算执行过程中，由于各种客观原因存在指标之间调剂使用的现象，预算编制、下达需要更加科学、及时。同时，内部控制制度还有待于进一步完善，行政运行成本控制方面还有一定压缩空间。</w:t>
      </w:r>
    </w:p>
    <w:p w14:paraId="6D40B6F3">
      <w:pPr>
        <w:pStyle w:val="10"/>
        <w:jc w:val="center"/>
        <w:rPr>
          <w:sz w:val="72"/>
          <w:szCs w:val="72"/>
          <w:highlight w:val="none"/>
        </w:rPr>
      </w:pPr>
    </w:p>
    <w:p w14:paraId="6032520B">
      <w:pPr>
        <w:pStyle w:val="10"/>
        <w:jc w:val="center"/>
        <w:rPr>
          <w:sz w:val="72"/>
          <w:szCs w:val="72"/>
          <w:highlight w:val="none"/>
        </w:rPr>
      </w:pPr>
    </w:p>
    <w:p w14:paraId="7D09E599">
      <w:pPr>
        <w:pStyle w:val="10"/>
        <w:jc w:val="center"/>
        <w:rPr>
          <w:sz w:val="72"/>
          <w:szCs w:val="72"/>
          <w:highlight w:val="none"/>
        </w:rPr>
      </w:pPr>
    </w:p>
    <w:p w14:paraId="46E3E2EC">
      <w:pPr>
        <w:pStyle w:val="10"/>
        <w:jc w:val="center"/>
        <w:rPr>
          <w:sz w:val="72"/>
          <w:szCs w:val="72"/>
          <w:highlight w:val="none"/>
        </w:rPr>
      </w:pPr>
    </w:p>
    <w:p w14:paraId="6C3EA464">
      <w:pPr>
        <w:pStyle w:val="10"/>
        <w:jc w:val="center"/>
        <w:rPr>
          <w:sz w:val="72"/>
          <w:szCs w:val="72"/>
          <w:highlight w:val="none"/>
        </w:rPr>
      </w:pPr>
    </w:p>
    <w:p w14:paraId="1E9B594A">
      <w:pPr>
        <w:pStyle w:val="10"/>
        <w:jc w:val="center"/>
        <w:rPr>
          <w:sz w:val="72"/>
          <w:szCs w:val="72"/>
          <w:highlight w:val="none"/>
        </w:rPr>
      </w:pPr>
    </w:p>
    <w:p w14:paraId="767BCD4F">
      <w:pPr>
        <w:pStyle w:val="10"/>
        <w:jc w:val="center"/>
        <w:rPr>
          <w:sz w:val="72"/>
          <w:szCs w:val="72"/>
          <w:highlight w:val="none"/>
        </w:rPr>
      </w:pPr>
    </w:p>
    <w:p w14:paraId="2BF4622D">
      <w:pPr>
        <w:pStyle w:val="10"/>
        <w:jc w:val="center"/>
        <w:rPr>
          <w:sz w:val="72"/>
          <w:szCs w:val="72"/>
          <w:highlight w:val="none"/>
        </w:rPr>
      </w:pPr>
    </w:p>
    <w:p w14:paraId="7B3ECF71">
      <w:pPr>
        <w:pStyle w:val="10"/>
        <w:jc w:val="center"/>
        <w:rPr>
          <w:sz w:val="72"/>
          <w:szCs w:val="72"/>
          <w:highlight w:val="none"/>
        </w:rPr>
      </w:pPr>
    </w:p>
    <w:p w14:paraId="4746C971">
      <w:pPr>
        <w:pStyle w:val="10"/>
        <w:jc w:val="center"/>
        <w:rPr>
          <w:sz w:val="72"/>
          <w:szCs w:val="72"/>
          <w:highlight w:val="none"/>
        </w:rPr>
      </w:pPr>
    </w:p>
    <w:p w14:paraId="51CB210D">
      <w:pPr>
        <w:pStyle w:val="10"/>
        <w:jc w:val="center"/>
        <w:rPr>
          <w:sz w:val="72"/>
          <w:szCs w:val="72"/>
          <w:highlight w:val="none"/>
        </w:rPr>
      </w:pPr>
    </w:p>
    <w:p w14:paraId="19FAB7F3">
      <w:pPr>
        <w:pStyle w:val="10"/>
        <w:jc w:val="both"/>
        <w:rPr>
          <w:rFonts w:hint="eastAsia" w:ascii="方正小标宋_GBK" w:hAnsi="方正小标宋_GBK" w:eastAsia="方正小标宋_GBK" w:cs="方正小标宋_GBK"/>
          <w:sz w:val="72"/>
          <w:szCs w:val="72"/>
          <w:highlight w:val="none"/>
        </w:rPr>
      </w:pPr>
    </w:p>
    <w:p w14:paraId="006DF128">
      <w:pPr>
        <w:pStyle w:val="10"/>
        <w:jc w:val="center"/>
        <w:rPr>
          <w:rFonts w:hint="eastAsia" w:ascii="方正小标宋_GBK" w:hAnsi="方正小标宋_GBK" w:eastAsia="方正小标宋_GBK" w:cs="方正小标宋_GBK"/>
          <w:sz w:val="72"/>
          <w:szCs w:val="72"/>
          <w:highlight w:val="none"/>
        </w:rPr>
      </w:pPr>
    </w:p>
    <w:p w14:paraId="7743869F">
      <w:pPr>
        <w:pStyle w:val="10"/>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第四部分</w:t>
      </w:r>
    </w:p>
    <w:p w14:paraId="416A3321">
      <w:pPr>
        <w:jc w:val="center"/>
        <w:rPr>
          <w:rFonts w:hint="eastAsia" w:ascii="方正小标宋_GBK" w:hAnsi="方正小标宋_GBK" w:eastAsia="方正小标宋_GBK" w:cs="方正小标宋_GBK"/>
          <w:color w:val="000000"/>
          <w:kern w:val="0"/>
          <w:sz w:val="70"/>
          <w:szCs w:val="70"/>
          <w:highlight w:val="none"/>
        </w:rPr>
      </w:pPr>
    </w:p>
    <w:p w14:paraId="53C60C87">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70"/>
          <w:szCs w:val="70"/>
          <w:highlight w:val="none"/>
        </w:rPr>
        <w:t>名词解释</w:t>
      </w:r>
    </w:p>
    <w:p w14:paraId="506EF45C">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1134A3F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A12ED7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108BE77">
      <w:pPr>
        <w:pStyle w:val="10"/>
        <w:jc w:val="center"/>
        <w:rPr>
          <w:sz w:val="72"/>
          <w:szCs w:val="72"/>
          <w:highlight w:val="none"/>
        </w:rPr>
      </w:pPr>
    </w:p>
    <w:p w14:paraId="044BDFC4">
      <w:pPr>
        <w:pStyle w:val="10"/>
        <w:jc w:val="center"/>
        <w:rPr>
          <w:sz w:val="72"/>
          <w:szCs w:val="72"/>
          <w:highlight w:val="none"/>
        </w:rPr>
      </w:pPr>
    </w:p>
    <w:p w14:paraId="0A09E34B">
      <w:pPr>
        <w:pStyle w:val="10"/>
        <w:jc w:val="center"/>
        <w:rPr>
          <w:sz w:val="72"/>
          <w:szCs w:val="72"/>
          <w:highlight w:val="none"/>
        </w:rPr>
      </w:pPr>
    </w:p>
    <w:p w14:paraId="3DE92414">
      <w:pPr>
        <w:pStyle w:val="10"/>
        <w:jc w:val="center"/>
        <w:rPr>
          <w:sz w:val="72"/>
          <w:szCs w:val="72"/>
          <w:highlight w:val="none"/>
        </w:rPr>
      </w:pPr>
    </w:p>
    <w:p w14:paraId="09D1CC08">
      <w:pPr>
        <w:pStyle w:val="10"/>
        <w:jc w:val="center"/>
        <w:rPr>
          <w:sz w:val="72"/>
          <w:szCs w:val="72"/>
          <w:highlight w:val="none"/>
        </w:rPr>
      </w:pPr>
    </w:p>
    <w:p w14:paraId="76D30457">
      <w:pPr>
        <w:pStyle w:val="10"/>
        <w:jc w:val="center"/>
        <w:rPr>
          <w:sz w:val="72"/>
          <w:szCs w:val="72"/>
          <w:highlight w:val="none"/>
        </w:rPr>
      </w:pPr>
    </w:p>
    <w:p w14:paraId="24FBD11B">
      <w:pPr>
        <w:pStyle w:val="10"/>
        <w:jc w:val="center"/>
        <w:rPr>
          <w:sz w:val="72"/>
          <w:szCs w:val="72"/>
          <w:highlight w:val="none"/>
        </w:rPr>
      </w:pPr>
    </w:p>
    <w:p w14:paraId="58ADF171">
      <w:pPr>
        <w:pStyle w:val="10"/>
        <w:jc w:val="center"/>
        <w:rPr>
          <w:sz w:val="72"/>
          <w:szCs w:val="72"/>
          <w:highlight w:val="none"/>
        </w:rPr>
      </w:pPr>
    </w:p>
    <w:p w14:paraId="3A5479EB">
      <w:pPr>
        <w:pStyle w:val="10"/>
        <w:jc w:val="center"/>
        <w:rPr>
          <w:sz w:val="72"/>
          <w:szCs w:val="72"/>
          <w:highlight w:val="none"/>
        </w:rPr>
      </w:pPr>
    </w:p>
    <w:p w14:paraId="0A2B028F">
      <w:pPr>
        <w:pStyle w:val="10"/>
        <w:jc w:val="center"/>
        <w:rPr>
          <w:sz w:val="72"/>
          <w:szCs w:val="72"/>
          <w:highlight w:val="none"/>
        </w:rPr>
      </w:pPr>
    </w:p>
    <w:p w14:paraId="29A00CD7">
      <w:pPr>
        <w:pStyle w:val="10"/>
        <w:jc w:val="center"/>
        <w:rPr>
          <w:sz w:val="72"/>
          <w:szCs w:val="72"/>
          <w:highlight w:val="none"/>
        </w:rPr>
      </w:pPr>
    </w:p>
    <w:p w14:paraId="71D3FB18">
      <w:pPr>
        <w:pStyle w:val="10"/>
        <w:jc w:val="center"/>
        <w:rPr>
          <w:sz w:val="72"/>
          <w:szCs w:val="72"/>
          <w:highlight w:val="none"/>
        </w:rPr>
      </w:pPr>
    </w:p>
    <w:p w14:paraId="5C03276A">
      <w:pPr>
        <w:pStyle w:val="10"/>
        <w:jc w:val="center"/>
        <w:rPr>
          <w:sz w:val="72"/>
          <w:szCs w:val="72"/>
          <w:highlight w:val="none"/>
        </w:rPr>
      </w:pPr>
    </w:p>
    <w:p w14:paraId="55D6EEF5">
      <w:pPr>
        <w:pStyle w:val="10"/>
        <w:jc w:val="center"/>
        <w:rPr>
          <w:rFonts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第五部分</w:t>
      </w:r>
    </w:p>
    <w:p w14:paraId="13CA80C6">
      <w:pPr>
        <w:pStyle w:val="10"/>
        <w:jc w:val="center"/>
        <w:rPr>
          <w:rFonts w:ascii="方正小标宋_GBK" w:hAnsi="方正小标宋_GBK" w:eastAsia="方正小标宋_GBK" w:cs="方正小标宋_GBK"/>
          <w:sz w:val="84"/>
          <w:szCs w:val="84"/>
          <w:highlight w:val="none"/>
        </w:rPr>
      </w:pPr>
    </w:p>
    <w:p w14:paraId="427AAA85">
      <w:pPr>
        <w:pStyle w:val="10"/>
        <w:jc w:val="center"/>
        <w:rPr>
          <w:sz w:val="72"/>
          <w:szCs w:val="72"/>
          <w:highlight w:val="none"/>
        </w:rPr>
      </w:pPr>
      <w:r>
        <w:rPr>
          <w:rFonts w:hint="eastAsia" w:ascii="方正小标宋_GBK" w:hAnsi="方正小标宋_GBK" w:eastAsia="方正小标宋_GBK" w:cs="方正小标宋_GBK"/>
          <w:sz w:val="84"/>
          <w:szCs w:val="84"/>
          <w:highlight w:val="none"/>
        </w:rPr>
        <w:t>附件</w:t>
      </w:r>
    </w:p>
    <w:p w14:paraId="2DB443B4">
      <w:pPr>
        <w:pStyle w:val="10"/>
        <w:jc w:val="center"/>
        <w:rPr>
          <w:sz w:val="72"/>
          <w:szCs w:val="72"/>
          <w:highlight w:val="none"/>
        </w:rPr>
      </w:pPr>
    </w:p>
    <w:p w14:paraId="72BFDBB1">
      <w:pPr>
        <w:pStyle w:val="10"/>
        <w:jc w:val="both"/>
        <w:rPr>
          <w:sz w:val="72"/>
          <w:szCs w:val="72"/>
          <w:highlight w:val="none"/>
        </w:rPr>
      </w:pPr>
    </w:p>
    <w:p w14:paraId="5A327E1C">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0840C6-3234-4BC5-B7D0-5249F8B0B0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D147B38-D2F8-4FEC-9994-034941DEB312}"/>
  </w:font>
  <w:font w:name="方正仿宋_GB2312">
    <w:panose1 w:val="02000000000000000000"/>
    <w:charset w:val="86"/>
    <w:family w:val="auto"/>
    <w:pitch w:val="default"/>
    <w:sig w:usb0="A00002BF" w:usb1="184F6CFA" w:usb2="00000012" w:usb3="00000000" w:csb0="00040001" w:csb1="00000000"/>
    <w:embedRegular r:id="rId3" w:fontKey="{FBDD743D-A0EF-40D2-87C4-0AB020800981}"/>
  </w:font>
  <w:font w:name="仿宋_GB2312">
    <w:panose1 w:val="02010609030101010101"/>
    <w:charset w:val="86"/>
    <w:family w:val="modern"/>
    <w:pitch w:val="default"/>
    <w:sig w:usb0="00000001" w:usb1="080E0000" w:usb2="00000000" w:usb3="00000000" w:csb0="00040000" w:csb1="00000000"/>
    <w:embedRegular r:id="rId4" w:fontKey="{3A328737-D1C1-4012-BE3A-6252CF6BA7F3}"/>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615C4764-91F8-43F2-9565-F1ACB53171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CD4580C"/>
    <w:rsid w:val="16B12517"/>
    <w:rsid w:val="2332224D"/>
    <w:rsid w:val="2DD05F94"/>
    <w:rsid w:val="331754E6"/>
    <w:rsid w:val="38835502"/>
    <w:rsid w:val="38DB74DA"/>
    <w:rsid w:val="3BF2565F"/>
    <w:rsid w:val="45AD58C9"/>
    <w:rsid w:val="465B5FE0"/>
    <w:rsid w:val="4FB05450"/>
    <w:rsid w:val="5777D4F5"/>
    <w:rsid w:val="5FC6BB1E"/>
    <w:rsid w:val="5FF720F1"/>
    <w:rsid w:val="664515BA"/>
    <w:rsid w:val="679B4251"/>
    <w:rsid w:val="67D249A3"/>
    <w:rsid w:val="69CF62D1"/>
    <w:rsid w:val="6EC97541"/>
    <w:rsid w:val="71691808"/>
    <w:rsid w:val="737D59BA"/>
    <w:rsid w:val="75E342E9"/>
    <w:rsid w:val="77C37683"/>
    <w:rsid w:val="79FF515B"/>
    <w:rsid w:val="7BF30969"/>
    <w:rsid w:val="7E9F11B4"/>
    <w:rsid w:val="7F1869D1"/>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spacing w:line="481" w:lineRule="atLeast"/>
      <w:ind w:firstLine="623"/>
      <w:textAlignment w:val="baseline"/>
    </w:pPr>
    <w:rPr>
      <w:color w:val="000000"/>
      <w:sz w:val="31"/>
      <w:szCs w:val="31"/>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7568</Words>
  <Characters>9445</Characters>
  <Lines>63</Lines>
  <Paragraphs>18</Paragraphs>
  <TotalTime>0</TotalTime>
  <ScaleCrop>false</ScaleCrop>
  <LinksUpToDate>false</LinksUpToDate>
  <CharactersWithSpaces>10314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2023-08-15T09:28:00Z</cp:lastPrinted>
  <dcterms:modified xsi:type="dcterms:W3CDTF">2024-10-14T10:57:46Z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8458E3EE98B340048C34B667B956E580_12</vt:lpwstr>
  </property>
</Properties>
</file>