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仿宋" w:hAnsi="仿宋" w:eastAsia="仿宋" w:cs="仿宋"/>
          <w:b/>
          <w:bCs/>
          <w:color w:val="auto"/>
          <w:sz w:val="48"/>
          <w:szCs w:val="48"/>
        </w:rPr>
      </w:pPr>
      <w:r>
        <w:rPr>
          <w:rFonts w:hint="eastAsia" w:ascii="仿宋" w:hAnsi="仿宋" w:eastAsia="仿宋" w:cs="仿宋"/>
          <w:b/>
          <w:bCs/>
          <w:i w:val="0"/>
          <w:iCs w:val="0"/>
          <w:caps w:val="0"/>
          <w:color w:val="auto"/>
          <w:spacing w:val="0"/>
          <w:sz w:val="48"/>
          <w:szCs w:val="48"/>
        </w:rPr>
        <w:t>怀化市幼儿园2022年度部门预算公开说明 </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目  录</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第一部分2022年部门预算说明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一、部门基本概况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二、部门预算单位构成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三、部门收支总体情况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四、一般公共预算拨款支出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五、政府性基金预算支出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rPr>
        <w:t>六、其他重要事项的情况说明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 w:hAnsi="仿宋" w:eastAsia="仿宋" w:cs="仿宋"/>
          <w:b/>
          <w:bCs/>
          <w:color w:val="auto"/>
          <w:kern w:val="0"/>
          <w:sz w:val="32"/>
          <w:szCs w:val="32"/>
        </w:rPr>
      </w:pPr>
      <w:r>
        <w:rPr>
          <w:rFonts w:hint="eastAsia" w:ascii="仿宋" w:hAnsi="仿宋" w:eastAsia="仿宋" w:cs="仿宋"/>
          <w:i w:val="0"/>
          <w:iCs w:val="0"/>
          <w:caps w:val="0"/>
          <w:color w:val="auto"/>
          <w:spacing w:val="0"/>
          <w:sz w:val="32"/>
          <w:szCs w:val="32"/>
          <w:shd w:val="clear" w:fill="FFFFFF"/>
        </w:rPr>
        <w:t>七、名词解释</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jc w:val="both"/>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第二部分2022年部门预算表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1、部门收支总表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2、部门收入总表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3、部门支出总表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4、财政拨款收支</w:t>
      </w:r>
      <w:r>
        <w:rPr>
          <w:rFonts w:hint="eastAsia" w:ascii="仿宋" w:hAnsi="仿宋" w:eastAsia="仿宋" w:cs="仿宋"/>
          <w:color w:val="auto"/>
          <w:sz w:val="32"/>
          <w:szCs w:val="32"/>
          <w:lang w:val="en-US" w:eastAsia="zh-CN"/>
        </w:rPr>
        <w:t>总</w:t>
      </w:r>
      <w:r>
        <w:rPr>
          <w:rFonts w:hint="eastAsia" w:ascii="仿宋" w:hAnsi="仿宋" w:eastAsia="仿宋" w:cs="仿宋"/>
          <w:color w:val="auto"/>
          <w:sz w:val="32"/>
          <w:szCs w:val="32"/>
        </w:rPr>
        <w:t>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5、一般公共预算支出表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6、一般公共预算基本支出表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7、一般公共预算“三公”经费支出表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8、政府性基金预算支出表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国有资本经营预算支出表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10、</w:t>
      </w:r>
      <w:r>
        <w:rPr>
          <w:rFonts w:hint="eastAsia" w:ascii="仿宋" w:hAnsi="仿宋" w:eastAsia="仿宋" w:cs="仿宋"/>
          <w:color w:val="auto"/>
          <w:sz w:val="32"/>
          <w:szCs w:val="32"/>
          <w:highlight w:val="none"/>
        </w:rPr>
        <w:t>项目支出绩效目标表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11、部门整体支出绩效目标表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rPr>
        <w:t>注：以上部门预算报表中，空表表示本部门无相关收支情况。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both"/>
        <w:textAlignment w:val="auto"/>
        <w:rPr>
          <w:rFonts w:hint="eastAsia" w:ascii="仿宋" w:hAnsi="仿宋" w:eastAsia="仿宋" w:cs="仿宋"/>
          <w:b/>
          <w:bCs/>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jc w:val="center"/>
        <w:textAlignment w:val="auto"/>
        <w:rPr>
          <w:rFonts w:hint="eastAsia" w:ascii="黑体" w:hAnsi="黑体" w:eastAsia="黑体" w:cs="黑体"/>
          <w:b/>
          <w:bCs/>
          <w:i w:val="0"/>
          <w:iCs w:val="0"/>
          <w:caps w:val="0"/>
          <w:color w:val="auto"/>
          <w:spacing w:val="0"/>
          <w:sz w:val="44"/>
          <w:szCs w:val="44"/>
          <w:shd w:val="clear" w:color="auto" w:fill="FFFFFF"/>
        </w:rPr>
      </w:pPr>
      <w:r>
        <w:rPr>
          <w:rFonts w:hint="eastAsia" w:ascii="黑体" w:hAnsi="黑体" w:eastAsia="黑体" w:cs="黑体"/>
          <w:b/>
          <w:bCs/>
          <w:i w:val="0"/>
          <w:iCs w:val="0"/>
          <w:caps w:val="0"/>
          <w:color w:val="auto"/>
          <w:spacing w:val="0"/>
          <w:sz w:val="44"/>
          <w:szCs w:val="44"/>
          <w:shd w:val="clear" w:color="auto" w:fill="FFFFFF"/>
        </w:rPr>
        <w:t>第一部分 2022年部门预算说明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color="auto" w:fill="FFFFFF"/>
        </w:rPr>
        <w:t>一、部门基本概况</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textAlignment w:val="auto"/>
        <w:rPr>
          <w:rFonts w:hint="eastAsia" w:ascii="仿宋" w:hAnsi="仿宋" w:eastAsia="仿宋" w:cs="仿宋"/>
          <w:color w:val="auto"/>
          <w:sz w:val="32"/>
          <w:szCs w:val="32"/>
        </w:rPr>
      </w:pPr>
      <w:r>
        <w:rPr>
          <w:rFonts w:hint="eastAsia" w:ascii="仿宋" w:hAnsi="仿宋" w:eastAsia="仿宋" w:cs="仿宋"/>
          <w:b/>
          <w:bCs w:val="0"/>
          <w:color w:val="auto"/>
          <w:sz w:val="32"/>
          <w:szCs w:val="32"/>
        </w:rPr>
        <w:t>（一）部门职责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怀化市幼儿园的部门职责是贯彻国家的教育方针，按照保育与教育相结合的原则，遵循幼儿身心发展特点和规律，实施德、智、体、美等方面全面发展的教育，促进幼儿身心和谐发展。同时面向幼儿家长提供科学育儿指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（二）机构设置情况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怀化市幼儿园作为一级部门预算单位，内设科室为：办公室、保教室 、总务室、校安办、督导室。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二、部门预算单位构成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纳入2022年怀化市幼儿园预算编制范围的包括：怀化市幼儿园本级。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三、部门收支总体情况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2022年部门预算包括本单位预算内的收支情况。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（一）收入预算</w:t>
      </w: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2022年年初预算数1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192.67万元，其中，一般公共预算拨款1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192.67万元，政府性基金预算拨款0万元，纳入财政专户管理的非税收入拨款0万元，国有资</w:t>
      </w:r>
      <w:r>
        <w:rPr>
          <w:rFonts w:hint="eastAsia" w:ascii="仿宋" w:hAnsi="仿宋" w:eastAsia="仿宋" w:cs="仿宋"/>
          <w:b w:val="0"/>
          <w:bCs w:val="0"/>
          <w:i w:val="0"/>
          <w:iCs w:val="0"/>
          <w:caps w:val="0"/>
          <w:color w:val="auto"/>
          <w:spacing w:val="0"/>
          <w:sz w:val="32"/>
          <w:szCs w:val="32"/>
        </w:rPr>
        <w:t>本经营预算拨款0万元。压减公用经费和专项支出后，同口径对比，收入较上年减少102.25万元，</w:t>
      </w:r>
      <w:r>
        <w:rPr>
          <w:rFonts w:hint="eastAsia" w:ascii="仿宋" w:hAnsi="仿宋" w:eastAsia="仿宋" w:cs="仿宋"/>
          <w:b w:val="0"/>
          <w:bCs w:val="0"/>
          <w:i w:val="0"/>
          <w:iCs w:val="0"/>
          <w:caps w:val="0"/>
          <w:color w:val="auto"/>
          <w:spacing w:val="0"/>
          <w:sz w:val="32"/>
          <w:szCs w:val="32"/>
          <w:lang w:val="en-US" w:eastAsia="zh-CN"/>
        </w:rPr>
        <w:t>减少7.90%，</w:t>
      </w:r>
      <w:r>
        <w:rPr>
          <w:rFonts w:hint="eastAsia" w:ascii="仿宋" w:hAnsi="仿宋" w:eastAsia="仿宋" w:cs="仿宋"/>
          <w:b w:val="0"/>
          <w:bCs w:val="0"/>
          <w:i w:val="0"/>
          <w:iCs w:val="0"/>
          <w:caps w:val="0"/>
          <w:color w:val="auto"/>
          <w:spacing w:val="0"/>
          <w:sz w:val="32"/>
          <w:szCs w:val="32"/>
        </w:rPr>
        <w:t>主要原因是上年度预算包含了结余结转资金，基数较高。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（二）支出预算</w:t>
      </w: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rPr>
        <w:t>2022年年初预算数1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192.67万元，其中，主要是基本支出685.02万元、项目支出507.65万元。</w:t>
      </w:r>
      <w:r>
        <w:rPr>
          <w:rFonts w:hint="eastAsia" w:ascii="仿宋" w:hAnsi="仿宋" w:eastAsia="仿宋" w:cs="仿宋"/>
          <w:b w:val="0"/>
          <w:bCs w:val="0"/>
          <w:i w:val="0"/>
          <w:iCs w:val="0"/>
          <w:caps w:val="0"/>
          <w:color w:val="auto"/>
          <w:spacing w:val="0"/>
          <w:sz w:val="32"/>
          <w:szCs w:val="32"/>
        </w:rPr>
        <w:t>压减公用经费和专项支出后，同口径对比，支出较上年减少102.25万元，</w:t>
      </w:r>
      <w:r>
        <w:rPr>
          <w:rFonts w:hint="eastAsia" w:ascii="仿宋" w:hAnsi="仿宋" w:eastAsia="仿宋" w:cs="仿宋"/>
          <w:b w:val="0"/>
          <w:bCs w:val="0"/>
          <w:i w:val="0"/>
          <w:iCs w:val="0"/>
          <w:caps w:val="0"/>
          <w:color w:val="auto"/>
          <w:spacing w:val="0"/>
          <w:sz w:val="32"/>
          <w:szCs w:val="32"/>
          <w:lang w:val="en-US" w:eastAsia="zh-CN"/>
        </w:rPr>
        <w:t>减少7.90%，</w:t>
      </w:r>
      <w:r>
        <w:rPr>
          <w:rFonts w:hint="eastAsia" w:ascii="仿宋" w:hAnsi="仿宋" w:eastAsia="仿宋" w:cs="仿宋"/>
          <w:b w:val="0"/>
          <w:bCs w:val="0"/>
          <w:i w:val="0"/>
          <w:iCs w:val="0"/>
          <w:caps w:val="0"/>
          <w:color w:val="auto"/>
          <w:spacing w:val="0"/>
          <w:sz w:val="32"/>
          <w:szCs w:val="32"/>
        </w:rPr>
        <w:t>主要原因是上年度预算包含了结余结转资金，基数较高。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黑体" w:hAnsi="黑体" w:eastAsia="黑体" w:cs="黑体"/>
          <w:color w:val="auto"/>
          <w:sz w:val="32"/>
          <w:szCs w:val="32"/>
        </w:rPr>
      </w:pPr>
      <w:bookmarkStart w:id="0" w:name="_GoBack"/>
      <w:bookmarkEnd w:id="0"/>
      <w:r>
        <w:rPr>
          <w:rFonts w:hint="eastAsia" w:ascii="黑体" w:hAnsi="黑体" w:eastAsia="黑体" w:cs="黑体"/>
          <w:i w:val="0"/>
          <w:iCs w:val="0"/>
          <w:caps w:val="0"/>
          <w:color w:val="auto"/>
          <w:spacing w:val="0"/>
          <w:sz w:val="32"/>
          <w:szCs w:val="32"/>
        </w:rPr>
        <w:t>四、一般公共预算财政拨款支出情况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年本部门一般公共预算拨款支出预算</w:t>
      </w:r>
      <w:r>
        <w:rPr>
          <w:rFonts w:hint="eastAsia" w:ascii="仿宋" w:hAnsi="仿宋" w:eastAsia="仿宋" w:cs="仿宋"/>
          <w:i w:val="0"/>
          <w:iCs w:val="0"/>
          <w:caps w:val="0"/>
          <w:color w:val="auto"/>
          <w:spacing w:val="0"/>
          <w:sz w:val="32"/>
          <w:szCs w:val="32"/>
          <w:u w:val="none"/>
        </w:rPr>
        <w:t>1</w:t>
      </w:r>
      <w:r>
        <w:rPr>
          <w:rFonts w:hint="eastAsia" w:ascii="仿宋" w:hAnsi="仿宋" w:eastAsia="仿宋" w:cs="仿宋"/>
          <w:i w:val="0"/>
          <w:iCs w:val="0"/>
          <w:caps w:val="0"/>
          <w:color w:val="auto"/>
          <w:spacing w:val="0"/>
          <w:sz w:val="32"/>
          <w:szCs w:val="32"/>
          <w:u w:val="none"/>
          <w:lang w:val="en-US" w:eastAsia="zh-CN"/>
        </w:rPr>
        <w:t>,</w:t>
      </w:r>
      <w:r>
        <w:rPr>
          <w:rFonts w:hint="eastAsia" w:ascii="仿宋" w:hAnsi="仿宋" w:eastAsia="仿宋" w:cs="仿宋"/>
          <w:i w:val="0"/>
          <w:iCs w:val="0"/>
          <w:caps w:val="0"/>
          <w:color w:val="auto"/>
          <w:spacing w:val="0"/>
          <w:sz w:val="32"/>
          <w:szCs w:val="32"/>
          <w:u w:val="none"/>
        </w:rPr>
        <w:t>192.67</w:t>
      </w:r>
      <w:r>
        <w:rPr>
          <w:rFonts w:hint="eastAsia" w:ascii="仿宋" w:hAnsi="仿宋" w:eastAsia="仿宋" w:cs="仿宋"/>
          <w:color w:val="auto"/>
          <w:sz w:val="32"/>
          <w:szCs w:val="32"/>
        </w:rPr>
        <w:t>万元，其中，</w:t>
      </w:r>
      <w:r>
        <w:rPr>
          <w:rFonts w:hint="eastAsia" w:ascii="仿宋" w:hAnsi="仿宋" w:eastAsia="仿宋" w:cs="仿宋"/>
          <w:color w:val="auto"/>
          <w:sz w:val="32"/>
          <w:szCs w:val="32"/>
          <w:lang w:val="en-US" w:eastAsia="zh-CN"/>
        </w:rPr>
        <w:t>教育支出1,075.46</w:t>
      </w:r>
      <w:r>
        <w:rPr>
          <w:rFonts w:hint="eastAsia" w:ascii="仿宋" w:hAnsi="仿宋" w:eastAsia="仿宋" w:cs="仿宋"/>
          <w:color w:val="auto"/>
          <w:sz w:val="32"/>
          <w:szCs w:val="32"/>
        </w:rPr>
        <w:t>万元，占90.17%；社会保障和就业支出</w:t>
      </w:r>
      <w:r>
        <w:rPr>
          <w:rFonts w:hint="eastAsia" w:ascii="仿宋" w:hAnsi="仿宋" w:eastAsia="仿宋" w:cs="仿宋"/>
          <w:color w:val="auto"/>
          <w:sz w:val="32"/>
          <w:szCs w:val="32"/>
          <w:lang w:val="en-US" w:eastAsia="zh-CN"/>
        </w:rPr>
        <w:t>78.35万元，占6.57%；卫生健康支出38.86万元，占3.26%。</w:t>
      </w:r>
      <w:r>
        <w:rPr>
          <w:rFonts w:hint="eastAsia" w:ascii="仿宋" w:hAnsi="仿宋" w:eastAsia="仿宋" w:cs="仿宋"/>
          <w:color w:val="auto"/>
          <w:sz w:val="32"/>
          <w:szCs w:val="32"/>
        </w:rPr>
        <w:t>具体安排情况如下：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b/>
          <w:bCs/>
          <w:i w:val="0"/>
          <w:iCs w:val="0"/>
          <w:caps w:val="0"/>
          <w:color w:val="auto"/>
          <w:spacing w:val="0"/>
          <w:sz w:val="32"/>
          <w:szCs w:val="32"/>
        </w:rPr>
        <w:t>（一）基本支出：</w:t>
      </w:r>
      <w:r>
        <w:rPr>
          <w:rFonts w:hint="eastAsia" w:ascii="仿宋" w:hAnsi="仿宋" w:eastAsia="仿宋" w:cs="仿宋"/>
          <w:i w:val="0"/>
          <w:iCs w:val="0"/>
          <w:caps w:val="0"/>
          <w:color w:val="auto"/>
          <w:spacing w:val="0"/>
          <w:sz w:val="32"/>
          <w:szCs w:val="32"/>
        </w:rPr>
        <w:t>2022年年初预算数为685.02万元，是指为保障单位机构正常运转、完成日常工作任务而发生的各项支出，包括用于基本工资245.4</w:t>
      </w:r>
      <w:r>
        <w:rPr>
          <w:rFonts w:hint="eastAsia" w:ascii="仿宋" w:hAnsi="仿宋" w:eastAsia="仿宋" w:cs="仿宋"/>
          <w:i w:val="0"/>
          <w:iCs w:val="0"/>
          <w:caps w:val="0"/>
          <w:color w:val="auto"/>
          <w:spacing w:val="0"/>
          <w:sz w:val="32"/>
          <w:szCs w:val="32"/>
          <w:lang w:val="en-US" w:eastAsia="zh-CN"/>
        </w:rPr>
        <w:t>0</w:t>
      </w:r>
      <w:r>
        <w:rPr>
          <w:rFonts w:hint="eastAsia" w:ascii="仿宋" w:hAnsi="仿宋" w:eastAsia="仿宋" w:cs="仿宋"/>
          <w:i w:val="0"/>
          <w:iCs w:val="0"/>
          <w:caps w:val="0"/>
          <w:color w:val="auto"/>
          <w:spacing w:val="0"/>
          <w:sz w:val="32"/>
          <w:szCs w:val="32"/>
        </w:rPr>
        <w:t>万元</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占比35.82%</w:t>
      </w:r>
      <w:r>
        <w:rPr>
          <w:rFonts w:hint="eastAsia" w:ascii="仿宋" w:hAnsi="仿宋" w:eastAsia="仿宋" w:cs="仿宋"/>
          <w:i w:val="0"/>
          <w:iCs w:val="0"/>
          <w:caps w:val="0"/>
          <w:color w:val="auto"/>
          <w:spacing w:val="0"/>
          <w:sz w:val="32"/>
          <w:szCs w:val="32"/>
        </w:rPr>
        <w:t>、津贴补贴27.12万元</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占比3.96%</w:t>
      </w:r>
      <w:r>
        <w:rPr>
          <w:rFonts w:hint="eastAsia" w:ascii="仿宋" w:hAnsi="仿宋" w:eastAsia="仿宋" w:cs="仿宋"/>
          <w:i w:val="0"/>
          <w:iCs w:val="0"/>
          <w:caps w:val="0"/>
          <w:color w:val="auto"/>
          <w:spacing w:val="0"/>
          <w:sz w:val="32"/>
          <w:szCs w:val="32"/>
        </w:rPr>
        <w:t>、绩效工资185.01万元</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占比27.01%</w:t>
      </w:r>
      <w:r>
        <w:rPr>
          <w:rFonts w:hint="eastAsia" w:ascii="仿宋" w:hAnsi="仿宋" w:eastAsia="仿宋" w:cs="仿宋"/>
          <w:i w:val="0"/>
          <w:iCs w:val="0"/>
          <w:caps w:val="0"/>
          <w:color w:val="auto"/>
          <w:spacing w:val="0"/>
          <w:sz w:val="32"/>
          <w:szCs w:val="32"/>
        </w:rPr>
        <w:t>、住房公积金54.86万元</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占比8.01%</w:t>
      </w:r>
      <w:r>
        <w:rPr>
          <w:rFonts w:hint="eastAsia" w:ascii="仿宋" w:hAnsi="仿宋" w:eastAsia="仿宋" w:cs="仿宋"/>
          <w:i w:val="0"/>
          <w:iCs w:val="0"/>
          <w:caps w:val="0"/>
          <w:color w:val="auto"/>
          <w:spacing w:val="0"/>
          <w:sz w:val="32"/>
          <w:szCs w:val="32"/>
        </w:rPr>
        <w:t>、办公费11.5</w:t>
      </w:r>
      <w:r>
        <w:rPr>
          <w:rFonts w:hint="eastAsia" w:ascii="仿宋" w:hAnsi="仿宋" w:eastAsia="仿宋" w:cs="仿宋"/>
          <w:i w:val="0"/>
          <w:iCs w:val="0"/>
          <w:caps w:val="0"/>
          <w:color w:val="auto"/>
          <w:spacing w:val="0"/>
          <w:sz w:val="32"/>
          <w:szCs w:val="32"/>
          <w:lang w:val="en-US" w:eastAsia="zh-CN"/>
        </w:rPr>
        <w:t>0</w:t>
      </w:r>
      <w:r>
        <w:rPr>
          <w:rFonts w:hint="eastAsia" w:ascii="仿宋" w:hAnsi="仿宋" w:eastAsia="仿宋" w:cs="仿宋"/>
          <w:i w:val="0"/>
          <w:iCs w:val="0"/>
          <w:caps w:val="0"/>
          <w:color w:val="auto"/>
          <w:spacing w:val="0"/>
          <w:sz w:val="32"/>
          <w:szCs w:val="32"/>
        </w:rPr>
        <w:t>万元</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占比1.68%</w:t>
      </w:r>
      <w:r>
        <w:rPr>
          <w:rFonts w:hint="eastAsia" w:ascii="仿宋" w:hAnsi="仿宋" w:eastAsia="仿宋" w:cs="仿宋"/>
          <w:i w:val="0"/>
          <w:iCs w:val="0"/>
          <w:caps w:val="0"/>
          <w:color w:val="auto"/>
          <w:spacing w:val="0"/>
          <w:sz w:val="32"/>
          <w:szCs w:val="32"/>
        </w:rPr>
        <w:t>、水电费12.75万元</w:t>
      </w:r>
      <w:r>
        <w:rPr>
          <w:rFonts w:hint="eastAsia" w:ascii="仿宋" w:hAnsi="仿宋" w:eastAsia="仿宋" w:cs="仿宋"/>
          <w:i w:val="0"/>
          <w:iCs w:val="0"/>
          <w:caps w:val="0"/>
          <w:color w:val="auto"/>
          <w:spacing w:val="0"/>
          <w:sz w:val="32"/>
          <w:szCs w:val="32"/>
          <w:lang w:eastAsia="zh-CN"/>
        </w:rPr>
        <w:t>，</w:t>
      </w:r>
      <w:r>
        <w:rPr>
          <w:rFonts w:hint="eastAsia" w:ascii="仿宋" w:hAnsi="仿宋" w:eastAsia="仿宋" w:cs="仿宋"/>
          <w:i w:val="0"/>
          <w:iCs w:val="0"/>
          <w:caps w:val="0"/>
          <w:color w:val="auto"/>
          <w:spacing w:val="0"/>
          <w:sz w:val="32"/>
          <w:szCs w:val="32"/>
          <w:lang w:val="en-US" w:eastAsia="zh-CN"/>
        </w:rPr>
        <w:t>占比1.86%、其他商品服务支出14.95万元，占比2.18%、工会经费9.15万元，占比1.34%、其他工资福利支出12.27万元，占比1.79%、机关事业单位基本养老保险缴费73.15万元，占比10.68%、职工基本医疗保险缴费38.86万元，占比5.67%</w:t>
      </w:r>
      <w:r>
        <w:rPr>
          <w:rFonts w:hint="eastAsia" w:ascii="仿宋" w:hAnsi="仿宋" w:eastAsia="仿宋" w:cs="仿宋"/>
          <w:i w:val="0"/>
          <w:iCs w:val="0"/>
          <w:caps w:val="0"/>
          <w:color w:val="auto"/>
          <w:spacing w:val="0"/>
          <w:sz w:val="32"/>
          <w:szCs w:val="32"/>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（二）项目支出：</w:t>
      </w:r>
      <w:r>
        <w:rPr>
          <w:rFonts w:hint="eastAsia" w:ascii="仿宋" w:hAnsi="仿宋" w:eastAsia="仿宋" w:cs="仿宋"/>
          <w:i w:val="0"/>
          <w:iCs w:val="0"/>
          <w:caps w:val="0"/>
          <w:color w:val="auto"/>
          <w:spacing w:val="0"/>
          <w:sz w:val="32"/>
          <w:szCs w:val="32"/>
        </w:rPr>
        <w:t>2022年年初预算数为507.65万元，是指单位为完成特定行政工作任务或事业发展目标而发生的支出，包括有关事业发展专项、专项业务费、基本建设支出等。其中：教育管理支出498.75万元，</w:t>
      </w:r>
      <w:r>
        <w:rPr>
          <w:rFonts w:hint="eastAsia" w:ascii="仿宋" w:hAnsi="仿宋" w:eastAsia="仿宋" w:cs="仿宋"/>
          <w:i w:val="0"/>
          <w:iCs w:val="0"/>
          <w:caps w:val="0"/>
          <w:color w:val="auto"/>
          <w:spacing w:val="0"/>
          <w:sz w:val="32"/>
          <w:szCs w:val="32"/>
          <w:lang w:val="en-US" w:eastAsia="zh-CN"/>
        </w:rPr>
        <w:t>占比98.24%，</w:t>
      </w:r>
      <w:r>
        <w:rPr>
          <w:rFonts w:hint="eastAsia" w:ascii="仿宋" w:hAnsi="仿宋" w:eastAsia="仿宋" w:cs="仿宋"/>
          <w:i w:val="0"/>
          <w:iCs w:val="0"/>
          <w:caps w:val="0"/>
          <w:color w:val="auto"/>
          <w:spacing w:val="0"/>
          <w:sz w:val="32"/>
          <w:szCs w:val="32"/>
        </w:rPr>
        <w:t>主要用于园内日常管理开支，教育教学开支等方面；校方保安经费支出7.3</w:t>
      </w:r>
      <w:r>
        <w:rPr>
          <w:rFonts w:hint="eastAsia" w:ascii="仿宋" w:hAnsi="仿宋" w:eastAsia="仿宋" w:cs="仿宋"/>
          <w:i w:val="0"/>
          <w:iCs w:val="0"/>
          <w:caps w:val="0"/>
          <w:color w:val="auto"/>
          <w:spacing w:val="0"/>
          <w:sz w:val="32"/>
          <w:szCs w:val="32"/>
          <w:lang w:val="en-US" w:eastAsia="zh-CN"/>
        </w:rPr>
        <w:t>0</w:t>
      </w:r>
      <w:r>
        <w:rPr>
          <w:rFonts w:hint="eastAsia" w:ascii="仿宋" w:hAnsi="仿宋" w:eastAsia="仿宋" w:cs="仿宋"/>
          <w:i w:val="0"/>
          <w:iCs w:val="0"/>
          <w:caps w:val="0"/>
          <w:color w:val="auto"/>
          <w:spacing w:val="0"/>
          <w:sz w:val="32"/>
          <w:szCs w:val="32"/>
        </w:rPr>
        <w:t>万元，</w:t>
      </w:r>
      <w:r>
        <w:rPr>
          <w:rFonts w:hint="eastAsia" w:ascii="仿宋" w:hAnsi="仿宋" w:eastAsia="仿宋" w:cs="仿宋"/>
          <w:i w:val="0"/>
          <w:iCs w:val="0"/>
          <w:caps w:val="0"/>
          <w:color w:val="auto"/>
          <w:spacing w:val="0"/>
          <w:sz w:val="32"/>
          <w:szCs w:val="32"/>
          <w:lang w:val="en-US" w:eastAsia="zh-CN"/>
        </w:rPr>
        <w:t>占比1.44%，</w:t>
      </w:r>
      <w:r>
        <w:rPr>
          <w:rFonts w:hint="eastAsia" w:ascii="仿宋" w:hAnsi="仿宋" w:eastAsia="仿宋" w:cs="仿宋"/>
          <w:i w:val="0"/>
          <w:iCs w:val="0"/>
          <w:caps w:val="0"/>
          <w:color w:val="auto"/>
          <w:spacing w:val="0"/>
          <w:sz w:val="32"/>
          <w:szCs w:val="32"/>
        </w:rPr>
        <w:t>主要用于园内安保人员开支等方面；校方责任险支出1.6</w:t>
      </w:r>
      <w:r>
        <w:rPr>
          <w:rFonts w:hint="eastAsia" w:ascii="仿宋" w:hAnsi="仿宋" w:eastAsia="仿宋" w:cs="仿宋"/>
          <w:i w:val="0"/>
          <w:iCs w:val="0"/>
          <w:caps w:val="0"/>
          <w:color w:val="auto"/>
          <w:spacing w:val="0"/>
          <w:sz w:val="32"/>
          <w:szCs w:val="32"/>
          <w:lang w:val="en-US" w:eastAsia="zh-CN"/>
        </w:rPr>
        <w:t>0</w:t>
      </w:r>
      <w:r>
        <w:rPr>
          <w:rFonts w:hint="eastAsia" w:ascii="仿宋" w:hAnsi="仿宋" w:eastAsia="仿宋" w:cs="仿宋"/>
          <w:i w:val="0"/>
          <w:iCs w:val="0"/>
          <w:caps w:val="0"/>
          <w:color w:val="auto"/>
          <w:spacing w:val="0"/>
          <w:sz w:val="32"/>
          <w:szCs w:val="32"/>
        </w:rPr>
        <w:t>万元，</w:t>
      </w:r>
      <w:r>
        <w:rPr>
          <w:rFonts w:hint="eastAsia" w:ascii="仿宋" w:hAnsi="仿宋" w:eastAsia="仿宋" w:cs="仿宋"/>
          <w:i w:val="0"/>
          <w:iCs w:val="0"/>
          <w:caps w:val="0"/>
          <w:color w:val="auto"/>
          <w:spacing w:val="0"/>
          <w:sz w:val="32"/>
          <w:szCs w:val="32"/>
          <w:lang w:val="en-US" w:eastAsia="zh-CN"/>
        </w:rPr>
        <w:t>占比0.32%，</w:t>
      </w:r>
      <w:r>
        <w:rPr>
          <w:rFonts w:hint="eastAsia" w:ascii="仿宋" w:hAnsi="仿宋" w:eastAsia="仿宋" w:cs="仿宋"/>
          <w:i w:val="0"/>
          <w:iCs w:val="0"/>
          <w:caps w:val="0"/>
          <w:color w:val="auto"/>
          <w:spacing w:val="0"/>
          <w:sz w:val="32"/>
          <w:szCs w:val="32"/>
        </w:rPr>
        <w:t>主要用于幼儿校方保险开支等方面。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五、政府性基金支出情况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2022年无政府性基金预算支出。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i w:val="0"/>
          <w:iCs w:val="0"/>
          <w:caps w:val="0"/>
          <w:color w:val="auto"/>
          <w:spacing w:val="0"/>
          <w:sz w:val="32"/>
          <w:szCs w:val="32"/>
        </w:rPr>
        <w:t>六、其他重要事项的情况说明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（一）“三公”经费预算</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b w:val="0"/>
          <w:bCs w:val="0"/>
          <w:i w:val="0"/>
          <w:iCs w:val="0"/>
          <w:caps w:val="0"/>
          <w:color w:val="auto"/>
          <w:spacing w:val="0"/>
          <w:sz w:val="32"/>
          <w:szCs w:val="32"/>
        </w:rPr>
        <w:t>2022年怀化市幼儿园部门安排“三公”经费预算数为2.52万元，其中，公务接待费2.52万元，</w:t>
      </w:r>
      <w:r>
        <w:rPr>
          <w:rFonts w:hint="eastAsia" w:ascii="仿宋" w:hAnsi="仿宋" w:eastAsia="仿宋" w:cs="仿宋"/>
          <w:color w:val="auto"/>
          <w:sz w:val="32"/>
          <w:szCs w:val="32"/>
        </w:rPr>
        <w:t>公务用车购置及运行费</w:t>
      </w:r>
      <w:r>
        <w:rPr>
          <w:rFonts w:hint="eastAsia" w:ascii="仿宋" w:hAnsi="仿宋" w:eastAsia="仿宋" w:cs="仿宋"/>
          <w:color w:val="auto"/>
          <w:sz w:val="32"/>
          <w:szCs w:val="32"/>
          <w:lang w:val="en-US" w:eastAsia="zh-CN"/>
        </w:rPr>
        <w:t>0万元，（其中，</w:t>
      </w:r>
      <w:r>
        <w:rPr>
          <w:rFonts w:hint="eastAsia" w:ascii="仿宋" w:hAnsi="仿宋" w:eastAsia="仿宋" w:cs="仿宋"/>
          <w:b w:val="0"/>
          <w:bCs w:val="0"/>
          <w:i w:val="0"/>
          <w:iCs w:val="0"/>
          <w:caps w:val="0"/>
          <w:color w:val="auto"/>
          <w:spacing w:val="0"/>
          <w:sz w:val="32"/>
          <w:szCs w:val="32"/>
        </w:rPr>
        <w:t>公务用车购置费0万元，公务用车运行费0万元，</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rPr>
        <w:t>因公出国（境）费0万元。2022年“三公”经费预算与上年持平</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color w:val="auto"/>
          <w:sz w:val="32"/>
          <w:szCs w:val="32"/>
        </w:rPr>
        <w:t>主要是厉行节约。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（二）机关运行经费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2022年怀化市幼儿园部门机关运行经费34万元，压减公用经费后安排27.6</w:t>
      </w:r>
      <w:r>
        <w:rPr>
          <w:rFonts w:hint="eastAsia" w:ascii="仿宋" w:hAnsi="仿宋" w:eastAsia="仿宋" w:cs="仿宋"/>
          <w:b w:val="0"/>
          <w:bCs w:val="0"/>
          <w:i w:val="0"/>
          <w:iCs w:val="0"/>
          <w:caps w:val="0"/>
          <w:color w:val="auto"/>
          <w:spacing w:val="0"/>
          <w:sz w:val="32"/>
          <w:szCs w:val="32"/>
          <w:lang w:val="en-US" w:eastAsia="zh-CN"/>
        </w:rPr>
        <w:t>0</w:t>
      </w:r>
      <w:r>
        <w:rPr>
          <w:rFonts w:hint="eastAsia" w:ascii="仿宋" w:hAnsi="仿宋" w:eastAsia="仿宋" w:cs="仿宋"/>
          <w:b w:val="0"/>
          <w:bCs w:val="0"/>
          <w:i w:val="0"/>
          <w:iCs w:val="0"/>
          <w:caps w:val="0"/>
          <w:color w:val="auto"/>
          <w:spacing w:val="0"/>
          <w:sz w:val="32"/>
          <w:szCs w:val="32"/>
        </w:rPr>
        <w:t>万元，同口径对比，比上年预算数减少13.02万元，下降</w:t>
      </w:r>
      <w:r>
        <w:rPr>
          <w:rFonts w:hint="eastAsia" w:ascii="仿宋" w:hAnsi="仿宋" w:eastAsia="仿宋" w:cs="仿宋"/>
          <w:b w:val="0"/>
          <w:bCs w:val="0"/>
          <w:i w:val="0"/>
          <w:iCs w:val="0"/>
          <w:caps w:val="0"/>
          <w:color w:val="auto"/>
          <w:spacing w:val="0"/>
          <w:sz w:val="32"/>
          <w:szCs w:val="32"/>
          <w:lang w:val="en-US" w:eastAsia="zh-CN"/>
        </w:rPr>
        <w:t>27.69</w:t>
      </w:r>
      <w:r>
        <w:rPr>
          <w:rFonts w:hint="eastAsia" w:ascii="仿宋" w:hAnsi="仿宋" w:eastAsia="仿宋" w:cs="仿宋"/>
          <w:b w:val="0"/>
          <w:bCs w:val="0"/>
          <w:i w:val="0"/>
          <w:iCs w:val="0"/>
          <w:caps w:val="0"/>
          <w:color w:val="auto"/>
          <w:spacing w:val="0"/>
          <w:sz w:val="32"/>
          <w:szCs w:val="32"/>
        </w:rPr>
        <w:t>%，主要因为2022年度使用新预算系统，上年度福利费、工会经费纳入公用经费（机关运行经费），本年度纳入人员经费。主要用于：水费支出，2.5</w:t>
      </w:r>
      <w:r>
        <w:rPr>
          <w:rFonts w:hint="eastAsia" w:ascii="仿宋" w:hAnsi="仿宋" w:eastAsia="仿宋" w:cs="仿宋"/>
          <w:b w:val="0"/>
          <w:bCs w:val="0"/>
          <w:i w:val="0"/>
          <w:iCs w:val="0"/>
          <w:caps w:val="0"/>
          <w:color w:val="auto"/>
          <w:spacing w:val="0"/>
          <w:sz w:val="32"/>
          <w:szCs w:val="32"/>
          <w:lang w:val="en-US" w:eastAsia="zh-CN"/>
        </w:rPr>
        <w:t>0</w:t>
      </w:r>
      <w:r>
        <w:rPr>
          <w:rFonts w:hint="eastAsia" w:ascii="仿宋" w:hAnsi="仿宋" w:eastAsia="仿宋" w:cs="仿宋"/>
          <w:b w:val="0"/>
          <w:bCs w:val="0"/>
          <w:i w:val="0"/>
          <w:iCs w:val="0"/>
          <w:caps w:val="0"/>
          <w:color w:val="auto"/>
          <w:spacing w:val="0"/>
          <w:sz w:val="32"/>
          <w:szCs w:val="32"/>
        </w:rPr>
        <w:t>万元；电费支出，10.25万元；办公费支出，11.5</w:t>
      </w:r>
      <w:r>
        <w:rPr>
          <w:rFonts w:hint="eastAsia" w:ascii="仿宋" w:hAnsi="仿宋" w:eastAsia="仿宋" w:cs="仿宋"/>
          <w:b w:val="0"/>
          <w:bCs w:val="0"/>
          <w:i w:val="0"/>
          <w:iCs w:val="0"/>
          <w:caps w:val="0"/>
          <w:color w:val="auto"/>
          <w:spacing w:val="0"/>
          <w:sz w:val="32"/>
          <w:szCs w:val="32"/>
          <w:lang w:val="en-US" w:eastAsia="zh-CN"/>
        </w:rPr>
        <w:t>0</w:t>
      </w:r>
      <w:r>
        <w:rPr>
          <w:rFonts w:hint="eastAsia" w:ascii="仿宋" w:hAnsi="仿宋" w:eastAsia="仿宋" w:cs="仿宋"/>
          <w:b w:val="0"/>
          <w:bCs w:val="0"/>
          <w:i w:val="0"/>
          <w:iCs w:val="0"/>
          <w:caps w:val="0"/>
          <w:color w:val="auto"/>
          <w:spacing w:val="0"/>
          <w:sz w:val="32"/>
          <w:szCs w:val="32"/>
        </w:rPr>
        <w:t>万元；其他商品和服务支出，9.75万元。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（三）政府采购情况</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b w:val="0"/>
          <w:bCs/>
          <w:color w:val="auto"/>
          <w:sz w:val="32"/>
          <w:szCs w:val="32"/>
          <w:u w:val="none"/>
        </w:rPr>
      </w:pPr>
      <w:r>
        <w:rPr>
          <w:rFonts w:hint="eastAsia" w:ascii="仿宋" w:hAnsi="仿宋" w:eastAsia="仿宋" w:cs="仿宋"/>
          <w:b w:val="0"/>
          <w:bCs/>
          <w:color w:val="auto"/>
          <w:sz w:val="32"/>
          <w:szCs w:val="32"/>
          <w:u w:val="none"/>
          <w:lang w:val="en-US" w:eastAsia="zh-CN"/>
        </w:rPr>
        <w:t>2022</w:t>
      </w:r>
      <w:r>
        <w:rPr>
          <w:rFonts w:hint="eastAsia" w:ascii="仿宋" w:hAnsi="仿宋" w:eastAsia="仿宋" w:cs="仿宋"/>
          <w:b w:val="0"/>
          <w:bCs/>
          <w:color w:val="auto"/>
          <w:sz w:val="32"/>
          <w:szCs w:val="32"/>
          <w:u w:val="none"/>
        </w:rPr>
        <w:t>年本部门政府采购预算总额</w:t>
      </w:r>
      <w:r>
        <w:rPr>
          <w:rFonts w:hint="eastAsia" w:ascii="仿宋" w:hAnsi="仿宋" w:eastAsia="仿宋" w:cs="仿宋"/>
          <w:b w:val="0"/>
          <w:bCs/>
          <w:color w:val="auto"/>
          <w:sz w:val="32"/>
          <w:szCs w:val="32"/>
          <w:u w:val="none"/>
          <w:lang w:val="en-US" w:eastAsia="zh-CN"/>
        </w:rPr>
        <w:t>0</w:t>
      </w:r>
      <w:r>
        <w:rPr>
          <w:rFonts w:hint="eastAsia" w:ascii="仿宋" w:hAnsi="仿宋" w:eastAsia="仿宋" w:cs="仿宋"/>
          <w:b w:val="0"/>
          <w:bCs/>
          <w:color w:val="auto"/>
          <w:sz w:val="32"/>
          <w:szCs w:val="32"/>
          <w:u w:val="none"/>
        </w:rPr>
        <w:t>万元，其中，货物类采购预算</w:t>
      </w:r>
      <w:r>
        <w:rPr>
          <w:rFonts w:hint="eastAsia" w:ascii="仿宋" w:hAnsi="仿宋" w:eastAsia="仿宋" w:cs="仿宋"/>
          <w:b w:val="0"/>
          <w:bCs/>
          <w:color w:val="auto"/>
          <w:sz w:val="32"/>
          <w:szCs w:val="32"/>
          <w:u w:val="none"/>
          <w:lang w:val="en-US" w:eastAsia="zh-CN"/>
        </w:rPr>
        <w:t>0</w:t>
      </w:r>
      <w:r>
        <w:rPr>
          <w:rFonts w:hint="eastAsia" w:ascii="仿宋" w:hAnsi="仿宋" w:eastAsia="仿宋" w:cs="仿宋"/>
          <w:b w:val="0"/>
          <w:bCs/>
          <w:color w:val="auto"/>
          <w:sz w:val="32"/>
          <w:szCs w:val="32"/>
          <w:u w:val="none"/>
        </w:rPr>
        <w:t>万元；工程类采购预算</w:t>
      </w:r>
      <w:r>
        <w:rPr>
          <w:rFonts w:hint="eastAsia" w:ascii="仿宋" w:hAnsi="仿宋" w:eastAsia="仿宋" w:cs="仿宋"/>
          <w:b w:val="0"/>
          <w:bCs/>
          <w:color w:val="auto"/>
          <w:sz w:val="32"/>
          <w:szCs w:val="32"/>
          <w:u w:val="none"/>
          <w:lang w:val="en-US" w:eastAsia="zh-CN"/>
        </w:rPr>
        <w:t>0</w:t>
      </w:r>
      <w:r>
        <w:rPr>
          <w:rFonts w:hint="eastAsia" w:ascii="仿宋" w:hAnsi="仿宋" w:eastAsia="仿宋" w:cs="仿宋"/>
          <w:b w:val="0"/>
          <w:bCs/>
          <w:color w:val="auto"/>
          <w:sz w:val="32"/>
          <w:szCs w:val="32"/>
          <w:u w:val="none"/>
        </w:rPr>
        <w:t>万元；服务类采购预算</w:t>
      </w:r>
      <w:r>
        <w:rPr>
          <w:rFonts w:hint="eastAsia" w:ascii="仿宋" w:hAnsi="仿宋" w:eastAsia="仿宋" w:cs="仿宋"/>
          <w:b w:val="0"/>
          <w:bCs/>
          <w:color w:val="auto"/>
          <w:sz w:val="32"/>
          <w:szCs w:val="32"/>
          <w:u w:val="none"/>
          <w:lang w:val="en-US" w:eastAsia="zh-CN"/>
        </w:rPr>
        <w:t>0</w:t>
      </w:r>
      <w:r>
        <w:rPr>
          <w:rFonts w:hint="eastAsia" w:ascii="仿宋" w:hAnsi="仿宋" w:eastAsia="仿宋" w:cs="仿宋"/>
          <w:b w:val="0"/>
          <w:bCs/>
          <w:color w:val="auto"/>
          <w:sz w:val="32"/>
          <w:szCs w:val="32"/>
          <w:u w:val="none"/>
        </w:rPr>
        <w:t>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（四）预算绩效管理情况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按照市本级预算绩效管理工作的总体要求，2022年我单位整体支出</w:t>
      </w:r>
      <w:r>
        <w:rPr>
          <w:rFonts w:hint="eastAsia" w:ascii="仿宋" w:hAnsi="仿宋" w:eastAsia="仿宋" w:cs="仿宋"/>
          <w:i w:val="0"/>
          <w:iCs w:val="0"/>
          <w:caps w:val="0"/>
          <w:color w:val="auto"/>
          <w:spacing w:val="0"/>
          <w:sz w:val="32"/>
          <w:szCs w:val="32"/>
        </w:rPr>
        <w:t>1</w:t>
      </w:r>
      <w:r>
        <w:rPr>
          <w:rFonts w:hint="eastAsia" w:ascii="仿宋" w:hAnsi="仿宋" w:eastAsia="仿宋" w:cs="仿宋"/>
          <w:i w:val="0"/>
          <w:iCs w:val="0"/>
          <w:caps w:val="0"/>
          <w:color w:val="auto"/>
          <w:spacing w:val="0"/>
          <w:sz w:val="32"/>
          <w:szCs w:val="32"/>
          <w:lang w:val="en-US" w:eastAsia="zh-CN"/>
        </w:rPr>
        <w:t>,</w:t>
      </w:r>
      <w:r>
        <w:rPr>
          <w:rFonts w:hint="eastAsia" w:ascii="仿宋" w:hAnsi="仿宋" w:eastAsia="仿宋" w:cs="仿宋"/>
          <w:i w:val="0"/>
          <w:iCs w:val="0"/>
          <w:caps w:val="0"/>
          <w:color w:val="auto"/>
          <w:spacing w:val="0"/>
          <w:sz w:val="32"/>
          <w:szCs w:val="32"/>
        </w:rPr>
        <w:t>192.67</w:t>
      </w:r>
      <w:r>
        <w:rPr>
          <w:rFonts w:hint="eastAsia" w:ascii="仿宋" w:hAnsi="仿宋" w:eastAsia="仿宋" w:cs="仿宋"/>
          <w:b w:val="0"/>
          <w:bCs w:val="0"/>
          <w:i w:val="0"/>
          <w:iCs w:val="0"/>
          <w:caps w:val="0"/>
          <w:color w:val="auto"/>
          <w:spacing w:val="0"/>
          <w:sz w:val="32"/>
          <w:szCs w:val="32"/>
        </w:rPr>
        <w:t>万元，全部实行整体支出绩效目标管理，其中，基本支出</w:t>
      </w:r>
      <w:r>
        <w:rPr>
          <w:rFonts w:hint="eastAsia" w:ascii="仿宋" w:hAnsi="仿宋" w:eastAsia="仿宋" w:cs="仿宋"/>
          <w:b w:val="0"/>
          <w:bCs w:val="0"/>
          <w:i w:val="0"/>
          <w:iCs w:val="0"/>
          <w:caps w:val="0"/>
          <w:color w:val="auto"/>
          <w:spacing w:val="0"/>
          <w:sz w:val="32"/>
          <w:szCs w:val="32"/>
          <w:lang w:val="en-US" w:eastAsia="zh-CN"/>
        </w:rPr>
        <w:t>685.02</w:t>
      </w:r>
      <w:r>
        <w:rPr>
          <w:rFonts w:hint="eastAsia" w:ascii="仿宋" w:hAnsi="仿宋" w:eastAsia="仿宋" w:cs="仿宋"/>
          <w:b w:val="0"/>
          <w:bCs w:val="0"/>
          <w:i w:val="0"/>
          <w:iCs w:val="0"/>
          <w:caps w:val="0"/>
          <w:color w:val="auto"/>
          <w:spacing w:val="0"/>
          <w:sz w:val="32"/>
          <w:szCs w:val="32"/>
        </w:rPr>
        <w:t>万元，项目支出</w:t>
      </w:r>
      <w:r>
        <w:rPr>
          <w:rFonts w:hint="eastAsia" w:ascii="仿宋" w:hAnsi="仿宋" w:eastAsia="仿宋" w:cs="仿宋"/>
          <w:b w:val="0"/>
          <w:bCs w:val="0"/>
          <w:i w:val="0"/>
          <w:iCs w:val="0"/>
          <w:caps w:val="0"/>
          <w:color w:val="auto"/>
          <w:spacing w:val="0"/>
          <w:sz w:val="32"/>
          <w:szCs w:val="32"/>
          <w:lang w:val="en-US" w:eastAsia="zh-CN"/>
        </w:rPr>
        <w:t>507.65</w:t>
      </w:r>
      <w:r>
        <w:rPr>
          <w:rFonts w:hint="eastAsia" w:ascii="仿宋" w:hAnsi="仿宋" w:eastAsia="仿宋" w:cs="仿宋"/>
          <w:b w:val="0"/>
          <w:bCs w:val="0"/>
          <w:i w:val="0"/>
          <w:iCs w:val="0"/>
          <w:caps w:val="0"/>
          <w:color w:val="auto"/>
          <w:spacing w:val="0"/>
          <w:sz w:val="32"/>
          <w:szCs w:val="32"/>
        </w:rPr>
        <w:t>万元，具体绩效目标详见报表。详见附件2022年项目支出绩效目标表。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（五） 国有资产占用情况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b w:val="0"/>
          <w:bCs w:val="0"/>
          <w:i w:val="0"/>
          <w:iCs w:val="0"/>
          <w:caps w:val="0"/>
          <w:color w:val="auto"/>
          <w:spacing w:val="0"/>
          <w:sz w:val="32"/>
          <w:szCs w:val="32"/>
        </w:rPr>
        <w:t>1.截至2021年12月31日，本部门共有车辆</w:t>
      </w:r>
      <w:r>
        <w:rPr>
          <w:rFonts w:hint="eastAsia" w:ascii="仿宋" w:hAnsi="仿宋" w:eastAsia="仿宋" w:cs="仿宋"/>
          <w:i w:val="0"/>
          <w:iCs w:val="0"/>
          <w:caps w:val="0"/>
          <w:color w:val="auto"/>
          <w:spacing w:val="0"/>
          <w:sz w:val="32"/>
          <w:szCs w:val="32"/>
        </w:rPr>
        <w:t>0</w:t>
      </w:r>
      <w:r>
        <w:rPr>
          <w:rFonts w:hint="eastAsia" w:ascii="仿宋" w:hAnsi="仿宋" w:eastAsia="仿宋" w:cs="仿宋"/>
          <w:b w:val="0"/>
          <w:bCs w:val="0"/>
          <w:i w:val="0"/>
          <w:iCs w:val="0"/>
          <w:caps w:val="0"/>
          <w:color w:val="auto"/>
          <w:spacing w:val="0"/>
          <w:sz w:val="32"/>
          <w:szCs w:val="32"/>
        </w:rPr>
        <w:t>辆，其中，一般公务用车</w:t>
      </w:r>
      <w:r>
        <w:rPr>
          <w:rFonts w:hint="eastAsia" w:ascii="仿宋" w:hAnsi="仿宋" w:eastAsia="仿宋" w:cs="仿宋"/>
          <w:i w:val="0"/>
          <w:iCs w:val="0"/>
          <w:caps w:val="0"/>
          <w:color w:val="auto"/>
          <w:spacing w:val="0"/>
          <w:sz w:val="32"/>
          <w:szCs w:val="32"/>
        </w:rPr>
        <w:t>0</w:t>
      </w:r>
      <w:r>
        <w:rPr>
          <w:rFonts w:hint="eastAsia" w:ascii="仿宋" w:hAnsi="仿宋" w:eastAsia="仿宋" w:cs="仿宋"/>
          <w:b w:val="0"/>
          <w:bCs w:val="0"/>
          <w:i w:val="0"/>
          <w:iCs w:val="0"/>
          <w:caps w:val="0"/>
          <w:color w:val="auto"/>
          <w:spacing w:val="0"/>
          <w:sz w:val="32"/>
          <w:szCs w:val="32"/>
        </w:rPr>
        <w:t>辆、一般执法执勤用车</w:t>
      </w:r>
      <w:r>
        <w:rPr>
          <w:rFonts w:hint="eastAsia" w:ascii="仿宋" w:hAnsi="仿宋" w:eastAsia="仿宋" w:cs="仿宋"/>
          <w:i w:val="0"/>
          <w:iCs w:val="0"/>
          <w:caps w:val="0"/>
          <w:color w:val="auto"/>
          <w:spacing w:val="0"/>
          <w:sz w:val="32"/>
          <w:szCs w:val="32"/>
        </w:rPr>
        <w:t>0</w:t>
      </w:r>
      <w:r>
        <w:rPr>
          <w:rFonts w:hint="eastAsia" w:ascii="仿宋" w:hAnsi="仿宋" w:eastAsia="仿宋" w:cs="仿宋"/>
          <w:b w:val="0"/>
          <w:bCs w:val="0"/>
          <w:i w:val="0"/>
          <w:iCs w:val="0"/>
          <w:caps w:val="0"/>
          <w:color w:val="auto"/>
          <w:spacing w:val="0"/>
          <w:sz w:val="32"/>
          <w:szCs w:val="32"/>
        </w:rPr>
        <w:t>辆、</w:t>
      </w:r>
      <w:r>
        <w:rPr>
          <w:rFonts w:hint="eastAsia" w:ascii="仿宋" w:hAnsi="仿宋" w:eastAsia="仿宋" w:cs="仿宋"/>
          <w:i w:val="0"/>
          <w:iCs w:val="0"/>
          <w:caps w:val="0"/>
          <w:color w:val="auto"/>
          <w:spacing w:val="0"/>
          <w:sz w:val="32"/>
          <w:szCs w:val="32"/>
        </w:rPr>
        <w:t>特种专业技术用车0辆、其他用车0辆</w:t>
      </w:r>
      <w:r>
        <w:rPr>
          <w:rFonts w:hint="eastAsia" w:ascii="仿宋" w:hAnsi="仿宋" w:eastAsia="仿宋" w:cs="仿宋"/>
          <w:b w:val="0"/>
          <w:bCs w:val="0"/>
          <w:i w:val="0"/>
          <w:iCs w:val="0"/>
          <w:caps w:val="0"/>
          <w:color w:val="auto"/>
          <w:spacing w:val="0"/>
          <w:sz w:val="32"/>
          <w:szCs w:val="32"/>
        </w:rPr>
        <w:t>。</w:t>
      </w:r>
      <w:r>
        <w:rPr>
          <w:rFonts w:hint="eastAsia" w:ascii="仿宋" w:hAnsi="仿宋" w:eastAsia="仿宋" w:cs="仿宋"/>
          <w:i w:val="0"/>
          <w:iCs w:val="0"/>
          <w:caps w:val="0"/>
          <w:color w:val="auto"/>
          <w:spacing w:val="0"/>
          <w:sz w:val="32"/>
          <w:szCs w:val="32"/>
        </w:rPr>
        <w:t>单位价值50 万元以上通用设备1台（套），单价100 万元以上专用设备0台（套）。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2.2022年，本部门无新增车辆，无新增50万元以上的通用设备和专用设备。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rPr>
        <w:t>（六）一般性支出情况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1.2022年本部门无会议费预算。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2.2022年本部门无培训费预算。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rPr>
        <w:t>3.2022年本部门无举办节庆、晚会、论坛、赛事等预算。</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七、专业名词解释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rPr>
        <w:t>、一般公共预算拨款收入：指区财政当年拨付的资金。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、基本支出：指为保障机构正常运转、完成日常工作任务而发生的人员支出和公用支出。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p>
    <w:p>
      <w:pPr>
        <w:keepNext w:val="0"/>
        <w:keepLines w:val="0"/>
        <w:pageBreakBefore w:val="0"/>
        <w:widowControl/>
        <w:numPr>
          <w:ilvl w:val="0"/>
          <w:numId w:val="1"/>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val="0"/>
          <w:color w:val="auto"/>
          <w:kern w:val="0"/>
          <w:sz w:val="44"/>
          <w:szCs w:val="44"/>
        </w:rPr>
      </w:pPr>
      <w:r>
        <w:rPr>
          <w:rFonts w:hint="eastAsia" w:ascii="黑体" w:hAnsi="黑体" w:eastAsia="黑体" w:cs="黑体"/>
          <w:b/>
          <w:bCs w:val="0"/>
          <w:color w:val="auto"/>
          <w:kern w:val="0"/>
          <w:sz w:val="44"/>
          <w:szCs w:val="44"/>
        </w:rPr>
        <w:t>202</w:t>
      </w:r>
      <w:r>
        <w:rPr>
          <w:rFonts w:hint="eastAsia" w:ascii="黑体" w:hAnsi="黑体" w:eastAsia="黑体" w:cs="黑体"/>
          <w:b/>
          <w:bCs w:val="0"/>
          <w:color w:val="auto"/>
          <w:kern w:val="0"/>
          <w:sz w:val="44"/>
          <w:szCs w:val="44"/>
          <w:lang w:val="en-US" w:eastAsia="zh-CN"/>
        </w:rPr>
        <w:t>2</w:t>
      </w:r>
      <w:r>
        <w:rPr>
          <w:rFonts w:hint="eastAsia" w:ascii="黑体" w:hAnsi="黑体" w:eastAsia="黑体" w:cs="黑体"/>
          <w:b/>
          <w:bCs w:val="0"/>
          <w:color w:val="auto"/>
          <w:kern w:val="0"/>
          <w:sz w:val="44"/>
          <w:szCs w:val="44"/>
        </w:rPr>
        <w:t>年部门预算表</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center"/>
        <w:textAlignment w:val="auto"/>
        <w:rPr>
          <w:rFonts w:eastAsia="仿宋_GB2312"/>
          <w:color w:val="auto"/>
          <w:sz w:val="30"/>
          <w:szCs w:val="30"/>
        </w:rPr>
      </w:pPr>
      <w:r>
        <w:rPr>
          <w:rFonts w:ascii="宋体" w:hAnsi="宋体" w:eastAsia="宋体" w:cs="宋体"/>
          <w:color w:val="auto"/>
          <w:sz w:val="30"/>
          <w:szCs w:val="30"/>
        </w:rPr>
        <w:t>(具体见附件)</w:t>
      </w:r>
    </w:p>
    <w:p>
      <w:pPr>
        <w:widowControl w:val="0"/>
        <w:numPr>
          <w:ilvl w:val="0"/>
          <w:numId w:val="0"/>
        </w:numPr>
        <w:jc w:val="both"/>
        <w:rPr>
          <w:rFonts w:hint="eastAsia" w:ascii="仿宋" w:hAnsi="仿宋" w:eastAsia="仿宋" w:cs="仿宋"/>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z w:val="32"/>
          <w:szCs w:val="32"/>
        </w:rPr>
      </w:pP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1DB45"/>
    <w:multiLevelType w:val="singleLevel"/>
    <w:tmpl w:val="FD71DB45"/>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2F026CE3"/>
    <w:rsid w:val="02961DC0"/>
    <w:rsid w:val="09A920E8"/>
    <w:rsid w:val="2F026CE3"/>
    <w:rsid w:val="4BD330B9"/>
    <w:rsid w:val="63924617"/>
    <w:rsid w:val="74383489"/>
    <w:rsid w:val="7DF77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2541</Words>
  <Characters>2891</Characters>
  <Lines>0</Lines>
  <Paragraphs>0</Paragraphs>
  <TotalTime>1</TotalTime>
  <ScaleCrop>false</ScaleCrop>
  <LinksUpToDate>false</LinksUpToDate>
  <CharactersWithSpaces>2896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2023-09-01T03:38:00Z</dcterms:created>
  <dc:creator>白茶</dc:creator>
  <cp:lastModifiedBy>非鱼</cp:lastModifiedBy>
  <dcterms:modified xsi:type="dcterms:W3CDTF">2023-10-12T01:30:59Z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C0EB702F2B6A41C79E8D7BEB4672B03B_11</vt:lpwstr>
  </property>
</Properties>
</file>