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right="0"/>
        <w:jc w:val="center"/>
        <w:textAlignment w:val="auto"/>
        <w:rPr>
          <w:rFonts w:hint="eastAsia" w:ascii="仿宋" w:hAnsi="仿宋" w:eastAsia="仿宋" w:cs="仿宋"/>
          <w:b/>
          <w:bCs/>
          <w:i w:val="0"/>
          <w:iCs w:val="0"/>
          <w:caps w:val="0"/>
          <w:color w:val="auto"/>
          <w:spacing w:val="0"/>
          <w:sz w:val="48"/>
          <w:szCs w:val="48"/>
        </w:rPr>
      </w:pPr>
      <w:r>
        <w:rPr>
          <w:rFonts w:hint="eastAsia" w:ascii="仿宋" w:hAnsi="仿宋" w:eastAsia="仿宋" w:cs="仿宋"/>
          <w:b/>
          <w:bCs/>
          <w:i w:val="0"/>
          <w:iCs w:val="0"/>
          <w:caps w:val="0"/>
          <w:color w:val="auto"/>
          <w:spacing w:val="0"/>
          <w:sz w:val="48"/>
          <w:szCs w:val="48"/>
          <w:shd w:val="clear" w:fill="FFFFFF"/>
        </w:rPr>
        <w:t>2021年度怀化市幼儿园部门决算 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right="0"/>
        <w:jc w:val="center"/>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fill="FFFFFF"/>
        </w:rPr>
        <w:t>目</w:t>
      </w:r>
      <w:r>
        <w:rPr>
          <w:rFonts w:hint="eastAsia" w:ascii="黑体" w:hAnsi="黑体" w:eastAsia="黑体" w:cs="黑体"/>
          <w:b/>
          <w:bCs/>
          <w:i w:val="0"/>
          <w:iCs w:val="0"/>
          <w:caps w:val="0"/>
          <w:color w:val="auto"/>
          <w:spacing w:val="0"/>
          <w:sz w:val="32"/>
          <w:szCs w:val="32"/>
          <w:shd w:val="clear" w:fill="FFFFFF"/>
          <w:lang w:val="en-US" w:eastAsia="zh-CN"/>
        </w:rPr>
        <w:tab/>
      </w:r>
      <w:r>
        <w:rPr>
          <w:rFonts w:hint="eastAsia" w:ascii="黑体" w:hAnsi="黑体" w:eastAsia="黑体" w:cs="黑体"/>
          <w:b/>
          <w:bCs/>
          <w:i w:val="0"/>
          <w:iCs w:val="0"/>
          <w:caps w:val="0"/>
          <w:color w:val="auto"/>
          <w:spacing w:val="0"/>
          <w:sz w:val="32"/>
          <w:szCs w:val="32"/>
          <w:shd w:val="clear" w:fill="FFFFFF"/>
        </w:rPr>
        <w:t>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3" w:firstLineChars="200"/>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fill="FFFFFF"/>
        </w:rPr>
        <w:t>第一部分</w:t>
      </w:r>
      <w:r>
        <w:rPr>
          <w:rFonts w:hint="eastAsia" w:ascii="黑体" w:hAnsi="黑体" w:eastAsia="黑体" w:cs="黑体"/>
          <w:b/>
          <w:bCs/>
          <w:i w:val="0"/>
          <w:iCs w:val="0"/>
          <w:caps w:val="0"/>
          <w:color w:val="auto"/>
          <w:spacing w:val="0"/>
          <w:sz w:val="32"/>
          <w:szCs w:val="32"/>
          <w:shd w:val="clear" w:fill="FFFFFF"/>
          <w:lang w:val="en-US" w:eastAsia="zh-CN"/>
        </w:rPr>
        <w:tab/>
      </w:r>
      <w:r>
        <w:rPr>
          <w:rFonts w:hint="eastAsia" w:ascii="黑体" w:hAnsi="黑体" w:eastAsia="黑体" w:cs="黑体"/>
          <w:b/>
          <w:bCs/>
          <w:i w:val="0"/>
          <w:iCs w:val="0"/>
          <w:caps w:val="0"/>
          <w:color w:val="auto"/>
          <w:spacing w:val="0"/>
          <w:sz w:val="32"/>
          <w:szCs w:val="32"/>
          <w:shd w:val="clear" w:fill="FFFFFF"/>
        </w:rPr>
        <w:t>怀化市幼儿园概况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一、部门职责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二、机构设置</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color w:val="auto"/>
          <w:sz w:val="32"/>
          <w:szCs w:val="32"/>
        </w:rPr>
      </w:pPr>
      <w:r>
        <w:rPr>
          <w:rFonts w:hint="eastAsia" w:ascii="黑体" w:hAnsi="黑体" w:eastAsia="黑体" w:cs="黑体"/>
          <w:b/>
          <w:bCs/>
          <w:color w:val="auto"/>
          <w:sz w:val="32"/>
          <w:szCs w:val="32"/>
        </w:rPr>
        <w:t>第二部分 2021年度部门决算表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九、国有资本经营预算财政拨款支出决算表</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color w:val="auto"/>
          <w:sz w:val="32"/>
          <w:szCs w:val="32"/>
        </w:rPr>
      </w:pPr>
      <w:r>
        <w:rPr>
          <w:rFonts w:hint="eastAsia" w:ascii="黑体" w:hAnsi="黑体" w:eastAsia="黑体" w:cs="黑体"/>
          <w:b/>
          <w:bCs/>
          <w:color w:val="auto"/>
          <w:sz w:val="32"/>
          <w:szCs w:val="32"/>
        </w:rPr>
        <w:t>第三部分2021年度部门决算情况说明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二、收入决算情况说明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三、支出决算情况说明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四、财政拨款收入支出决算总体情况说明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五、一般公共预算财政拨款支出决算情况说明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六、一般公共预算财政拨款基本支出决算情况说明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七、一般公共预算财政拨款“三公”经费支出决算情况说明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八、政府性基金预算收入支出决算情况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九、国有资本经营预算财政拨款支出决算情况说明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lang w:val="en-US" w:eastAsia="zh-CN"/>
        </w:rPr>
        <w:t>十、</w:t>
      </w:r>
      <w:r>
        <w:rPr>
          <w:rFonts w:hint="eastAsia" w:ascii="仿宋" w:hAnsi="仿宋" w:eastAsia="仿宋" w:cs="仿宋"/>
          <w:i w:val="0"/>
          <w:iCs w:val="0"/>
          <w:caps w:val="0"/>
          <w:color w:val="auto"/>
          <w:spacing w:val="0"/>
          <w:sz w:val="32"/>
          <w:szCs w:val="32"/>
          <w:shd w:val="clear" w:fill="FFFFFF"/>
        </w:rPr>
        <w:t>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十</w:t>
      </w:r>
      <w:r>
        <w:rPr>
          <w:rFonts w:hint="eastAsia" w:ascii="仿宋" w:hAnsi="仿宋" w:eastAsia="仿宋" w:cs="仿宋"/>
          <w:i w:val="0"/>
          <w:iCs w:val="0"/>
          <w:caps w:val="0"/>
          <w:color w:val="auto"/>
          <w:spacing w:val="0"/>
          <w:sz w:val="32"/>
          <w:szCs w:val="32"/>
          <w:shd w:val="clear" w:fill="FFFFFF"/>
          <w:lang w:val="en-US" w:eastAsia="zh-CN"/>
        </w:rPr>
        <w:t>一</w:t>
      </w:r>
      <w:r>
        <w:rPr>
          <w:rFonts w:hint="eastAsia" w:ascii="仿宋" w:hAnsi="仿宋" w:eastAsia="仿宋" w:cs="仿宋"/>
          <w:i w:val="0"/>
          <w:iCs w:val="0"/>
          <w:caps w:val="0"/>
          <w:color w:val="auto"/>
          <w:spacing w:val="0"/>
          <w:sz w:val="32"/>
          <w:szCs w:val="32"/>
          <w:shd w:val="clear" w:fill="FFFFFF"/>
        </w:rPr>
        <w:t>、一般性支出情况说明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十</w:t>
      </w:r>
      <w:r>
        <w:rPr>
          <w:rFonts w:hint="eastAsia" w:ascii="仿宋" w:hAnsi="仿宋" w:eastAsia="仿宋" w:cs="仿宋"/>
          <w:i w:val="0"/>
          <w:iCs w:val="0"/>
          <w:caps w:val="0"/>
          <w:color w:val="auto"/>
          <w:spacing w:val="0"/>
          <w:sz w:val="32"/>
          <w:szCs w:val="32"/>
          <w:shd w:val="clear" w:fill="FFFFFF"/>
          <w:lang w:val="en-US" w:eastAsia="zh-CN"/>
        </w:rPr>
        <w:t>二</w:t>
      </w:r>
      <w:r>
        <w:rPr>
          <w:rFonts w:hint="eastAsia" w:ascii="仿宋" w:hAnsi="仿宋" w:eastAsia="仿宋" w:cs="仿宋"/>
          <w:i w:val="0"/>
          <w:iCs w:val="0"/>
          <w:caps w:val="0"/>
          <w:color w:val="auto"/>
          <w:spacing w:val="0"/>
          <w:sz w:val="32"/>
          <w:szCs w:val="32"/>
          <w:shd w:val="clear" w:fill="FFFFFF"/>
        </w:rPr>
        <w:t>、政府采购支出说明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十</w:t>
      </w:r>
      <w:r>
        <w:rPr>
          <w:rFonts w:hint="eastAsia" w:ascii="仿宋" w:hAnsi="仿宋" w:eastAsia="仿宋" w:cs="仿宋"/>
          <w:i w:val="0"/>
          <w:iCs w:val="0"/>
          <w:caps w:val="0"/>
          <w:color w:val="auto"/>
          <w:spacing w:val="0"/>
          <w:sz w:val="32"/>
          <w:szCs w:val="32"/>
          <w:shd w:val="clear" w:fill="FFFFFF"/>
          <w:lang w:val="en-US" w:eastAsia="zh-CN"/>
        </w:rPr>
        <w:t>三</w:t>
      </w:r>
      <w:r>
        <w:rPr>
          <w:rFonts w:hint="eastAsia" w:ascii="仿宋" w:hAnsi="仿宋" w:eastAsia="仿宋" w:cs="仿宋"/>
          <w:i w:val="0"/>
          <w:iCs w:val="0"/>
          <w:caps w:val="0"/>
          <w:color w:val="auto"/>
          <w:spacing w:val="0"/>
          <w:sz w:val="32"/>
          <w:szCs w:val="32"/>
          <w:shd w:val="clear" w:fill="FFFFFF"/>
        </w:rPr>
        <w:t>、国有资产占用情况说明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十</w:t>
      </w:r>
      <w:r>
        <w:rPr>
          <w:rFonts w:hint="eastAsia" w:ascii="仿宋" w:hAnsi="仿宋" w:eastAsia="仿宋" w:cs="仿宋"/>
          <w:i w:val="0"/>
          <w:iCs w:val="0"/>
          <w:caps w:val="0"/>
          <w:color w:val="auto"/>
          <w:spacing w:val="0"/>
          <w:sz w:val="32"/>
          <w:szCs w:val="32"/>
          <w:shd w:val="clear" w:fill="FFFFFF"/>
          <w:lang w:val="en-US" w:eastAsia="zh-CN"/>
        </w:rPr>
        <w:t>四</w:t>
      </w:r>
      <w:r>
        <w:rPr>
          <w:rFonts w:hint="eastAsia" w:ascii="仿宋" w:hAnsi="仿宋" w:eastAsia="仿宋" w:cs="仿宋"/>
          <w:i w:val="0"/>
          <w:iCs w:val="0"/>
          <w:caps w:val="0"/>
          <w:color w:val="auto"/>
          <w:spacing w:val="0"/>
          <w:sz w:val="32"/>
          <w:szCs w:val="32"/>
          <w:shd w:val="clear" w:fill="FFFFFF"/>
        </w:rPr>
        <w:t>、2021年度预算绩效情况说明</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color w:val="auto"/>
          <w:sz w:val="32"/>
          <w:szCs w:val="32"/>
        </w:rPr>
      </w:pPr>
      <w:r>
        <w:rPr>
          <w:rFonts w:hint="eastAsia" w:ascii="黑体" w:hAnsi="黑体" w:eastAsia="黑体" w:cs="黑体"/>
          <w:b/>
          <w:bCs/>
          <w:color w:val="auto"/>
          <w:sz w:val="32"/>
          <w:szCs w:val="32"/>
        </w:rPr>
        <w:t>第四部分 名称解释</w:t>
      </w:r>
    </w:p>
    <w:p>
      <w:pPr>
        <w:pStyle w:val="2"/>
        <w:keepNext w:val="0"/>
        <w:keepLines w:val="0"/>
        <w:pageBreakBefore w:val="0"/>
        <w:widowControl/>
        <w:shd w:val="clear" w:color="auto" w:fill="FFFFFF"/>
        <w:kinsoku/>
        <w:wordWrap/>
        <w:overflowPunct/>
        <w:topLinePunct w:val="0"/>
        <w:autoSpaceDE/>
        <w:autoSpaceDN/>
        <w:bidi w:val="0"/>
        <w:adjustRightInd/>
        <w:snapToGrid/>
        <w:spacing w:before="60" w:beforeAutospacing="0" w:after="0" w:afterAutospacing="0" w:line="600" w:lineRule="exact"/>
        <w:ind w:firstLine="643" w:firstLineChars="200"/>
        <w:jc w:val="left"/>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第五部分 附件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600" w:lineRule="exact"/>
        <w:ind w:right="0"/>
        <w:jc w:val="center"/>
        <w:textAlignment w:val="auto"/>
        <w:rPr>
          <w:rFonts w:hint="eastAsia" w:ascii="黑体" w:hAnsi="黑体" w:eastAsia="黑体" w:cs="黑体"/>
          <w:b/>
          <w:bCs/>
          <w:i w:val="0"/>
          <w:iCs w:val="0"/>
          <w:caps w:val="0"/>
          <w:color w:val="auto"/>
          <w:spacing w:val="0"/>
          <w:sz w:val="44"/>
          <w:szCs w:val="44"/>
        </w:rPr>
      </w:pPr>
      <w:r>
        <w:rPr>
          <w:rFonts w:hint="eastAsia" w:ascii="黑体" w:hAnsi="黑体" w:eastAsia="黑体" w:cs="黑体"/>
          <w:b/>
          <w:bCs/>
          <w:i w:val="0"/>
          <w:iCs w:val="0"/>
          <w:caps w:val="0"/>
          <w:color w:val="auto"/>
          <w:spacing w:val="0"/>
          <w:sz w:val="44"/>
          <w:szCs w:val="44"/>
          <w:shd w:val="clear" w:fill="FFFFFF"/>
        </w:rPr>
        <w:t>第一部分</w:t>
      </w:r>
      <w:r>
        <w:rPr>
          <w:rFonts w:hint="eastAsia" w:ascii="黑体" w:hAnsi="黑体" w:eastAsia="黑体" w:cs="黑体"/>
          <w:b/>
          <w:bCs/>
          <w:i w:val="0"/>
          <w:iCs w:val="0"/>
          <w:caps w:val="0"/>
          <w:color w:val="auto"/>
          <w:spacing w:val="0"/>
          <w:sz w:val="44"/>
          <w:szCs w:val="44"/>
          <w:shd w:val="clear" w:fill="FFFFFF"/>
          <w:lang w:val="en-US" w:eastAsia="zh-CN"/>
        </w:rPr>
        <w:tab/>
      </w:r>
      <w:r>
        <w:rPr>
          <w:rFonts w:hint="eastAsia" w:ascii="黑体" w:hAnsi="黑体" w:eastAsia="黑体" w:cs="黑体"/>
          <w:b/>
          <w:bCs/>
          <w:i w:val="0"/>
          <w:iCs w:val="0"/>
          <w:caps w:val="0"/>
          <w:color w:val="auto"/>
          <w:spacing w:val="0"/>
          <w:sz w:val="44"/>
          <w:szCs w:val="44"/>
          <w:shd w:val="clear" w:fill="FFFFFF"/>
        </w:rPr>
        <w:t>怀化市幼儿园概况</w:t>
      </w:r>
    </w:p>
    <w:p>
      <w:pPr>
        <w:keepNext w:val="0"/>
        <w:keepLines w:val="0"/>
        <w:pageBreakBefore w:val="0"/>
        <w:widowControl/>
        <w:suppressLineNumbers w:val="0"/>
        <w:kinsoku/>
        <w:wordWrap/>
        <w:overflowPunct/>
        <w:topLinePunct w:val="0"/>
        <w:bidi w:val="0"/>
        <w:snapToGrid/>
        <w:spacing w:line="600" w:lineRule="exact"/>
        <w:jc w:val="left"/>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shd w:val="clear" w:fill="FFFFFF"/>
        </w:rPr>
        <w:t>一、部门职责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怀化市幼儿园的部门职责是贯彻国家的教育方针，按照保育与教育相结合的原则，遵循幼儿身心发展特点和规律，实施德、智、体、美等方面全面发展的教育，促进幼儿身心和谐发展。同时面向幼儿家长提供科学育儿指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shd w:val="clear" w:fill="FFFFFF"/>
        </w:rPr>
        <w:t>二、机构设置及决算单位构成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（一）内设机构设置。</w:t>
      </w:r>
      <w:r>
        <w:rPr>
          <w:rFonts w:hint="eastAsia" w:ascii="仿宋" w:hAnsi="仿宋" w:eastAsia="仿宋" w:cs="仿宋"/>
          <w:i w:val="0"/>
          <w:iCs w:val="0"/>
          <w:caps w:val="0"/>
          <w:color w:val="auto"/>
          <w:spacing w:val="0"/>
          <w:sz w:val="32"/>
          <w:szCs w:val="32"/>
          <w:shd w:val="clear" w:fill="FFFFFF"/>
        </w:rPr>
        <w:t>怀化市幼儿园作为一级部门预算单位，内设机构包括：办公室、保教室、总务室、校安办、督导室。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（二）决算单位构成。</w:t>
      </w:r>
      <w:r>
        <w:rPr>
          <w:rFonts w:hint="eastAsia" w:ascii="仿宋" w:hAnsi="仿宋" w:eastAsia="仿宋" w:cs="仿宋"/>
          <w:i w:val="0"/>
          <w:iCs w:val="0"/>
          <w:caps w:val="0"/>
          <w:color w:val="auto"/>
          <w:spacing w:val="0"/>
          <w:sz w:val="32"/>
          <w:szCs w:val="32"/>
          <w:shd w:val="clear" w:fill="FFFFFF"/>
        </w:rPr>
        <w:t>怀化市幼儿园2021年部门决算汇总公开单位构成包括：怀化市幼儿园本级。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 </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 </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i w:val="0"/>
          <w:iCs w:val="0"/>
          <w:caps w:val="0"/>
          <w:color w:val="auto"/>
          <w:spacing w:val="0"/>
          <w:sz w:val="44"/>
          <w:szCs w:val="44"/>
          <w:highlight w:val="none"/>
          <w:shd w:val="clear" w:color="auto" w:fill="FFFFFF"/>
        </w:rPr>
      </w:pPr>
      <w:r>
        <w:rPr>
          <w:rStyle w:val="5"/>
          <w:rFonts w:hint="eastAsia" w:ascii="黑体" w:hAnsi="黑体" w:eastAsia="黑体" w:cs="黑体"/>
          <w:i w:val="0"/>
          <w:iCs w:val="0"/>
          <w:caps w:val="0"/>
          <w:color w:val="auto"/>
          <w:spacing w:val="0"/>
          <w:sz w:val="44"/>
          <w:szCs w:val="44"/>
          <w:highlight w:val="none"/>
          <w:shd w:val="clear" w:color="auto" w:fill="FFFFFF"/>
        </w:rPr>
        <w:t>第二部分 2021年度部门决算表</w:t>
      </w:r>
    </w:p>
    <w:p>
      <w:pPr>
        <w:keepNext w:val="0"/>
        <w:keepLines w:val="0"/>
        <w:pageBreakBefore w:val="0"/>
        <w:kinsoku/>
        <w:wordWrap/>
        <w:overflowPunct/>
        <w:topLinePunct w:val="0"/>
        <w:autoSpaceDE/>
        <w:autoSpaceDN/>
        <w:bidi w:val="0"/>
        <w:adjustRightInd/>
        <w:snapToGrid/>
        <w:spacing w:line="600" w:lineRule="exact"/>
        <w:jc w:val="center"/>
        <w:textAlignment w:val="auto"/>
        <w:rPr>
          <w:rStyle w:val="5"/>
          <w:rFonts w:hint="eastAsia" w:ascii="仿宋" w:hAnsi="仿宋" w:eastAsia="仿宋" w:cs="仿宋"/>
          <w:i w:val="0"/>
          <w:iCs w:val="0"/>
          <w:caps w:val="0"/>
          <w:color w:val="auto"/>
          <w:spacing w:val="0"/>
          <w:sz w:val="32"/>
          <w:szCs w:val="32"/>
          <w:highlight w:val="yellow"/>
          <w:shd w:val="clear" w:color="auto" w:fill="FFFFFF"/>
          <w:lang w:val="en-US" w:eastAsia="zh-CN"/>
        </w:rPr>
      </w:pPr>
      <w:r>
        <w:rPr>
          <w:rStyle w:val="5"/>
          <w:rFonts w:hint="eastAsia" w:ascii="仿宋" w:hAnsi="仿宋" w:eastAsia="仿宋" w:cs="仿宋"/>
          <w:i w:val="0"/>
          <w:iCs w:val="0"/>
          <w:caps w:val="0"/>
          <w:color w:val="auto"/>
          <w:spacing w:val="0"/>
          <w:sz w:val="32"/>
          <w:szCs w:val="32"/>
          <w:highlight w:val="none"/>
          <w:shd w:val="clear" w:color="auto" w:fill="FFFFFF"/>
          <w:lang w:val="en-US" w:eastAsia="zh-CN"/>
        </w:rPr>
        <w:t>见附表</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Fonts w:hint="eastAsia" w:ascii="仿宋" w:hAnsi="仿宋" w:eastAsia="仿宋" w:cs="仿宋"/>
          <w:b/>
          <w:bCs/>
          <w:color w:val="auto"/>
          <w:sz w:val="32"/>
          <w:szCs w:val="32"/>
        </w:rPr>
        <w:t> </w:t>
      </w:r>
      <w:r>
        <w:rPr>
          <w:rStyle w:val="5"/>
          <w:rFonts w:hint="eastAsia" w:ascii="黑体" w:hAnsi="黑体" w:eastAsia="黑体" w:cs="黑体"/>
          <w:i w:val="0"/>
          <w:iCs w:val="0"/>
          <w:caps w:val="0"/>
          <w:color w:val="auto"/>
          <w:spacing w:val="0"/>
          <w:sz w:val="44"/>
          <w:szCs w:val="44"/>
          <w:shd w:val="clear" w:color="auto" w:fill="FFFFFF"/>
        </w:rPr>
        <w:t>第三部分 2021年度部门决算情况说明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left="0" w:right="0" w:firstLine="640" w:firstLineChars="200"/>
        <w:textAlignment w:val="auto"/>
        <w:rPr>
          <w:rFonts w:hint="eastAsia" w:ascii="仿宋" w:hAnsi="仿宋" w:eastAsia="仿宋" w:cs="仿宋"/>
          <w:b w:val="0"/>
          <w:bCs w:val="0"/>
          <w:color w:val="auto"/>
          <w:sz w:val="32"/>
          <w:szCs w:val="32"/>
        </w:rPr>
      </w:pPr>
      <w:r>
        <w:rPr>
          <w:rStyle w:val="5"/>
          <w:rFonts w:hint="eastAsia" w:ascii="黑体" w:hAnsi="黑体" w:eastAsia="黑体" w:cs="黑体"/>
          <w:b w:val="0"/>
          <w:bCs w:val="0"/>
          <w:i w:val="0"/>
          <w:iCs w:val="0"/>
          <w:caps w:val="0"/>
          <w:color w:val="auto"/>
          <w:spacing w:val="0"/>
          <w:sz w:val="32"/>
          <w:szCs w:val="32"/>
          <w:shd w:val="clear" w:color="auto" w:fill="FFFFFF"/>
        </w:rPr>
        <w:t>一、收入支出决算总体情况说明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2021年度收、支总计</w:t>
      </w:r>
      <w:r>
        <w:rPr>
          <w:rFonts w:hint="eastAsia" w:ascii="仿宋" w:hAnsi="仿宋" w:eastAsia="仿宋" w:cs="仿宋"/>
          <w:i w:val="0"/>
          <w:iCs w:val="0"/>
          <w:caps w:val="0"/>
          <w:color w:val="auto"/>
          <w:spacing w:val="0"/>
          <w:sz w:val="32"/>
          <w:szCs w:val="32"/>
          <w:shd w:val="clear" w:fill="FFFFFF"/>
          <w:lang w:val="en-US" w:eastAsia="zh-CN"/>
        </w:rPr>
        <w:t>各</w:t>
      </w:r>
      <w:r>
        <w:rPr>
          <w:rFonts w:hint="eastAsia" w:ascii="仿宋" w:hAnsi="仿宋" w:eastAsia="仿宋" w:cs="仿宋"/>
          <w:i w:val="0"/>
          <w:iCs w:val="0"/>
          <w:caps w:val="0"/>
          <w:color w:val="auto"/>
          <w:spacing w:val="0"/>
          <w:sz w:val="32"/>
          <w:szCs w:val="32"/>
          <w:shd w:val="clear" w:fill="FFFFFF"/>
        </w:rPr>
        <w:t>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867.98万元。与上年相比，减少127.62万元，减少6.40%，主要是因为年初财政拨款结转和结余减少。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二、收入决算情况说明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2021年度收入合计1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554.71万元，其中：财政拨款收入1547.52万元，占99.54%；上级补助收入0万元，占0%；事业收入0万元，占0%；经营收入0万元，占0%；附属单位上缴收入0万元，占0%；其他收入7.19万元，占0.46%。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三、支出决算情况说明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2021年度支出合计1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867.98万元，其中：基本支出1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523.71万元，占81.57%；项目支出344.28万元，占18.43%；上缴上级支出0万元，占0%；经营支出0万元，占0%；对附属单位补助支出0万元，占0%。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四、财政拨款收入支出决算总体情况说明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2021年度财政拨款收、支总计</w:t>
      </w:r>
      <w:r>
        <w:rPr>
          <w:rFonts w:hint="eastAsia" w:ascii="仿宋" w:hAnsi="仿宋" w:eastAsia="仿宋" w:cs="仿宋"/>
          <w:i w:val="0"/>
          <w:iCs w:val="0"/>
          <w:caps w:val="0"/>
          <w:color w:val="auto"/>
          <w:spacing w:val="0"/>
          <w:sz w:val="32"/>
          <w:szCs w:val="32"/>
          <w:shd w:val="clear" w:fill="FFFFFF"/>
          <w:lang w:val="en-US" w:eastAsia="zh-CN"/>
        </w:rPr>
        <w:t>各</w:t>
      </w:r>
      <w:r>
        <w:rPr>
          <w:rFonts w:hint="eastAsia" w:ascii="仿宋" w:hAnsi="仿宋" w:eastAsia="仿宋" w:cs="仿宋"/>
          <w:i w:val="0"/>
          <w:iCs w:val="0"/>
          <w:caps w:val="0"/>
          <w:color w:val="auto"/>
          <w:spacing w:val="0"/>
          <w:sz w:val="32"/>
          <w:szCs w:val="32"/>
          <w:shd w:val="clear" w:fill="FFFFFF"/>
        </w:rPr>
        <w:t>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860.8</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万元，与上年相比，减少134.8</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万元,减少6.75%，主要是因为年初财政拨款结转和结余减少。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五、一般公共预算财政拨款支出决算情况说明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textAlignment w:val="auto"/>
        <w:rPr>
          <w:rFonts w:hint="eastAsia" w:ascii="仿宋" w:hAnsi="仿宋" w:eastAsia="仿宋" w:cs="仿宋"/>
          <w:b/>
          <w:bCs/>
          <w:i w:val="0"/>
          <w:iCs w:val="0"/>
          <w:caps w:val="0"/>
          <w:color w:val="auto"/>
          <w:spacing w:val="0"/>
          <w:sz w:val="32"/>
          <w:szCs w:val="32"/>
          <w:shd w:val="clear" w:fill="FFFFFF"/>
        </w:rPr>
      </w:pPr>
      <w:r>
        <w:rPr>
          <w:rFonts w:hint="eastAsia" w:ascii="仿宋" w:hAnsi="仿宋" w:eastAsia="仿宋" w:cs="仿宋"/>
          <w:b/>
          <w:bCs/>
          <w:i w:val="0"/>
          <w:iCs w:val="0"/>
          <w:caps w:val="0"/>
          <w:color w:val="auto"/>
          <w:spacing w:val="0"/>
          <w:sz w:val="32"/>
          <w:szCs w:val="32"/>
          <w:shd w:val="clear" w:fill="FFFFFF"/>
        </w:rPr>
        <w:t>（一）财政拨款支出决算总体情况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2021年度财政拨款支出1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860.8</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万元，占本年支出合计的99.62%，与上年相比，财政拨款支出减少134.8</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万元，减少6.75%，主要是因为年初财政拨款结转和结余减少。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（二）财政拨款支出决算结构情况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2021年度财政拨款支出1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860.8万元，主要用于以下方面：一般公共服务支出4.73万元，占0.25%；教育支出1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672.27万元，占89.87%;社会保障和就业支出147.61万元；占7.9</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%，卫生健康支出36.19万元；占1.98%。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（三）财政拨款支出决算具体情况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2021年度财政拨款支出年初预算数为526.92万元，支出决算数为1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860.8</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万元，完成年初预算的</w:t>
      </w:r>
      <w:r>
        <w:rPr>
          <w:rFonts w:hint="eastAsia" w:ascii="仿宋" w:hAnsi="仿宋" w:eastAsia="仿宋" w:cs="仿宋"/>
          <w:i w:val="0"/>
          <w:iCs w:val="0"/>
          <w:caps w:val="0"/>
          <w:color w:val="auto"/>
          <w:spacing w:val="0"/>
          <w:sz w:val="32"/>
          <w:szCs w:val="32"/>
          <w:shd w:val="clear" w:fill="FFFFFF"/>
          <w:lang w:val="en-US" w:eastAsia="zh-CN"/>
        </w:rPr>
        <w:t>353.15</w:t>
      </w:r>
      <w:r>
        <w:rPr>
          <w:rFonts w:hint="eastAsia" w:ascii="仿宋" w:hAnsi="仿宋" w:eastAsia="仿宋" w:cs="仿宋"/>
          <w:i w:val="0"/>
          <w:iCs w:val="0"/>
          <w:caps w:val="0"/>
          <w:color w:val="auto"/>
          <w:spacing w:val="0"/>
          <w:sz w:val="32"/>
          <w:szCs w:val="32"/>
          <w:shd w:val="clear" w:fill="FFFFFF"/>
        </w:rPr>
        <w:t>%，其中：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1、一般公共服务支出（类）其他一般公共服务支出（款）其他一般公共服务支出（项）。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年初预算为0万元，支出决算为4.73万元，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决算数大于年初预算数的主要原因是：追加预算。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2、教育支出（类）普通教育（款）学前教育（项）。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年初预算为526.92万元，支出决算为1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593.24万元，完成年初预算的302</w:t>
      </w:r>
      <w:r>
        <w:rPr>
          <w:rFonts w:hint="eastAsia" w:ascii="仿宋" w:hAnsi="仿宋" w:eastAsia="仿宋" w:cs="仿宋"/>
          <w:i w:val="0"/>
          <w:iCs w:val="0"/>
          <w:caps w:val="0"/>
          <w:color w:val="auto"/>
          <w:spacing w:val="0"/>
          <w:sz w:val="32"/>
          <w:szCs w:val="32"/>
          <w:shd w:val="clear" w:fill="FFFFFF"/>
          <w:lang w:val="en-US" w:eastAsia="zh-CN"/>
        </w:rPr>
        <w:t>.37</w:t>
      </w:r>
      <w:r>
        <w:rPr>
          <w:rFonts w:hint="eastAsia" w:ascii="仿宋" w:hAnsi="仿宋" w:eastAsia="仿宋" w:cs="仿宋"/>
          <w:i w:val="0"/>
          <w:iCs w:val="0"/>
          <w:caps w:val="0"/>
          <w:color w:val="auto"/>
          <w:spacing w:val="0"/>
          <w:sz w:val="32"/>
          <w:szCs w:val="32"/>
          <w:shd w:val="clear" w:fill="FFFFFF"/>
        </w:rPr>
        <w:t>%，决算数大于年初预算数的主要原因是：预决算口径不一致，预算将学费纳入专户非税拨款核算，决算将学费纳入财政拨款非税核算。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3、教育支出（类）普通教育（款）其他普通教育支出（项）。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年初预算为0万元，支出决算为76.67万元，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决算数大于年初预算数的主要原因是：员额制教师经费未纳入预算，经费根据教师人数核定。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4、教育支出（类）进修及培训（款）教师进修（项）。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年初预算为0万元，支出决算为2.35万元，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决算数大于年初预算数的主要原因是：追加预算。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5、社会保障和就业支出（类）行政事业单位养老支出（款）机关事业单位基本养老保险缴费支出（项）。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年初预算为0万元，支出决算为72.37万元，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决算数大于年初预算数的主要原因是：财政统筹未纳入预算。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6、社会保障和就业支出（类）行政事业单位养老支出（款）其他行政事业单位养老支出（项）。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年初预算为0万元，支出决算为75.23万元，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完成年初预算的100%，决算数大于（小于）年初预算数的主要原因是：财政统筹未纳入预算。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7、卫生健康支出（类）行政事业单位医疗（款）行政单位医疗（项）。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年初预算为0万元，支出决算为35.91万元，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决算数大于年初预算数的主要原因是：财政统筹未纳入预算。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8、卫生健康支出（类）行政事业单位医疗（款）其他行政事业单位医疗支出（项）。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年初预算为0万元，支出决算为0.28万元，</w:t>
      </w:r>
      <w:r>
        <w:rPr>
          <w:rFonts w:hint="eastAsia" w:ascii="仿宋" w:hAnsi="仿宋" w:eastAsia="仿宋" w:cs="仿宋"/>
          <w:i w:val="0"/>
          <w:iCs w:val="0"/>
          <w:caps w:val="0"/>
          <w:color w:val="auto"/>
          <w:spacing w:val="0"/>
          <w:sz w:val="32"/>
          <w:szCs w:val="32"/>
          <w:shd w:val="clear" w:color="auto" w:fill="FFFFFF"/>
        </w:rPr>
        <w:t>年初预算为0万元，无法计算完成比例。</w:t>
      </w:r>
      <w:r>
        <w:rPr>
          <w:rFonts w:hint="eastAsia" w:ascii="仿宋" w:hAnsi="仿宋" w:eastAsia="仿宋" w:cs="仿宋"/>
          <w:i w:val="0"/>
          <w:iCs w:val="0"/>
          <w:caps w:val="0"/>
          <w:color w:val="auto"/>
          <w:spacing w:val="0"/>
          <w:sz w:val="32"/>
          <w:szCs w:val="32"/>
          <w:shd w:val="clear" w:fill="FFFFFF"/>
        </w:rPr>
        <w:t>决算数大于年初预算数的主要原因是：财政统筹未纳入预算。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六、一般公共预算财政拨款基本支出决算情况说明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2021年度财政拨款基本支出1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516.52万元，其中：人员经费1</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rPr>
        <w:t>012.19万元，占基本支出的66.74%,主要包括基本工资、津贴补贴、奖金、伙食补助费、绩效工资、机关事业单位基本养老保险支出、职工医疗基本医疗保险缴费、其他社会保障缴费、对个人和家庭的补助、生活补助、奖励金、其他对个人和家庭的补助；公用经费504.33万元，占基本支出的33.26%，主要包括办公费、印刷费、咨询费、水费、电费、邮电费、物业管理费、差旅费、维修（护）费、租赁费、培训费、专用材料费、劳务费、工会经费、福利费、其他交通费用、其他商品和服务支出、专用设备购置、其他资本性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七、一般公共预算财政拨款“三公”经费支出决算情况说明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（一）“三公”经费财政拨款支出决算总体情况说明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2021年度“三公”经费财政拨款支出预算为2.52万元，支出决算为0万元，完成预算的0%，其中：</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因公出国（境）费支出预算为0万元，支出决算为0万元，</w:t>
      </w:r>
      <w:r>
        <w:rPr>
          <w:rFonts w:hint="eastAsia" w:ascii="仿宋" w:hAnsi="仿宋" w:eastAsia="仿宋" w:cs="仿宋"/>
          <w:color w:val="auto"/>
          <w:sz w:val="32"/>
          <w:szCs w:val="32"/>
        </w:rPr>
        <w:t>决算数与预算数相等，</w:t>
      </w:r>
      <w:r>
        <w:rPr>
          <w:rFonts w:hint="eastAsia" w:ascii="仿宋" w:hAnsi="仿宋" w:eastAsia="仿宋" w:cs="仿宋"/>
          <w:color w:val="auto"/>
          <w:sz w:val="32"/>
          <w:szCs w:val="32"/>
          <w:lang w:eastAsia="zh-CN"/>
        </w:rPr>
        <w:t>主要原因是按预算执行，</w:t>
      </w:r>
      <w:r>
        <w:rPr>
          <w:rFonts w:hint="eastAsia" w:ascii="仿宋" w:hAnsi="仿宋" w:eastAsia="仿宋" w:cs="仿宋"/>
          <w:color w:val="auto"/>
          <w:sz w:val="32"/>
          <w:szCs w:val="32"/>
        </w:rPr>
        <w:t>与上年相比持平</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val="en-US" w:eastAsia="zh-CN"/>
        </w:rPr>
        <w:t>本年度未安排因公出国(境)</w:t>
      </w:r>
      <w:r>
        <w:rPr>
          <w:rFonts w:hint="eastAsia" w:ascii="仿宋" w:hAnsi="仿宋" w:eastAsia="仿宋" w:cs="仿宋"/>
          <w:color w:val="auto"/>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公务接待费支出预算为2.52万元，支出决算为0万元，完成预算的0%，与上年相比持平</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color w:val="auto"/>
          <w:sz w:val="32"/>
          <w:szCs w:val="32"/>
        </w:rPr>
        <w:t>主要原因</w:t>
      </w:r>
      <w:r>
        <w:rPr>
          <w:rFonts w:hint="eastAsia" w:ascii="仿宋" w:hAnsi="仿宋" w:eastAsia="仿宋" w:cs="仿宋"/>
          <w:color w:val="auto"/>
          <w:sz w:val="32"/>
          <w:szCs w:val="32"/>
          <w:lang w:val="en-US" w:eastAsia="zh-CN"/>
        </w:rPr>
        <w:t>是</w:t>
      </w:r>
      <w:r>
        <w:rPr>
          <w:rFonts w:hint="eastAsia" w:ascii="仿宋" w:hAnsi="仿宋" w:eastAsia="仿宋" w:cs="仿宋"/>
          <w:color w:val="auto"/>
          <w:sz w:val="32"/>
          <w:szCs w:val="32"/>
        </w:rPr>
        <w:t>厉行节约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减少开支</w:t>
      </w:r>
      <w:r>
        <w:rPr>
          <w:rFonts w:hint="eastAsia" w:ascii="仿宋" w:hAnsi="仿宋" w:eastAsia="仿宋" w:cs="仿宋"/>
          <w:color w:val="auto"/>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i w:val="0"/>
          <w:iCs w:val="0"/>
          <w:caps w:val="0"/>
          <w:color w:val="auto"/>
          <w:spacing w:val="0"/>
          <w:sz w:val="32"/>
          <w:szCs w:val="32"/>
          <w:shd w:val="clear" w:fill="FFFFFF"/>
        </w:rPr>
        <w:t>公务用车购置费及运行维护费支出预算为0万元，支出决算为0万元，决算数与年初预算数持平主要原因按预算执行，与上年数持平，主要原因是厉行节约，减少开支。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3" w:firstLineChars="200"/>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shd w:val="clear" w:fill="FFFFFF"/>
        </w:rPr>
        <w:t>（二）“三公”经费财政拨款支出决算具体情况说明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1、因公出国（境）费支出决算为0万元，全年安排因公出国（境）团组0个，累计0人次。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2、公务接待费支出决算为0万元，全年共接待来访团组0个、来宾0人次。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3、公务用车购置费及运行维护费支出决算为0万元，其中：公务用车购置费0万元，更新公务用车0辆。公务用车运行维护费0万元，截至2021年12月31日，我单位开支财政拨款的公务用车保有量为0辆。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八、政府性基金预算收入支出决算情况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本单位无政府性基金收支。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shd w:val="clear" w:fill="FFFFFF"/>
        </w:rPr>
      </w:pPr>
      <w:r>
        <w:rPr>
          <w:rFonts w:hint="eastAsia" w:ascii="黑体" w:hAnsi="黑体" w:eastAsia="黑体" w:cs="黑体"/>
          <w:b w:val="0"/>
          <w:bCs w:val="0"/>
          <w:i w:val="0"/>
          <w:iCs w:val="0"/>
          <w:caps w:val="0"/>
          <w:color w:val="auto"/>
          <w:spacing w:val="0"/>
          <w:sz w:val="32"/>
          <w:szCs w:val="32"/>
          <w:shd w:val="clear" w:fill="FFFFFF"/>
          <w:lang w:val="en-US" w:eastAsia="zh-CN"/>
        </w:rPr>
        <w:t>九、</w:t>
      </w:r>
      <w:r>
        <w:rPr>
          <w:rFonts w:hint="eastAsia" w:ascii="黑体" w:hAnsi="黑体" w:eastAsia="黑体" w:cs="黑体"/>
          <w:b w:val="0"/>
          <w:bCs w:val="0"/>
          <w:i w:val="0"/>
          <w:iCs w:val="0"/>
          <w:caps w:val="0"/>
          <w:color w:val="auto"/>
          <w:spacing w:val="0"/>
          <w:sz w:val="32"/>
          <w:szCs w:val="32"/>
          <w:shd w:val="clear" w:fill="FFFFFF"/>
        </w:rPr>
        <w:t>国有资本经营预算财政拨款支出决算情况说明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本单位无国有资本经营预算财政拨款支出。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lang w:val="en-US" w:eastAsia="zh-CN"/>
        </w:rPr>
        <w:t>十、</w:t>
      </w:r>
      <w:r>
        <w:rPr>
          <w:rFonts w:hint="eastAsia" w:ascii="黑体" w:hAnsi="黑体" w:eastAsia="黑体" w:cs="黑体"/>
          <w:b w:val="0"/>
          <w:bCs w:val="0"/>
          <w:i w:val="0"/>
          <w:iCs w:val="0"/>
          <w:caps w:val="0"/>
          <w:color w:val="auto"/>
          <w:spacing w:val="0"/>
          <w:sz w:val="32"/>
          <w:szCs w:val="32"/>
          <w:shd w:val="clear" w:fill="FFFFFF"/>
        </w:rPr>
        <w:t>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本部门2021年度机关运行经费支出0万元，</w:t>
      </w:r>
      <w:r>
        <w:rPr>
          <w:rFonts w:hint="eastAsia" w:ascii="仿宋" w:hAnsi="仿宋" w:eastAsia="仿宋" w:cs="仿宋"/>
          <w:i w:val="0"/>
          <w:iCs w:val="0"/>
          <w:caps w:val="0"/>
          <w:color w:val="auto"/>
          <w:spacing w:val="0"/>
          <w:sz w:val="32"/>
          <w:szCs w:val="32"/>
          <w:shd w:val="clear" w:fill="FFFFFF"/>
          <w:lang w:val="en-US" w:eastAsia="zh-CN"/>
        </w:rPr>
        <w:t>和</w:t>
      </w:r>
      <w:r>
        <w:rPr>
          <w:rFonts w:hint="eastAsia" w:ascii="仿宋" w:hAnsi="仿宋" w:eastAsia="仿宋" w:cs="仿宋"/>
          <w:i w:val="0"/>
          <w:iCs w:val="0"/>
          <w:caps w:val="0"/>
          <w:color w:val="auto"/>
          <w:spacing w:val="0"/>
          <w:sz w:val="32"/>
          <w:szCs w:val="32"/>
          <w:shd w:val="clear" w:fill="FFFFFF"/>
        </w:rPr>
        <w:t>年初预算数</w:t>
      </w:r>
      <w:r>
        <w:rPr>
          <w:rFonts w:hint="eastAsia" w:ascii="仿宋" w:hAnsi="仿宋" w:eastAsia="仿宋" w:cs="仿宋"/>
          <w:i w:val="0"/>
          <w:iCs w:val="0"/>
          <w:caps w:val="0"/>
          <w:color w:val="auto"/>
          <w:spacing w:val="0"/>
          <w:sz w:val="32"/>
          <w:szCs w:val="32"/>
          <w:shd w:val="clear" w:fill="FFFFFF"/>
          <w:lang w:val="en-US" w:eastAsia="zh-CN"/>
        </w:rPr>
        <w:t>持平</w:t>
      </w:r>
      <w:r>
        <w:rPr>
          <w:rFonts w:hint="eastAsia" w:ascii="仿宋" w:hAnsi="仿宋" w:eastAsia="仿宋" w:cs="仿宋"/>
          <w:i w:val="0"/>
          <w:iCs w:val="0"/>
          <w:caps w:val="0"/>
          <w:color w:val="auto"/>
          <w:spacing w:val="0"/>
          <w:sz w:val="32"/>
          <w:szCs w:val="32"/>
          <w:shd w:val="clear" w:fill="FFFFFF"/>
        </w:rPr>
        <w:t>。主要原因是：本单位不属于行政单位和参照公务员管理法的事业单位。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十</w:t>
      </w:r>
      <w:r>
        <w:rPr>
          <w:rFonts w:hint="eastAsia" w:ascii="黑体" w:hAnsi="黑体" w:eastAsia="黑体" w:cs="黑体"/>
          <w:b w:val="0"/>
          <w:bCs w:val="0"/>
          <w:i w:val="0"/>
          <w:iCs w:val="0"/>
          <w:caps w:val="0"/>
          <w:color w:val="auto"/>
          <w:spacing w:val="0"/>
          <w:sz w:val="32"/>
          <w:szCs w:val="32"/>
          <w:shd w:val="clear" w:fill="FFFFFF"/>
          <w:lang w:val="en-US" w:eastAsia="zh-CN"/>
        </w:rPr>
        <w:t>一</w:t>
      </w:r>
      <w:r>
        <w:rPr>
          <w:rFonts w:hint="eastAsia" w:ascii="黑体" w:hAnsi="黑体" w:eastAsia="黑体" w:cs="黑体"/>
          <w:b w:val="0"/>
          <w:bCs w:val="0"/>
          <w:i w:val="0"/>
          <w:iCs w:val="0"/>
          <w:caps w:val="0"/>
          <w:color w:val="auto"/>
          <w:spacing w:val="0"/>
          <w:sz w:val="32"/>
          <w:szCs w:val="32"/>
          <w:shd w:val="clear" w:fill="FFFFFF"/>
        </w:rPr>
        <w:t>、一般性支出情况说明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2021年本部门开支会议费0万元；开支培训费4.39万元，用于开展名师工作室培训，人数130人，内容为罗荣辉名师工作室开展培训保育保教知识；未举办节庆、晚会、论坛、赛事活动。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十</w:t>
      </w:r>
      <w:r>
        <w:rPr>
          <w:rFonts w:hint="eastAsia" w:ascii="黑体" w:hAnsi="黑体" w:eastAsia="黑体" w:cs="黑体"/>
          <w:b w:val="0"/>
          <w:bCs w:val="0"/>
          <w:i w:val="0"/>
          <w:iCs w:val="0"/>
          <w:caps w:val="0"/>
          <w:color w:val="auto"/>
          <w:spacing w:val="0"/>
          <w:sz w:val="32"/>
          <w:szCs w:val="32"/>
          <w:shd w:val="clear" w:fill="FFFFFF"/>
          <w:lang w:val="en-US" w:eastAsia="zh-CN"/>
        </w:rPr>
        <w:t>二</w:t>
      </w:r>
      <w:r>
        <w:rPr>
          <w:rFonts w:hint="eastAsia" w:ascii="黑体" w:hAnsi="黑体" w:eastAsia="黑体" w:cs="黑体"/>
          <w:b w:val="0"/>
          <w:bCs w:val="0"/>
          <w:i w:val="0"/>
          <w:iCs w:val="0"/>
          <w:caps w:val="0"/>
          <w:color w:val="auto"/>
          <w:spacing w:val="0"/>
          <w:sz w:val="32"/>
          <w:szCs w:val="32"/>
          <w:shd w:val="clear" w:fill="FFFFFF"/>
        </w:rPr>
        <w:t>、政府采购支出说明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i w:val="0"/>
          <w:iCs w:val="0"/>
          <w:caps w:val="0"/>
          <w:color w:val="auto"/>
          <w:spacing w:val="0"/>
          <w:sz w:val="32"/>
          <w:szCs w:val="32"/>
          <w:shd w:val="clear" w:fill="FFFFFF"/>
        </w:rPr>
        <w:t>本部门2021年度政府采购支出总额212.4</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万元，其中：政府采购货物支出210万元、政府采购工程支出0万元、政府采购服务支出2.4</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万元。授予中小企业合同金额212.4万元，占政府采购支出总额的100%，其中：授予小微企业合同金额212.4</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万元，占授予中小企业合同金额的100%</w:t>
      </w:r>
      <w:r>
        <w:rPr>
          <w:rFonts w:hint="eastAsia" w:ascii="仿宋" w:hAnsi="仿宋" w:eastAsia="仿宋" w:cs="仿宋"/>
          <w:i w:val="0"/>
          <w:iCs w:val="0"/>
          <w:caps w:val="0"/>
          <w:color w:val="auto"/>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十</w:t>
      </w:r>
      <w:r>
        <w:rPr>
          <w:rFonts w:hint="eastAsia" w:ascii="黑体" w:hAnsi="黑体" w:eastAsia="黑体" w:cs="黑体"/>
          <w:b w:val="0"/>
          <w:bCs w:val="0"/>
          <w:i w:val="0"/>
          <w:iCs w:val="0"/>
          <w:caps w:val="0"/>
          <w:color w:val="auto"/>
          <w:spacing w:val="0"/>
          <w:sz w:val="32"/>
          <w:szCs w:val="32"/>
          <w:shd w:val="clear" w:fill="FFFFFF"/>
          <w:lang w:val="en-US" w:eastAsia="zh-CN"/>
        </w:rPr>
        <w:t>三</w:t>
      </w:r>
      <w:r>
        <w:rPr>
          <w:rFonts w:hint="eastAsia" w:ascii="黑体" w:hAnsi="黑体" w:eastAsia="黑体" w:cs="黑体"/>
          <w:b w:val="0"/>
          <w:bCs w:val="0"/>
          <w:i w:val="0"/>
          <w:iCs w:val="0"/>
          <w:caps w:val="0"/>
          <w:color w:val="auto"/>
          <w:spacing w:val="0"/>
          <w:sz w:val="32"/>
          <w:szCs w:val="32"/>
          <w:shd w:val="clear" w:fill="FFFFFF"/>
        </w:rPr>
        <w:t>、国有资产占用情况说明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截至2021年12月31日，部门（单位）共有车辆0辆，其中，主要领导干部用车0辆，机要通信用车0辆、应急保障用车0辆、执法执勤用车0辆、特种专业技术用车0辆、其他用车0辆；单位价值50万元以上通用设备1台；单位价值100万元以上专用设备0台（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i w:val="0"/>
          <w:iCs w:val="0"/>
          <w:caps w:val="0"/>
          <w:color w:val="auto"/>
          <w:spacing w:val="0"/>
          <w:sz w:val="32"/>
          <w:szCs w:val="32"/>
          <w:shd w:val="clear" w:fill="FFFFFF"/>
        </w:rPr>
        <w:t>十</w:t>
      </w:r>
      <w:r>
        <w:rPr>
          <w:rFonts w:hint="eastAsia" w:ascii="黑体" w:hAnsi="黑体" w:eastAsia="黑体" w:cs="黑体"/>
          <w:b w:val="0"/>
          <w:bCs w:val="0"/>
          <w:i w:val="0"/>
          <w:iCs w:val="0"/>
          <w:caps w:val="0"/>
          <w:color w:val="auto"/>
          <w:spacing w:val="0"/>
          <w:sz w:val="32"/>
          <w:szCs w:val="32"/>
          <w:shd w:val="clear" w:fill="FFFFFF"/>
          <w:lang w:val="en-US" w:eastAsia="zh-CN"/>
        </w:rPr>
        <w:t>四</w:t>
      </w:r>
      <w:r>
        <w:rPr>
          <w:rFonts w:hint="eastAsia" w:ascii="黑体" w:hAnsi="黑体" w:eastAsia="黑体" w:cs="黑体"/>
          <w:b w:val="0"/>
          <w:bCs w:val="0"/>
          <w:i w:val="0"/>
          <w:iCs w:val="0"/>
          <w:caps w:val="0"/>
          <w:color w:val="auto"/>
          <w:spacing w:val="0"/>
          <w:sz w:val="32"/>
          <w:szCs w:val="32"/>
          <w:shd w:val="clear" w:fill="FFFFFF"/>
        </w:rPr>
        <w:t>、2021年度预算绩效情况说明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本部门2021年按财政局要求认真开展落实绩效管理工作，切实完成年度绩效目标和绩效评价工作。自评报告见附件。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bookmarkStart w:id="0" w:name="_GoBack"/>
      <w:bookmarkEnd w:id="0"/>
      <w:r>
        <w:rPr>
          <w:rFonts w:hint="eastAsia" w:ascii="仿宋" w:hAnsi="仿宋" w:eastAsia="仿宋" w:cs="仿宋"/>
          <w:i w:val="0"/>
          <w:iCs w:val="0"/>
          <w:caps w:val="0"/>
          <w:color w:val="auto"/>
          <w:spacing w:val="0"/>
          <w:sz w:val="32"/>
          <w:szCs w:val="32"/>
          <w:shd w:val="clear" w:fill="FFFFFF"/>
        </w:rPr>
        <w:t>本单位无重点项目，因此无重点项目绩效报告。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left="0" w:right="0"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60" w:beforeAutospacing="0" w:after="0" w:afterAutospacing="0" w:line="600" w:lineRule="exact"/>
        <w:ind w:right="0"/>
        <w:jc w:val="center"/>
        <w:textAlignment w:val="auto"/>
        <w:rPr>
          <w:rFonts w:hint="eastAsia" w:ascii="黑体" w:hAnsi="黑体" w:eastAsia="黑体" w:cs="黑体"/>
          <w:i w:val="0"/>
          <w:iCs w:val="0"/>
          <w:caps w:val="0"/>
          <w:color w:val="auto"/>
          <w:spacing w:val="0"/>
          <w:sz w:val="44"/>
          <w:szCs w:val="44"/>
        </w:rPr>
      </w:pPr>
      <w:r>
        <w:rPr>
          <w:rStyle w:val="5"/>
          <w:rFonts w:hint="eastAsia" w:ascii="黑体" w:hAnsi="黑体" w:eastAsia="黑体" w:cs="黑体"/>
          <w:i w:val="0"/>
          <w:iCs w:val="0"/>
          <w:caps w:val="0"/>
          <w:color w:val="auto"/>
          <w:spacing w:val="0"/>
          <w:sz w:val="44"/>
          <w:szCs w:val="44"/>
          <w:shd w:val="clear" w:color="auto" w:fill="FFFFFF"/>
        </w:rPr>
        <w:t>第四部分名词解释</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left"/>
        <w:textAlignment w:val="auto"/>
        <w:rPr>
          <w:rFonts w:hint="eastAsia" w:ascii="仿宋" w:hAnsi="仿宋" w:eastAsia="仿宋" w:cs="仿宋"/>
          <w:color w:val="auto"/>
          <w:sz w:val="32"/>
          <w:szCs w:val="32"/>
        </w:rPr>
      </w:pP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jc w:val="center"/>
        <w:textAlignment w:val="auto"/>
        <w:rPr>
          <w:rFonts w:hint="eastAsia" w:ascii="黑体" w:hAnsi="黑体" w:eastAsia="黑体" w:cs="黑体"/>
          <w:color w:val="auto"/>
          <w:sz w:val="44"/>
          <w:szCs w:val="44"/>
        </w:rPr>
      </w:pPr>
      <w:r>
        <w:rPr>
          <w:rFonts w:hint="eastAsia" w:ascii="黑体" w:hAnsi="黑体" w:eastAsia="黑体" w:cs="黑体"/>
          <w:b/>
          <w:bCs/>
          <w:color w:val="auto"/>
          <w:sz w:val="44"/>
          <w:szCs w:val="44"/>
        </w:rPr>
        <w:t>第五部分  附件</w:t>
      </w:r>
    </w:p>
    <w:p>
      <w:pPr>
        <w:pStyle w:val="2"/>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482B7C98"/>
    <w:rsid w:val="043E4E22"/>
    <w:rsid w:val="0C407FDC"/>
    <w:rsid w:val="38530FF4"/>
    <w:rsid w:val="482B7C98"/>
    <w:rsid w:val="50F16F66"/>
    <w:rsid w:val="61730705"/>
    <w:rsid w:val="61D40F3E"/>
    <w:rsid w:val="79AD2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4654</Words>
  <Characters>5025</Characters>
  <Lines>0</Lines>
  <Paragraphs>0</Paragraphs>
  <TotalTime>6</TotalTime>
  <ScaleCrop>false</ScaleCrop>
  <LinksUpToDate>false</LinksUpToDate>
  <CharactersWithSpaces>5029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2023-09-01T05:10:00Z</dcterms:created>
  <dc:creator>白茶</dc:creator>
  <cp:lastModifiedBy>非鱼</cp:lastModifiedBy>
  <dcterms:modified xsi:type="dcterms:W3CDTF">2023-10-04T05:53:17Z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C20010A736A644C3870AD158517F824E_11</vt:lpwstr>
  </property>
</Properties>
</file>