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3F682">
      <w:pPr>
        <w:pStyle w:val="11"/>
        <w:jc w:val="center"/>
        <w:rPr>
          <w:sz w:val="56"/>
          <w:szCs w:val="56"/>
          <w:highlight w:val="none"/>
        </w:rPr>
      </w:pPr>
    </w:p>
    <w:p w14:paraId="67984743">
      <w:pPr>
        <w:pStyle w:val="11"/>
        <w:jc w:val="center"/>
        <w:rPr>
          <w:sz w:val="56"/>
          <w:szCs w:val="56"/>
          <w:highlight w:val="none"/>
        </w:rPr>
      </w:pPr>
    </w:p>
    <w:p w14:paraId="24BE8B3A">
      <w:pPr>
        <w:pStyle w:val="11"/>
        <w:jc w:val="center"/>
        <w:rPr>
          <w:sz w:val="84"/>
          <w:szCs w:val="84"/>
          <w:highlight w:val="none"/>
        </w:rPr>
      </w:pPr>
    </w:p>
    <w:p w14:paraId="643CF7B1">
      <w:pPr>
        <w:pStyle w:val="11"/>
        <w:jc w:val="center"/>
        <w:rPr>
          <w:sz w:val="84"/>
          <w:szCs w:val="84"/>
          <w:highlight w:val="none"/>
        </w:rPr>
      </w:pPr>
    </w:p>
    <w:p w14:paraId="708F23E3">
      <w:pPr>
        <w:pStyle w:val="11"/>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1525BF73">
      <w:pPr>
        <w:pStyle w:val="11"/>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怀化市幼儿园</w:t>
      </w:r>
    </w:p>
    <w:p w14:paraId="3FAE82C5">
      <w:pPr>
        <w:pStyle w:val="11"/>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68DD5E56">
      <w:pPr>
        <w:pStyle w:val="11"/>
        <w:jc w:val="center"/>
        <w:rPr>
          <w:rFonts w:hint="eastAsia" w:ascii="方正小标宋_GBK" w:hAnsi="方正小标宋_GBK" w:eastAsia="方正小标宋_GBK" w:cs="方正小标宋_GBK"/>
          <w:sz w:val="56"/>
          <w:szCs w:val="56"/>
          <w:highlight w:val="none"/>
        </w:rPr>
      </w:pPr>
    </w:p>
    <w:p w14:paraId="5311EB59">
      <w:pPr>
        <w:pStyle w:val="11"/>
        <w:jc w:val="center"/>
        <w:rPr>
          <w:sz w:val="56"/>
          <w:szCs w:val="56"/>
          <w:highlight w:val="none"/>
        </w:rPr>
      </w:pPr>
    </w:p>
    <w:p w14:paraId="7F2E5302">
      <w:pPr>
        <w:pStyle w:val="11"/>
        <w:jc w:val="center"/>
        <w:rPr>
          <w:sz w:val="56"/>
          <w:szCs w:val="56"/>
          <w:highlight w:val="none"/>
        </w:rPr>
      </w:pPr>
    </w:p>
    <w:p w14:paraId="49479E55">
      <w:pPr>
        <w:pStyle w:val="11"/>
        <w:jc w:val="center"/>
        <w:rPr>
          <w:sz w:val="56"/>
          <w:szCs w:val="56"/>
          <w:highlight w:val="none"/>
        </w:rPr>
      </w:pPr>
    </w:p>
    <w:p w14:paraId="0A0C3FAB">
      <w:pPr>
        <w:pStyle w:val="11"/>
        <w:jc w:val="center"/>
        <w:rPr>
          <w:sz w:val="32"/>
          <w:szCs w:val="32"/>
          <w:highlight w:val="none"/>
        </w:rPr>
      </w:pPr>
    </w:p>
    <w:p w14:paraId="3CA1E390">
      <w:pPr>
        <w:pStyle w:val="11"/>
        <w:jc w:val="center"/>
        <w:rPr>
          <w:sz w:val="32"/>
          <w:szCs w:val="32"/>
          <w:highlight w:val="none"/>
        </w:rPr>
      </w:pPr>
    </w:p>
    <w:p w14:paraId="3D7E4C03">
      <w:pPr>
        <w:pStyle w:val="11"/>
        <w:jc w:val="center"/>
        <w:rPr>
          <w:sz w:val="32"/>
          <w:szCs w:val="32"/>
          <w:highlight w:val="none"/>
        </w:rPr>
      </w:pPr>
    </w:p>
    <w:p w14:paraId="2FD19199">
      <w:pPr>
        <w:pStyle w:val="11"/>
        <w:spacing w:line="500" w:lineRule="exact"/>
        <w:jc w:val="both"/>
        <w:rPr>
          <w:b/>
          <w:sz w:val="36"/>
          <w:szCs w:val="28"/>
          <w:highlight w:val="none"/>
        </w:rPr>
      </w:pPr>
    </w:p>
    <w:p w14:paraId="0A1C8212">
      <w:pPr>
        <w:pStyle w:val="11"/>
        <w:spacing w:line="500" w:lineRule="exact"/>
        <w:jc w:val="center"/>
        <w:rPr>
          <w:rFonts w:hint="eastAsia"/>
          <w:b/>
          <w:sz w:val="36"/>
          <w:szCs w:val="28"/>
          <w:highlight w:val="none"/>
        </w:rPr>
      </w:pPr>
      <w:r>
        <w:rPr>
          <w:rFonts w:hint="eastAsia"/>
          <w:b/>
          <w:sz w:val="36"/>
          <w:szCs w:val="28"/>
          <w:highlight w:val="none"/>
        </w:rPr>
        <w:t>目录</w:t>
      </w:r>
    </w:p>
    <w:p w14:paraId="79AF2508">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第一部分</w:t>
      </w:r>
      <w:r>
        <w:rPr>
          <w:rFonts w:hint="eastAsia" w:ascii="黑体" w:hAnsi="黑体" w:eastAsia="黑体" w:cs="黑体"/>
          <w:b w:val="0"/>
          <w:bCs/>
          <w:sz w:val="32"/>
          <w:szCs w:val="32"/>
          <w:highlight w:val="none"/>
          <w:lang w:val="en-US" w:eastAsia="zh-CN"/>
        </w:rPr>
        <w:t xml:space="preserve"> </w:t>
      </w:r>
      <w:r>
        <w:rPr>
          <w:rFonts w:hint="eastAsia" w:hAnsi="黑体" w:cs="黑体"/>
          <w:b w:val="0"/>
          <w:bCs/>
          <w:sz w:val="32"/>
          <w:szCs w:val="32"/>
          <w:highlight w:val="none"/>
          <w:lang w:val="en-US" w:eastAsia="zh-CN"/>
        </w:rPr>
        <w:t>怀化市幼儿园</w:t>
      </w:r>
      <w:r>
        <w:rPr>
          <w:rFonts w:hint="eastAsia" w:ascii="黑体" w:hAnsi="黑体" w:eastAsia="黑体" w:cs="黑体"/>
          <w:b w:val="0"/>
          <w:bCs/>
          <w:sz w:val="32"/>
          <w:szCs w:val="32"/>
          <w:highlight w:val="none"/>
          <w:lang w:eastAsia="zh-CN"/>
        </w:rPr>
        <w:t>部门</w:t>
      </w:r>
      <w:r>
        <w:rPr>
          <w:rFonts w:hint="eastAsia" w:ascii="黑体" w:hAnsi="黑体" w:eastAsia="黑体" w:cs="黑体"/>
          <w:b w:val="0"/>
          <w:bCs/>
          <w:sz w:val="32"/>
          <w:szCs w:val="32"/>
          <w:highlight w:val="none"/>
        </w:rPr>
        <w:t>概况</w:t>
      </w:r>
    </w:p>
    <w:p w14:paraId="17C24268">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7E276077">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0B9F5FD8">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第二部分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部门决算表</w:t>
      </w:r>
    </w:p>
    <w:p w14:paraId="55355F39">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281919FF">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06B14C19">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37552600">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606A71C">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6304F134">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2BB1CAF">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7A82C58E">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C4C6247">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43FE0935">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第三部分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部门决算情况说明</w:t>
      </w:r>
    </w:p>
    <w:p w14:paraId="12584BFE">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5143BE75">
      <w:pPr>
        <w:keepNext w:val="0"/>
        <w:keepLines w:val="0"/>
        <w:pageBreakBefore w:val="0"/>
        <w:widowControl w:val="0"/>
        <w:kinsoku/>
        <w:wordWrap/>
        <w:overflowPunct/>
        <w:topLinePunct w:val="0"/>
        <w:bidi w:val="0"/>
        <w:snapToGrid/>
        <w:spacing w:line="47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701EFF0A">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676A31FE">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42B78D50">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3AE2CBC6">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511F7D74">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25848065">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w:t>
      </w:r>
    </w:p>
    <w:p w14:paraId="21C19521">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val="en-US" w:eastAsia="zh-CN"/>
        </w:rPr>
        <w:t>九、</w:t>
      </w:r>
      <w:r>
        <w:rPr>
          <w:rFonts w:hint="eastAsia" w:ascii="仿宋_GB2312" w:hAnsi="仿宋_GB2312" w:eastAsia="仿宋_GB2312" w:cs="仿宋_GB2312"/>
          <w:color w:val="000000"/>
          <w:kern w:val="0"/>
          <w:sz w:val="32"/>
          <w:szCs w:val="32"/>
          <w:highlight w:val="none"/>
        </w:rPr>
        <w:t>国有资本经营预算</w:t>
      </w:r>
      <w:r>
        <w:rPr>
          <w:rFonts w:hint="eastAsia" w:ascii="仿宋_GB2312" w:hAnsi="仿宋_GB2312" w:eastAsia="仿宋_GB2312" w:cs="仿宋_GB2312"/>
          <w:sz w:val="32"/>
          <w:szCs w:val="32"/>
          <w:highlight w:val="none"/>
        </w:rPr>
        <w:t>财政拨款支出</w:t>
      </w:r>
      <w:r>
        <w:rPr>
          <w:rFonts w:hint="eastAsia" w:ascii="仿宋_GB2312" w:hAnsi="仿宋_GB2312" w:eastAsia="仿宋_GB2312" w:cs="仿宋_GB2312"/>
          <w:color w:val="000000"/>
          <w:kern w:val="0"/>
          <w:sz w:val="32"/>
          <w:szCs w:val="32"/>
          <w:highlight w:val="none"/>
        </w:rPr>
        <w:t>决算情况</w:t>
      </w:r>
    </w:p>
    <w:p w14:paraId="41398443">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lang w:val="en-US" w:eastAsia="zh-CN"/>
        </w:rPr>
        <w:t>十</w:t>
      </w:r>
      <w:r>
        <w:rPr>
          <w:rFonts w:hint="eastAsia" w:ascii="仿宋_GB2312" w:hAnsi="仿宋_GB2312" w:eastAsia="仿宋_GB2312" w:cs="仿宋_GB2312"/>
          <w:color w:val="000000"/>
          <w:kern w:val="0"/>
          <w:sz w:val="32"/>
          <w:szCs w:val="32"/>
          <w:highlight w:val="none"/>
        </w:rPr>
        <w:t>、关于机关运行经费支出说明</w:t>
      </w:r>
    </w:p>
    <w:p w14:paraId="224B0B3F">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w:t>
      </w:r>
      <w:r>
        <w:rPr>
          <w:rFonts w:hint="eastAsia" w:ascii="仿宋_GB2312" w:hAnsi="仿宋_GB2312" w:eastAsia="仿宋_GB2312" w:cs="仿宋_GB2312"/>
          <w:color w:val="000000"/>
          <w:kern w:val="0"/>
          <w:sz w:val="32"/>
          <w:szCs w:val="32"/>
          <w:highlight w:val="none"/>
          <w:lang w:val="en-US" w:eastAsia="zh-CN"/>
        </w:rPr>
        <w:t>一</w:t>
      </w:r>
      <w:r>
        <w:rPr>
          <w:rFonts w:hint="eastAsia" w:ascii="仿宋_GB2312" w:hAnsi="仿宋_GB2312" w:eastAsia="仿宋_GB2312" w:cs="仿宋_GB2312"/>
          <w:color w:val="000000"/>
          <w:kern w:val="0"/>
          <w:sz w:val="32"/>
          <w:szCs w:val="32"/>
          <w:highlight w:val="none"/>
        </w:rPr>
        <w:t>、一般性支出情况说明</w:t>
      </w:r>
    </w:p>
    <w:p w14:paraId="45A52AA3">
      <w:pPr>
        <w:keepNext w:val="0"/>
        <w:keepLines w:val="0"/>
        <w:pageBreakBefore w:val="0"/>
        <w:widowControl w:val="0"/>
        <w:kinsoku/>
        <w:wordWrap/>
        <w:overflowPunct/>
        <w:topLinePunct w:val="0"/>
        <w:autoSpaceDE w:val="0"/>
        <w:autoSpaceDN w:val="0"/>
        <w:bidi w:val="0"/>
        <w:adjustRightInd w:val="0"/>
        <w:snapToGrid/>
        <w:spacing w:line="47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w:t>
      </w:r>
      <w:r>
        <w:rPr>
          <w:rFonts w:hint="eastAsia" w:ascii="仿宋_GB2312" w:hAnsi="仿宋_GB2312" w:eastAsia="仿宋_GB2312" w:cs="仿宋_GB2312"/>
          <w:color w:val="000000"/>
          <w:kern w:val="0"/>
          <w:sz w:val="32"/>
          <w:szCs w:val="32"/>
          <w:highlight w:val="none"/>
          <w:lang w:val="en-US" w:eastAsia="zh-CN"/>
        </w:rPr>
        <w:t>二</w:t>
      </w:r>
      <w:r>
        <w:rPr>
          <w:rFonts w:hint="eastAsia" w:ascii="仿宋_GB2312" w:hAnsi="仿宋_GB2312" w:eastAsia="仿宋_GB2312" w:cs="仿宋_GB2312"/>
          <w:color w:val="000000"/>
          <w:kern w:val="0"/>
          <w:sz w:val="32"/>
          <w:szCs w:val="32"/>
          <w:highlight w:val="none"/>
        </w:rPr>
        <w:t>、关于政府采购支出说明</w:t>
      </w:r>
    </w:p>
    <w:p w14:paraId="1724E28D">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、关于国有资产占用情况说明</w:t>
      </w:r>
    </w:p>
    <w:p w14:paraId="02B9E572">
      <w:pPr>
        <w:pStyle w:val="11"/>
        <w:keepNext w:val="0"/>
        <w:keepLines w:val="0"/>
        <w:pageBreakBefore w:val="0"/>
        <w:widowControl w:val="0"/>
        <w:kinsoku/>
        <w:wordWrap/>
        <w:overflowPunct/>
        <w:topLinePunct w:val="0"/>
        <w:bidi w:val="0"/>
        <w:snapToGrid/>
        <w:spacing w:line="47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、关于预算绩效情况的说明</w:t>
      </w:r>
    </w:p>
    <w:p w14:paraId="32FEFFBE">
      <w:pPr>
        <w:pStyle w:val="11"/>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第四部分</w:t>
      </w:r>
      <w:r>
        <w:rPr>
          <w:rFonts w:hint="eastAsia" w:ascii="黑体" w:hAnsi="黑体" w:eastAsia="黑体" w:cs="黑体"/>
          <w:b w:val="0"/>
          <w:bCs/>
          <w:sz w:val="32"/>
          <w:szCs w:val="32"/>
          <w:highlight w:val="none"/>
          <w:lang w:val="en-US" w:eastAsia="zh-CN"/>
        </w:rPr>
        <w:t xml:space="preserve"> </w:t>
      </w:r>
      <w:r>
        <w:rPr>
          <w:rFonts w:hint="eastAsia" w:ascii="黑体" w:hAnsi="黑体" w:eastAsia="黑体" w:cs="黑体"/>
          <w:b w:val="0"/>
          <w:bCs/>
          <w:sz w:val="32"/>
          <w:szCs w:val="32"/>
          <w:highlight w:val="none"/>
        </w:rPr>
        <w:t>名词解释</w:t>
      </w:r>
    </w:p>
    <w:p w14:paraId="3077DBA0">
      <w:pPr>
        <w:pStyle w:val="11"/>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第五部分 附件</w:t>
      </w:r>
    </w:p>
    <w:p w14:paraId="60D36514">
      <w:pPr>
        <w:jc w:val="center"/>
        <w:rPr>
          <w:sz w:val="72"/>
          <w:szCs w:val="72"/>
          <w:highlight w:val="none"/>
        </w:rPr>
      </w:pPr>
    </w:p>
    <w:p w14:paraId="32992E57">
      <w:pPr>
        <w:jc w:val="center"/>
        <w:rPr>
          <w:sz w:val="72"/>
          <w:szCs w:val="72"/>
          <w:highlight w:val="none"/>
        </w:rPr>
      </w:pPr>
    </w:p>
    <w:p w14:paraId="6CBB729B">
      <w:pPr>
        <w:pStyle w:val="11"/>
        <w:jc w:val="both"/>
        <w:rPr>
          <w:rFonts w:hint="eastAsia" w:ascii="方正小标宋_GBK" w:hAnsi="方正小标宋_GBK" w:eastAsia="方正小标宋_GBK" w:cs="方正小标宋_GBK"/>
          <w:kern w:val="0"/>
          <w:sz w:val="84"/>
          <w:szCs w:val="84"/>
          <w:highlight w:val="none"/>
        </w:rPr>
      </w:pPr>
    </w:p>
    <w:p w14:paraId="52DBB8B3">
      <w:pPr>
        <w:pStyle w:val="11"/>
        <w:jc w:val="both"/>
        <w:rPr>
          <w:rFonts w:hint="eastAsia" w:ascii="方正小标宋_GBK" w:hAnsi="方正小标宋_GBK" w:eastAsia="方正小标宋_GBK" w:cs="方正小标宋_GBK"/>
          <w:kern w:val="0"/>
          <w:sz w:val="84"/>
          <w:szCs w:val="84"/>
          <w:highlight w:val="none"/>
        </w:rPr>
      </w:pPr>
    </w:p>
    <w:p w14:paraId="52F0F00F">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 xml:space="preserve">第一部分 </w:t>
      </w:r>
    </w:p>
    <w:p w14:paraId="784C21FA">
      <w:pPr>
        <w:pStyle w:val="11"/>
        <w:jc w:val="center"/>
        <w:rPr>
          <w:rFonts w:hint="eastAsia" w:ascii="黑体" w:hAnsi="黑体" w:eastAsia="黑体" w:cs="黑体"/>
          <w:kern w:val="0"/>
          <w:sz w:val="84"/>
          <w:szCs w:val="84"/>
          <w:highlight w:val="none"/>
        </w:rPr>
      </w:pPr>
    </w:p>
    <w:p w14:paraId="63652B27">
      <w:pPr>
        <w:pStyle w:val="11"/>
        <w:jc w:val="center"/>
        <w:rPr>
          <w:rFonts w:hint="eastAsia" w:ascii="方正小标宋_GBK" w:hAnsi="方正小标宋_GBK" w:eastAsia="方正小标宋_GBK" w:cs="方正小标宋_GBK"/>
          <w:kern w:val="0"/>
          <w:sz w:val="84"/>
          <w:szCs w:val="84"/>
          <w:highlight w:val="none"/>
        </w:rPr>
      </w:pPr>
      <w:r>
        <w:rPr>
          <w:rFonts w:hint="eastAsia" w:ascii="黑体" w:hAnsi="黑体" w:eastAsia="黑体" w:cs="黑体"/>
          <w:kern w:val="0"/>
          <w:sz w:val="84"/>
          <w:szCs w:val="84"/>
          <w:highlight w:val="none"/>
          <w:lang w:val="en-US" w:eastAsia="zh-CN"/>
        </w:rPr>
        <w:t>怀化市幼儿园</w:t>
      </w:r>
      <w:r>
        <w:rPr>
          <w:rFonts w:hint="eastAsia" w:ascii="黑体" w:hAnsi="黑体" w:eastAsia="黑体" w:cs="黑体"/>
          <w:kern w:val="0"/>
          <w:sz w:val="84"/>
          <w:szCs w:val="84"/>
          <w:highlight w:val="none"/>
        </w:rPr>
        <w:t>概况</w:t>
      </w:r>
    </w:p>
    <w:p w14:paraId="2A9D5BD0">
      <w:pPr>
        <w:jc w:val="center"/>
        <w:rPr>
          <w:rFonts w:hint="eastAsia" w:ascii="方正小标宋_GBK" w:hAnsi="方正小标宋_GBK" w:eastAsia="方正小标宋_GBK" w:cs="方正小标宋_GBK"/>
          <w:sz w:val="72"/>
          <w:szCs w:val="72"/>
          <w:highlight w:val="none"/>
        </w:rPr>
      </w:pPr>
    </w:p>
    <w:p w14:paraId="622D93EB">
      <w:pPr>
        <w:jc w:val="center"/>
        <w:rPr>
          <w:rFonts w:hint="eastAsia" w:ascii="方正小标宋_GBK" w:hAnsi="方正小标宋_GBK" w:eastAsia="方正小标宋_GBK" w:cs="方正小标宋_GBK"/>
          <w:sz w:val="72"/>
          <w:szCs w:val="72"/>
          <w:highlight w:val="none"/>
        </w:rPr>
      </w:pPr>
    </w:p>
    <w:p w14:paraId="5D6818B7">
      <w:pPr>
        <w:jc w:val="center"/>
        <w:rPr>
          <w:sz w:val="72"/>
          <w:szCs w:val="72"/>
          <w:highlight w:val="none"/>
        </w:rPr>
      </w:pPr>
    </w:p>
    <w:p w14:paraId="4D4F9190">
      <w:pPr>
        <w:jc w:val="center"/>
        <w:rPr>
          <w:sz w:val="72"/>
          <w:szCs w:val="72"/>
          <w:highlight w:val="none"/>
        </w:rPr>
      </w:pPr>
    </w:p>
    <w:p w14:paraId="740AE862">
      <w:pPr>
        <w:jc w:val="center"/>
        <w:rPr>
          <w:sz w:val="72"/>
          <w:szCs w:val="72"/>
          <w:highlight w:val="none"/>
        </w:rPr>
      </w:pPr>
    </w:p>
    <w:p w14:paraId="428CB6DF">
      <w:pPr>
        <w:jc w:val="both"/>
        <w:rPr>
          <w:sz w:val="72"/>
          <w:szCs w:val="72"/>
          <w:highlight w:val="none"/>
        </w:rPr>
      </w:pPr>
    </w:p>
    <w:p w14:paraId="41E15BC0">
      <w:pPr>
        <w:pStyle w:val="12"/>
        <w:keepNext w:val="0"/>
        <w:keepLines w:val="0"/>
        <w:pageBreakBefore w:val="0"/>
        <w:numPr>
          <w:ilvl w:val="0"/>
          <w:numId w:val="0"/>
        </w:numPr>
        <w:kinsoku/>
        <w:wordWrap/>
        <w:overflowPunct/>
        <w:topLinePunct w:val="0"/>
        <w:bidi w:val="0"/>
        <w:snapToGrid/>
        <w:spacing w:line="600" w:lineRule="exact"/>
        <w:ind w:left="720" w:leftChars="0" w:hanging="720" w:firstLineChars="0"/>
        <w:jc w:val="left"/>
        <w:textAlignment w:val="auto"/>
        <w:rPr>
          <w:rFonts w:hint="eastAsia" w:ascii="黑体" w:hAnsi="黑体" w:eastAsia="黑体" w:cs="黑体"/>
          <w:b w:val="0"/>
          <w:bCs w:val="0"/>
          <w:sz w:val="32"/>
          <w:szCs w:val="32"/>
          <w:highlight w:val="none"/>
        </w:rPr>
      </w:pPr>
      <w:r>
        <w:rPr>
          <w:rFonts w:hint="default"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highlight w:val="none"/>
        </w:rPr>
        <w:t>部门职责</w:t>
      </w:r>
    </w:p>
    <w:p w14:paraId="024ED9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600" w:lineRule="exact"/>
        <w:ind w:left="0" w:right="0" w:firstLine="640" w:firstLineChars="200"/>
        <w:jc w:val="both"/>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怀化市幼儿园的部门职责是贯彻国家的教育方针，按照保育与教育相结合的原则，遵循幼儿身心发展特点和规律，实施德、智、体、美等方面全面发展的教育，促进幼儿身心和谐发展。同时面向幼儿家长提供科学育儿指导。</w:t>
      </w:r>
      <w:bookmarkStart w:id="14" w:name="_GoBack"/>
      <w:bookmarkEnd w:id="14"/>
    </w:p>
    <w:p w14:paraId="499D18E2">
      <w:pPr>
        <w:keepNext w:val="0"/>
        <w:keepLines w:val="0"/>
        <w:pageBreakBefore w:val="0"/>
        <w:widowControl/>
        <w:kinsoku/>
        <w:wordWrap/>
        <w:overflowPunct/>
        <w:topLinePunct w:val="0"/>
        <w:bidi w:val="0"/>
        <w:adjustRightInd/>
        <w:snapToGrid/>
        <w:spacing w:line="600" w:lineRule="exact"/>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5E77986D">
      <w:pPr>
        <w:keepNext w:val="0"/>
        <w:keepLines w:val="0"/>
        <w:pageBreakBefore w:val="0"/>
        <w:kinsoku/>
        <w:wordWrap/>
        <w:overflowPunct/>
        <w:topLinePunct w:val="0"/>
        <w:autoSpaceDE w:val="0"/>
        <w:autoSpaceDN w:val="0"/>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（一）内设机构设置。怀化市幼儿园单位内设机构包括：办公室、保教室 、总务室、校安办、督导室。</w:t>
      </w:r>
    </w:p>
    <w:p w14:paraId="785DF816">
      <w:pPr>
        <w:keepNext w:val="0"/>
        <w:keepLines w:val="0"/>
        <w:pageBreakBefore w:val="0"/>
        <w:kinsoku/>
        <w:wordWrap/>
        <w:overflowPunct/>
        <w:topLinePunct w:val="0"/>
        <w:autoSpaceDE w:val="0"/>
        <w:autoSpaceDN w:val="0"/>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SA"/>
        </w:rPr>
        <w:t>（二）决算单位构成。怀化市幼儿园单位2022年部门决算汇总公开单位构成包括：怀化市幼儿园本级。</w:t>
      </w:r>
    </w:p>
    <w:p w14:paraId="289AFA32">
      <w:pPr>
        <w:autoSpaceDE w:val="0"/>
        <w:autoSpaceDN w:val="0"/>
        <w:adjustRightInd w:val="0"/>
        <w:spacing w:line="500" w:lineRule="exact"/>
        <w:ind w:firstLine="800" w:firstLineChars="250"/>
        <w:jc w:val="left"/>
        <w:rPr>
          <w:rFonts w:hint="default" w:ascii="仿宋_GB2312" w:hAnsi="仿宋_GB2312" w:eastAsia="仿宋_GB2312" w:cs="仿宋_GB2312"/>
          <w:color w:val="000000"/>
          <w:kern w:val="0"/>
          <w:sz w:val="32"/>
          <w:szCs w:val="32"/>
          <w:highlight w:val="none"/>
          <w:lang w:val="en-US" w:eastAsia="zh-CN"/>
        </w:rPr>
      </w:pPr>
    </w:p>
    <w:p w14:paraId="63E633D8">
      <w:pPr>
        <w:jc w:val="left"/>
        <w:rPr>
          <w:rFonts w:ascii="仿宋_GB2312" w:eastAsia="仿宋_GB2312" w:hAnsiTheme="minorEastAsia"/>
          <w:sz w:val="28"/>
          <w:szCs w:val="32"/>
          <w:highlight w:val="none"/>
        </w:rPr>
      </w:pPr>
    </w:p>
    <w:p w14:paraId="58E7C3D5">
      <w:pPr>
        <w:jc w:val="center"/>
        <w:rPr>
          <w:rFonts w:ascii="黑体" w:hAnsi="黑体" w:eastAsia="黑体"/>
          <w:sz w:val="28"/>
          <w:szCs w:val="28"/>
          <w:highlight w:val="none"/>
        </w:rPr>
      </w:pPr>
    </w:p>
    <w:p w14:paraId="7CA77056">
      <w:pPr>
        <w:jc w:val="center"/>
        <w:rPr>
          <w:rFonts w:ascii="黑体" w:hAnsi="黑体" w:eastAsia="黑体"/>
          <w:sz w:val="28"/>
          <w:szCs w:val="28"/>
          <w:highlight w:val="none"/>
        </w:rPr>
      </w:pPr>
    </w:p>
    <w:p w14:paraId="01AECA95">
      <w:pPr>
        <w:jc w:val="center"/>
        <w:rPr>
          <w:rFonts w:ascii="黑体" w:hAnsi="黑体" w:eastAsia="黑体"/>
          <w:sz w:val="28"/>
          <w:szCs w:val="28"/>
          <w:highlight w:val="none"/>
        </w:rPr>
      </w:pPr>
    </w:p>
    <w:p w14:paraId="50FCFDB6">
      <w:pPr>
        <w:jc w:val="center"/>
        <w:rPr>
          <w:rFonts w:ascii="黑体" w:hAnsi="黑体" w:eastAsia="黑体"/>
          <w:sz w:val="28"/>
          <w:szCs w:val="28"/>
          <w:highlight w:val="none"/>
        </w:rPr>
      </w:pPr>
    </w:p>
    <w:p w14:paraId="4A32C9CC">
      <w:pPr>
        <w:jc w:val="center"/>
        <w:rPr>
          <w:rFonts w:ascii="黑体" w:hAnsi="黑体" w:eastAsia="黑体"/>
          <w:sz w:val="28"/>
          <w:szCs w:val="28"/>
          <w:highlight w:val="none"/>
        </w:rPr>
      </w:pPr>
    </w:p>
    <w:p w14:paraId="647DD565">
      <w:pPr>
        <w:jc w:val="center"/>
        <w:rPr>
          <w:rFonts w:ascii="黑体" w:hAnsi="黑体" w:eastAsia="黑体"/>
          <w:sz w:val="28"/>
          <w:szCs w:val="28"/>
          <w:highlight w:val="none"/>
        </w:rPr>
      </w:pPr>
    </w:p>
    <w:p w14:paraId="4D361824">
      <w:pPr>
        <w:jc w:val="center"/>
        <w:rPr>
          <w:rFonts w:ascii="黑体" w:hAnsi="黑体" w:eastAsia="黑体"/>
          <w:sz w:val="28"/>
          <w:szCs w:val="28"/>
          <w:highlight w:val="none"/>
        </w:rPr>
      </w:pPr>
    </w:p>
    <w:p w14:paraId="375D7DC6">
      <w:pPr>
        <w:jc w:val="center"/>
        <w:rPr>
          <w:rFonts w:ascii="黑体" w:hAnsi="黑体" w:eastAsia="黑体"/>
          <w:sz w:val="28"/>
          <w:szCs w:val="28"/>
          <w:highlight w:val="none"/>
        </w:rPr>
      </w:pPr>
    </w:p>
    <w:p w14:paraId="51B6218D">
      <w:pPr>
        <w:jc w:val="center"/>
        <w:rPr>
          <w:rFonts w:ascii="黑体" w:hAnsi="黑体" w:eastAsia="黑体"/>
          <w:sz w:val="28"/>
          <w:szCs w:val="28"/>
          <w:highlight w:val="none"/>
        </w:rPr>
      </w:pPr>
    </w:p>
    <w:p w14:paraId="6C61362F">
      <w:pPr>
        <w:jc w:val="center"/>
        <w:rPr>
          <w:rFonts w:ascii="黑体" w:hAnsi="黑体" w:eastAsia="黑体"/>
          <w:sz w:val="28"/>
          <w:szCs w:val="28"/>
          <w:highlight w:val="none"/>
        </w:rPr>
      </w:pPr>
    </w:p>
    <w:p w14:paraId="1F8ED185">
      <w:pPr>
        <w:jc w:val="both"/>
        <w:rPr>
          <w:sz w:val="72"/>
          <w:szCs w:val="72"/>
          <w:highlight w:val="none"/>
        </w:rPr>
      </w:pPr>
    </w:p>
    <w:p w14:paraId="01F1066F">
      <w:pPr>
        <w:pStyle w:val="11"/>
        <w:jc w:val="center"/>
        <w:rPr>
          <w:rFonts w:hint="eastAsia" w:ascii="方正小标宋_GBK" w:hAnsi="方正小标宋_GBK" w:eastAsia="方正小标宋_GBK" w:cs="方正小标宋_GBK"/>
          <w:sz w:val="84"/>
          <w:szCs w:val="84"/>
          <w:highlight w:val="none"/>
        </w:rPr>
      </w:pPr>
    </w:p>
    <w:p w14:paraId="4DEA2ECE">
      <w:pPr>
        <w:pStyle w:val="11"/>
        <w:jc w:val="center"/>
        <w:rPr>
          <w:rFonts w:hint="eastAsia" w:ascii="方正小标宋_GBK" w:hAnsi="方正小标宋_GBK" w:eastAsia="方正小标宋_GBK" w:cs="方正小标宋_GBK"/>
          <w:sz w:val="84"/>
          <w:szCs w:val="84"/>
          <w:highlight w:val="none"/>
        </w:rPr>
      </w:pPr>
    </w:p>
    <w:p w14:paraId="013418EE">
      <w:pPr>
        <w:pStyle w:val="11"/>
        <w:jc w:val="center"/>
        <w:rPr>
          <w:rFonts w:hint="eastAsia" w:ascii="方正小标宋_GBK" w:hAnsi="方正小标宋_GBK" w:eastAsia="方正小标宋_GBK" w:cs="方正小标宋_GBK"/>
          <w:sz w:val="84"/>
          <w:szCs w:val="84"/>
          <w:highlight w:val="none"/>
        </w:rPr>
      </w:pPr>
    </w:p>
    <w:p w14:paraId="6B2747EE">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第二部分</w:t>
      </w:r>
    </w:p>
    <w:p w14:paraId="368310CB">
      <w:pPr>
        <w:pStyle w:val="11"/>
        <w:jc w:val="center"/>
        <w:rPr>
          <w:rFonts w:hint="eastAsia" w:ascii="黑体" w:hAnsi="黑体" w:eastAsia="黑体" w:cs="黑体"/>
          <w:kern w:val="0"/>
          <w:sz w:val="84"/>
          <w:szCs w:val="84"/>
          <w:highlight w:val="none"/>
        </w:rPr>
      </w:pPr>
    </w:p>
    <w:p w14:paraId="38619964">
      <w:pPr>
        <w:pStyle w:val="11"/>
        <w:jc w:val="center"/>
        <w:rPr>
          <w:rFonts w:hint="eastAsia" w:ascii="黑体" w:hAnsi="黑体" w:eastAsia="黑体" w:cs="黑体"/>
          <w:kern w:val="0"/>
          <w:sz w:val="84"/>
          <w:szCs w:val="84"/>
          <w:highlight w:val="none"/>
          <w:lang w:val="en-US" w:eastAsia="zh-CN"/>
        </w:rPr>
      </w:pPr>
      <w:r>
        <w:rPr>
          <w:rFonts w:hint="eastAsia" w:ascii="黑体" w:hAnsi="黑体" w:eastAsia="黑体" w:cs="黑体"/>
          <w:kern w:val="0"/>
          <w:sz w:val="84"/>
          <w:szCs w:val="84"/>
          <w:highlight w:val="none"/>
        </w:rPr>
        <w:t>部门决算</w:t>
      </w:r>
      <w:r>
        <w:rPr>
          <w:rFonts w:hint="eastAsia" w:ascii="黑体" w:hAnsi="黑体" w:eastAsia="黑体" w:cs="黑体"/>
          <w:kern w:val="0"/>
          <w:sz w:val="84"/>
          <w:szCs w:val="84"/>
          <w:highlight w:val="none"/>
          <w:lang w:val="en-US" w:eastAsia="zh-CN"/>
        </w:rPr>
        <w:t>表</w:t>
      </w:r>
    </w:p>
    <w:p w14:paraId="5F50C551">
      <w:pPr>
        <w:pStyle w:val="11"/>
        <w:jc w:val="center"/>
        <w:rPr>
          <w:rFonts w:hint="eastAsia" w:ascii="方正小标宋_GBK" w:hAnsi="方正小标宋_GBK" w:eastAsia="方正小标宋_GBK" w:cs="方正小标宋_GBK"/>
          <w:sz w:val="84"/>
          <w:szCs w:val="84"/>
          <w:highlight w:val="none"/>
          <w:lang w:val="en-US" w:eastAsia="zh-CN"/>
        </w:rPr>
      </w:pPr>
    </w:p>
    <w:p w14:paraId="15C6348F">
      <w:pPr>
        <w:jc w:val="center"/>
        <w:rPr>
          <w:rFonts w:hint="eastAsia"/>
          <w:sz w:val="72"/>
          <w:szCs w:val="72"/>
          <w:highlight w:val="none"/>
          <w:lang w:val="en-US" w:eastAsia="zh-CN"/>
        </w:rPr>
      </w:pPr>
      <w:bookmarkStart w:id="0" w:name="RANGE!A1:I22"/>
      <w:bookmarkEnd w:id="0"/>
      <w:r>
        <w:rPr>
          <w:rFonts w:hint="eastAsia"/>
          <w:sz w:val="72"/>
          <w:szCs w:val="72"/>
          <w:highlight w:val="none"/>
          <w:lang w:val="en-US" w:eastAsia="zh-CN"/>
        </w:rPr>
        <w:t>见附件</w:t>
      </w:r>
    </w:p>
    <w:p w14:paraId="2C430F5A">
      <w:pPr>
        <w:pStyle w:val="11"/>
        <w:rPr>
          <w:sz w:val="72"/>
          <w:szCs w:val="72"/>
          <w:highlight w:val="none"/>
        </w:rPr>
      </w:pPr>
    </w:p>
    <w:p w14:paraId="4132EB20">
      <w:pPr>
        <w:pStyle w:val="11"/>
        <w:rPr>
          <w:sz w:val="72"/>
          <w:szCs w:val="72"/>
          <w:highlight w:val="none"/>
        </w:rPr>
      </w:pPr>
    </w:p>
    <w:p w14:paraId="297F6E7F">
      <w:pPr>
        <w:pStyle w:val="11"/>
        <w:jc w:val="both"/>
        <w:rPr>
          <w:rFonts w:hint="eastAsia" w:ascii="方正小标宋_GBK" w:hAnsi="方正小标宋_GBK" w:eastAsia="方正小标宋_GBK" w:cs="方正小标宋_GBK"/>
          <w:sz w:val="72"/>
          <w:szCs w:val="72"/>
          <w:highlight w:val="none"/>
        </w:rPr>
      </w:pPr>
    </w:p>
    <w:p w14:paraId="32D0372F">
      <w:pPr>
        <w:pStyle w:val="11"/>
        <w:jc w:val="both"/>
        <w:rPr>
          <w:rFonts w:hint="eastAsia" w:ascii="方正小标宋_GBK" w:hAnsi="方正小标宋_GBK" w:eastAsia="方正小标宋_GBK" w:cs="方正小标宋_GBK"/>
          <w:sz w:val="72"/>
          <w:szCs w:val="72"/>
          <w:highlight w:val="none"/>
        </w:rPr>
      </w:pPr>
    </w:p>
    <w:p w14:paraId="5376BFCD">
      <w:pPr>
        <w:pStyle w:val="11"/>
        <w:jc w:val="center"/>
        <w:rPr>
          <w:rFonts w:hint="eastAsia" w:ascii="黑体" w:hAnsi="黑体" w:eastAsia="黑体" w:cs="黑体"/>
          <w:kern w:val="0"/>
          <w:sz w:val="84"/>
          <w:szCs w:val="84"/>
          <w:highlight w:val="none"/>
        </w:rPr>
      </w:pPr>
    </w:p>
    <w:p w14:paraId="29CBA8B3">
      <w:pPr>
        <w:pStyle w:val="11"/>
        <w:jc w:val="center"/>
        <w:rPr>
          <w:rFonts w:hint="eastAsia" w:ascii="黑体" w:hAnsi="黑体" w:eastAsia="黑体" w:cs="黑体"/>
          <w:kern w:val="0"/>
          <w:sz w:val="84"/>
          <w:szCs w:val="84"/>
          <w:highlight w:val="none"/>
        </w:rPr>
      </w:pPr>
    </w:p>
    <w:p w14:paraId="5D61F33A">
      <w:pPr>
        <w:pStyle w:val="11"/>
        <w:jc w:val="center"/>
        <w:rPr>
          <w:rFonts w:hint="eastAsia" w:ascii="黑体" w:hAnsi="黑体" w:eastAsia="黑体" w:cs="黑体"/>
          <w:kern w:val="0"/>
          <w:sz w:val="84"/>
          <w:szCs w:val="84"/>
          <w:highlight w:val="none"/>
        </w:rPr>
      </w:pPr>
    </w:p>
    <w:p w14:paraId="6C3BC523">
      <w:pPr>
        <w:pStyle w:val="11"/>
        <w:jc w:val="center"/>
        <w:rPr>
          <w:rFonts w:hint="eastAsia" w:ascii="黑体" w:hAnsi="黑体" w:eastAsia="黑体" w:cs="黑体"/>
          <w:kern w:val="0"/>
          <w:sz w:val="84"/>
          <w:szCs w:val="84"/>
          <w:highlight w:val="none"/>
        </w:rPr>
      </w:pPr>
    </w:p>
    <w:p w14:paraId="5605C0D1">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第三部分</w:t>
      </w:r>
    </w:p>
    <w:p w14:paraId="53A2BCB1">
      <w:pPr>
        <w:pStyle w:val="11"/>
        <w:jc w:val="center"/>
        <w:rPr>
          <w:rFonts w:hint="eastAsia" w:ascii="黑体" w:hAnsi="黑体" w:eastAsia="黑体" w:cs="黑体"/>
          <w:kern w:val="0"/>
          <w:sz w:val="84"/>
          <w:szCs w:val="84"/>
          <w:highlight w:val="none"/>
        </w:rPr>
      </w:pPr>
    </w:p>
    <w:p w14:paraId="380A0157">
      <w:pPr>
        <w:pStyle w:val="11"/>
        <w:jc w:val="center"/>
        <w:rPr>
          <w:rFonts w:hint="eastAsia" w:ascii="方正小标宋_GBK" w:hAnsi="方正小标宋_GBK" w:eastAsia="方正小标宋_GBK" w:cs="方正小标宋_GBK"/>
          <w:sz w:val="70"/>
          <w:szCs w:val="70"/>
          <w:highlight w:val="none"/>
        </w:rPr>
      </w:pPr>
      <w:r>
        <w:rPr>
          <w:rFonts w:hint="eastAsia" w:ascii="黑体" w:hAnsi="黑体" w:eastAsia="黑体" w:cs="黑体"/>
          <w:kern w:val="0"/>
          <w:sz w:val="84"/>
          <w:szCs w:val="84"/>
          <w:highlight w:val="none"/>
        </w:rPr>
        <w:t>202</w:t>
      </w:r>
      <w:r>
        <w:rPr>
          <w:rFonts w:hint="eastAsia" w:ascii="黑体" w:hAnsi="黑体" w:eastAsia="黑体" w:cs="黑体"/>
          <w:kern w:val="0"/>
          <w:sz w:val="84"/>
          <w:szCs w:val="84"/>
          <w:highlight w:val="none"/>
          <w:lang w:val="en-US" w:eastAsia="zh-CN"/>
        </w:rPr>
        <w:t>2</w:t>
      </w:r>
      <w:r>
        <w:rPr>
          <w:rFonts w:hint="eastAsia" w:ascii="黑体" w:hAnsi="黑体" w:eastAsia="黑体" w:cs="黑体"/>
          <w:kern w:val="0"/>
          <w:sz w:val="84"/>
          <w:szCs w:val="84"/>
          <w:highlight w:val="none"/>
        </w:rPr>
        <w:t>年度部门决算情况说明</w:t>
      </w:r>
    </w:p>
    <w:p w14:paraId="6DDB4F1D">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406DB3D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2EED51C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2,277.67万元。与上年相比，增加409.69万元，增长21.93%，主要是因为2022年人员较上年增加12人，人员经费增加，并且湖天分园建设项目资金增加。</w:t>
      </w:r>
    </w:p>
    <w:p w14:paraId="6836B6B0">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收入决算情况说明</w:t>
      </w:r>
    </w:p>
    <w:p w14:paraId="2D3CF0EC">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2022年度收入合计2,277.67万元，其中：财政拨款收入2,277.67万元，占100%。</w:t>
      </w:r>
    </w:p>
    <w:p w14:paraId="32A944B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56D02DCE">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2022年度支出合计2,277.67万元，其中：基本支出1,130.50万元，占49.63%；项目支出1,147.17万元，占50.37%。</w:t>
      </w:r>
    </w:p>
    <w:p w14:paraId="2FB5B7C3">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黑体" w:hAnsi="黑体" w:eastAsia="黑体" w:cs="黑体"/>
          <w:b w:val="0"/>
          <w:bCs/>
          <w:sz w:val="32"/>
          <w:szCs w:val="32"/>
          <w:highlight w:val="none"/>
        </w:rPr>
        <w:t>四、财政拨款收入支出决算总体情况说明</w:t>
      </w:r>
    </w:p>
    <w:p w14:paraId="353C32C4">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 xml:space="preserve"> 2022年度财政拨款收、支总计</w:t>
      </w:r>
      <w:r>
        <w:rPr>
          <w:rFonts w:hint="eastAsia" w:ascii="仿宋" w:hAnsi="仿宋" w:eastAsia="仿宋" w:cs="仿宋"/>
          <w:sz w:val="32"/>
          <w:szCs w:val="32"/>
          <w:highlight w:val="none"/>
        </w:rPr>
        <w:t>均为</w:t>
      </w:r>
      <w:r>
        <w:rPr>
          <w:rFonts w:hint="eastAsia" w:ascii="仿宋_GB2312" w:hAnsi="仿宋_GB2312" w:eastAsia="仿宋_GB2312" w:cs="仿宋_GB2312"/>
          <w:color w:val="000000"/>
          <w:kern w:val="0"/>
          <w:sz w:val="32"/>
          <w:szCs w:val="32"/>
          <w:highlight w:val="none"/>
          <w:lang w:val="en-US" w:eastAsia="zh-CN" w:bidi="ar-SA"/>
        </w:rPr>
        <w:t>2,277.67万元，与上年相比，增加416.87万元,增长22.40%，主要是因为2022年人员较上年增加12人，人员经费增加，并且湖天分园建设项目资金增加。</w:t>
      </w:r>
    </w:p>
    <w:p w14:paraId="1995EF0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77A82622">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（一）财政拨款支出决算总体情况</w:t>
      </w:r>
    </w:p>
    <w:p w14:paraId="3E1D547A">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2022年度财政拨款支出2,277.67万元，占本年支出合计的100%，与上年相比，财政拨款支出增加416.87万元，增长22.40%，主要是因为2022年人员较上年增加12人，人员经费增加，并且湖天分园建设项目资金增加。</w:t>
      </w:r>
    </w:p>
    <w:p w14:paraId="76AEA7B0">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（二）财政拨款支出决算结构情况</w:t>
      </w:r>
    </w:p>
    <w:p w14:paraId="04372C69">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2022年度财政拨款支出2,277.67万元，主要用于以下方面：教育（类）支出2,079.29万元，占91.29%;社会保障和就业（类）支出158.67万元，占6.97%；卫生健康（类）支出39.70万元，占1.74%。</w:t>
      </w:r>
    </w:p>
    <w:p w14:paraId="435765A6">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（三）财政拨款支出决算具体情况</w:t>
      </w:r>
    </w:p>
    <w:p w14:paraId="1A414E47">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2022年度财政拨款支出年初预算数为1192.67万元，支出决算数为2,277.67万元，完成年初预算的190.97%，其中：</w:t>
      </w:r>
    </w:p>
    <w:p w14:paraId="47D028EF">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1、教育（类）普通教育（款）学前教育（项）。</w:t>
      </w:r>
    </w:p>
    <w:p w14:paraId="57D95FAE">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 xml:space="preserve">年初预算为1,075.46万元，支出决算为1,885.62万元，完成年初预算的175.33%，决算数大于年初预算数的主要原因是：上级项目资金未纳入预算。 </w:t>
      </w:r>
    </w:p>
    <w:p w14:paraId="6D3E84B4">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2、教育（类）普通教育（款）其他普通教育支出（项）。</w:t>
      </w:r>
    </w:p>
    <w:p w14:paraId="6DAAB1F0">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年初预算为0万元，支出决算为193.67万元，决算数大于年初预算数的主要原因是：员额制教师经费未纳入预算，经费根据教师人数核定。</w:t>
      </w:r>
    </w:p>
    <w:p w14:paraId="6953EABC">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3、社会保障和就业（类）行政事业单位养老支出（款）事业单位离退休（项）。</w:t>
      </w:r>
    </w:p>
    <w:p w14:paraId="1423F97C">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年初预算为5.2万元，支出决算为5.2万元，完成年初预算的100%。决算数等于年初预算数的主要原因是：严格按预算执行。</w:t>
      </w:r>
    </w:p>
    <w:p w14:paraId="22F8BF02">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4、社会保障和就业（类）行政事业单位养老支出（款）机关事业单位基本养老保险缴费支出（项）。</w:t>
      </w:r>
    </w:p>
    <w:p w14:paraId="35679BF4">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年初预算为73.15万元，支出决算为82.10万元，完成年初预算的112.24%，决算数大于年初预算数的主要原因是：本年有新进人员。</w:t>
      </w:r>
    </w:p>
    <w:p w14:paraId="148AA3A8">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5、社会保障和就业（类）行政事业单位养老支出（款）其他行政事业单位养老支出（项）。</w:t>
      </w:r>
    </w:p>
    <w:p w14:paraId="05CE8CF3">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年初预算为0万元，支出决算为71.38万元，决算数大于年初预算数的主要原因是：追加预算。</w:t>
      </w:r>
    </w:p>
    <w:p w14:paraId="300529DF">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6、卫生健康（类）行政事业单位医疗（款）行政单位医疗（项）。</w:t>
      </w:r>
    </w:p>
    <w:p w14:paraId="741AEFAD">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年初预算为38.86万元，支出决算为39.70万元，完成年初预算的102.16%，决算数大于年初预算数的主要原因是：本年有新进人员。</w:t>
      </w:r>
    </w:p>
    <w:p w14:paraId="293D742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01CB5E84">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2022年度财政拨款基本支出1,130.50万元，其中：</w:t>
      </w:r>
    </w:p>
    <w:p w14:paraId="5BC67598">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人员经费1,095.06万元，占基本支出的96.87%,主要包括基本工资、津贴补贴、奖金、绩效工资、机关事业单位基本养老保险缴费、职工基本医疗保险缴费、其他社会保障缴费、其他工资福利支出、退休费、生活补助、其他对个人和家庭的补助。</w:t>
      </w:r>
    </w:p>
    <w:p w14:paraId="1E795C0D">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公用经费35.44万元，占基本支出的3.13%，主要包括办公费、咨询费、水费、电费、差旅费、租赁费、专用材料费、劳务费、福利费、其他商品和服务支出。</w:t>
      </w:r>
    </w:p>
    <w:p w14:paraId="4FF05AC3">
      <w:pPr>
        <w:pStyle w:val="11"/>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26022582">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（一）“三公”经费财政拨款支出决算总体情况说明</w:t>
      </w:r>
    </w:p>
    <w:p w14:paraId="56364D5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（一）“三公”经费财政拨款支出决算总体情况说明</w:t>
      </w:r>
    </w:p>
    <w:p w14:paraId="71DB8A9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其中：</w:t>
      </w:r>
    </w:p>
    <w:p w14:paraId="034A796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32355E8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公务接待费支出预算为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eastAsia="zh-CN"/>
        </w:rPr>
        <w:t>。</w:t>
      </w:r>
    </w:p>
    <w:p w14:paraId="121E46B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A1ACE72">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p>
    <w:p w14:paraId="6167D5F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仿宋_GB2312" w:hAnsi="仿宋_GB2312" w:eastAsia="仿宋_GB2312" w:cs="仿宋_GB2312"/>
          <w:b/>
          <w:bCs/>
          <w:sz w:val="32"/>
          <w:szCs w:val="32"/>
          <w:highlight w:val="none"/>
          <w:lang w:val="en-US" w:eastAsia="zh-CN"/>
        </w:rPr>
        <w:t>（二）“三公”经费财政拨款支出决算具体情况说明</w:t>
      </w:r>
    </w:p>
    <w:p w14:paraId="23F1C4D6">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万元，公务用车购置费及运行维护费支出决算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w:t>
      </w:r>
    </w:p>
    <w:p w14:paraId="094EF1DA">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万元，全年安排因公出国（境）团组0个，累计0人次，主要无因公出国</w:t>
      </w:r>
      <w:r>
        <w:rPr>
          <w:rFonts w:hint="eastAsia" w:ascii="仿宋_GB2312" w:hAnsi="仿宋_GB2312" w:eastAsia="仿宋_GB2312" w:cs="仿宋_GB2312"/>
          <w:sz w:val="32"/>
          <w:szCs w:val="32"/>
          <w:highlight w:val="none"/>
          <w:lang w:eastAsia="zh-CN"/>
        </w:rPr>
        <w:t>。</w:t>
      </w:r>
    </w:p>
    <w:p w14:paraId="5321392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万元，全年共接待来访团组0个、来宾0人次，主要是无发生的接待支出。</w:t>
      </w:r>
    </w:p>
    <w:p w14:paraId="757D14B3">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辆。公务用车运行维护费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万元，主要是无公务用车购置</w:t>
      </w:r>
      <w:r>
        <w:rPr>
          <w:rFonts w:hint="eastAsia" w:ascii="仿宋_GB2312" w:hAnsi="仿宋_GB2312" w:eastAsia="仿宋_GB2312" w:cs="仿宋_GB2312"/>
          <w:sz w:val="32"/>
          <w:szCs w:val="32"/>
          <w:highlight w:val="none"/>
          <w:lang w:val="en-US" w:eastAsia="zh-CN"/>
        </w:rPr>
        <w:t>及维护费</w:t>
      </w:r>
      <w:r>
        <w:rPr>
          <w:rFonts w:hint="eastAsia" w:ascii="仿宋_GB2312" w:hAnsi="仿宋_GB2312" w:eastAsia="仿宋_GB2312" w:cs="仿宋_GB2312"/>
          <w:sz w:val="32"/>
          <w:szCs w:val="32"/>
          <w:highlight w:val="none"/>
        </w:rPr>
        <w:t>支出，截止202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p>
    <w:p w14:paraId="62EE97C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黑体" w:hAnsi="黑体" w:eastAsia="黑体" w:cs="黑体"/>
          <w:b w:val="0"/>
          <w:bCs/>
          <w:sz w:val="32"/>
          <w:szCs w:val="32"/>
          <w:highlight w:val="none"/>
        </w:rPr>
        <w:t>八、政府性基金预算收入支出决算情况</w:t>
      </w:r>
    </w:p>
    <w:p w14:paraId="219885EB">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2022年度本单位无政府性基金收支。</w:t>
      </w:r>
    </w:p>
    <w:p w14:paraId="6D2994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九、国有资本经营预算财政拨款支出决算情况</w:t>
      </w:r>
    </w:p>
    <w:p w14:paraId="370DA721">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2022年度本单位无国有资本经营预算财政拨款支出。</w:t>
      </w:r>
    </w:p>
    <w:p w14:paraId="2579FE1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lang w:val="en-US" w:eastAsia="zh-CN"/>
        </w:rPr>
        <w:t>十</w:t>
      </w:r>
      <w:r>
        <w:rPr>
          <w:rFonts w:hint="eastAsia" w:ascii="黑体" w:hAnsi="黑体" w:eastAsia="黑体" w:cs="黑体"/>
          <w:b w:val="0"/>
          <w:bCs/>
          <w:sz w:val="32"/>
          <w:szCs w:val="32"/>
          <w:highlight w:val="none"/>
        </w:rPr>
        <w:t>、关于机关运行经费</w:t>
      </w:r>
      <w:r>
        <w:rPr>
          <w:rFonts w:hint="eastAsia" w:ascii="Times New Roman" w:hAnsi="Times New Roman" w:eastAsia="仿宋_GB2312"/>
          <w:b/>
          <w:sz w:val="32"/>
          <w:szCs w:val="32"/>
          <w:highlight w:val="none"/>
        </w:rPr>
        <w:t>支出说明</w:t>
      </w:r>
    </w:p>
    <w:p w14:paraId="64EA150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机关运行经费是为保障行政单位（包括参照公务员法管理的事业单位）运行，用一般公共预算拨款安排用于购买货物和服务的各项资金。本单位属于非参公事业单位，故没有机关运行经费支出。</w:t>
      </w:r>
    </w:p>
    <w:p w14:paraId="7804A4F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hAnsi="黑体" w:cs="黑体"/>
          <w:b w:val="0"/>
          <w:bCs/>
          <w:sz w:val="32"/>
          <w:szCs w:val="32"/>
          <w:highlight w:val="none"/>
          <w:lang w:val="en-US" w:eastAsia="zh-CN"/>
        </w:rPr>
      </w:pPr>
      <w:r>
        <w:rPr>
          <w:rFonts w:hint="eastAsia" w:hAnsi="黑体" w:cs="黑体"/>
          <w:b w:val="0"/>
          <w:bCs/>
          <w:sz w:val="32"/>
          <w:szCs w:val="32"/>
          <w:highlight w:val="none"/>
          <w:lang w:val="en-US" w:eastAsia="zh-CN"/>
        </w:rPr>
        <w:t>十一、一般性支出情况说明</w:t>
      </w:r>
    </w:p>
    <w:p w14:paraId="445DD63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仿宋_GB2312" w:hAnsi="仿宋_GB2312" w:eastAsia="仿宋_GB2312" w:cs="仿宋_GB2312"/>
          <w:color w:val="000000"/>
          <w:kern w:val="0"/>
          <w:sz w:val="32"/>
          <w:szCs w:val="32"/>
          <w:highlight w:val="none"/>
          <w:lang w:val="en-US" w:eastAsia="zh-CN" w:bidi="ar-SA"/>
        </w:rPr>
        <w:t>2022年本部门开支会议费0万元；开支培训费25.54万元，用于开展名师工作室培训，人数180人，内容为罗荣辉名师工作室开展培训保育保教知识；教师信息技术培训，人数68人，内容为提高教师信息技术水准；市培普通话</w:t>
      </w:r>
      <w:r>
        <w:rPr>
          <w:rFonts w:hint="eastAsia" w:ascii="Times New Roman" w:hAnsi="Times New Roman" w:eastAsia="仿宋_GB2312"/>
          <w:color w:val="auto"/>
          <w:sz w:val="32"/>
          <w:szCs w:val="32"/>
          <w:highlight w:val="none"/>
          <w:lang w:val="en-US" w:eastAsia="zh-CN"/>
        </w:rPr>
        <w:t>培训。人数68人，内容为提高普通话水平；未举办节庆、晚会、论坛、赛事活动。</w:t>
      </w:r>
    </w:p>
    <w:p w14:paraId="272AC23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十二、关于政府采购支出说明</w:t>
      </w:r>
    </w:p>
    <w:p w14:paraId="4653F96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1"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1"/>
      <w:bookmarkStart w:id="2" w:name="END_GP_BGT_CGHW_AMT_1"/>
      <w:bookmarkEnd w:id="2"/>
      <w:bookmarkStart w:id="3" w:name="DIS_MARK_GP_BGT_CGHW_AMT_1"/>
      <w:bookmarkEnd w:id="3"/>
      <w:bookmarkStart w:id="4" w:name="DIS_MARK_GP_BGT_CGGC_AMT"/>
      <w:bookmarkEnd w:id="4"/>
      <w:bookmarkStart w:id="5" w:name="END_GP_BGT_CGGC_AMT"/>
      <w:bookmarkEnd w:id="5"/>
      <w:bookmarkStart w:id="6" w:name="START_GP_BGT_CGGC_AMT"/>
      <w:bookmarkEnd w:id="6"/>
      <w:bookmarkStart w:id="7" w:name="END_GP_BGT_CGHW_AMT"/>
      <w:bookmarkEnd w:id="7"/>
      <w:bookmarkStart w:id="8" w:name="START_GP_BGT_CGGC_AMT_1"/>
      <w:bookmarkEnd w:id="8"/>
      <w:bookmarkStart w:id="9" w:name="START_GP_BGT_CGHW_AMT_1"/>
      <w:bookmarkEnd w:id="9"/>
      <w:bookmarkStart w:id="10"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0"/>
      <w:bookmarkStart w:id="11" w:name="START_GP_BGT_CGFW_AMT"/>
      <w:bookmarkEnd w:id="11"/>
      <w:bookmarkStart w:id="12" w:name="END_GP_BGT_CGGC_AMT_1"/>
      <w:bookmarkEnd w:id="12"/>
      <w:bookmarkStart w:id="13"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3"/>
      <w:r>
        <w:rPr>
          <w:rFonts w:hint="eastAsia" w:ascii="仿宋_GB2312" w:hAnsi="仿宋_GB2312" w:eastAsia="仿宋_GB2312"/>
          <w:sz w:val="32"/>
          <w:szCs w:val="32"/>
          <w:highlight w:val="none"/>
          <w:lang w:eastAsia="zh-CN"/>
        </w:rPr>
        <w:t>。</w:t>
      </w:r>
    </w:p>
    <w:p w14:paraId="0388CC7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3DC455E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截至2022年12月31日，本单位共有车辆0辆，其中，主要领导干部用车0辆，机要通信用车0辆、应急保障用车0辆、执法执勤用车0辆、特种专业技术用车0辆、其他用车0辆；单位价值50万元以上通用设备1台（套）；单位价值100万元以上专用设备0台（套）。</w:t>
      </w:r>
    </w:p>
    <w:p w14:paraId="4C09931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17F4A4A2">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（一）</w:t>
      </w:r>
      <w:r>
        <w:rPr>
          <w:rFonts w:hint="eastAsia" w:ascii="黑体" w:hAnsi="黑体" w:eastAsia="黑体" w:cs="黑体"/>
          <w:b w:val="0"/>
          <w:bCs/>
          <w:sz w:val="32"/>
          <w:szCs w:val="32"/>
          <w:highlight w:val="none"/>
        </w:rPr>
        <w:t>部门整体支出绩效情况</w:t>
      </w:r>
    </w:p>
    <w:p w14:paraId="1DE486A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本部门2022年按财政局要求认真开展落实绩效管理工作，切实完成年度绩效目标和绩效评价工作。自评报告见附件。</w:t>
      </w:r>
    </w:p>
    <w:p w14:paraId="15AF2C6B">
      <w:pPr>
        <w:pStyle w:val="11"/>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（二）</w:t>
      </w:r>
      <w:r>
        <w:rPr>
          <w:rFonts w:hint="eastAsia" w:ascii="黑体" w:hAnsi="黑体" w:eastAsia="黑体" w:cs="黑体"/>
          <w:b w:val="0"/>
          <w:bCs/>
          <w:sz w:val="32"/>
          <w:szCs w:val="32"/>
          <w:highlight w:val="none"/>
        </w:rPr>
        <w:t>存在的问题及原因分析</w:t>
      </w:r>
    </w:p>
    <w:p w14:paraId="701C0CD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无。</w:t>
      </w:r>
    </w:p>
    <w:p w14:paraId="12011BC5">
      <w:pPr>
        <w:pStyle w:val="11"/>
        <w:jc w:val="center"/>
        <w:rPr>
          <w:sz w:val="72"/>
          <w:szCs w:val="72"/>
          <w:highlight w:val="none"/>
        </w:rPr>
      </w:pPr>
    </w:p>
    <w:p w14:paraId="01D589A2">
      <w:pPr>
        <w:pStyle w:val="11"/>
        <w:jc w:val="center"/>
        <w:rPr>
          <w:sz w:val="72"/>
          <w:szCs w:val="72"/>
          <w:highlight w:val="none"/>
        </w:rPr>
      </w:pPr>
    </w:p>
    <w:p w14:paraId="2B960D32">
      <w:pPr>
        <w:pStyle w:val="11"/>
        <w:jc w:val="center"/>
        <w:rPr>
          <w:sz w:val="72"/>
          <w:szCs w:val="72"/>
          <w:highlight w:val="none"/>
        </w:rPr>
      </w:pPr>
    </w:p>
    <w:p w14:paraId="197BF996">
      <w:pPr>
        <w:pStyle w:val="11"/>
        <w:jc w:val="center"/>
        <w:rPr>
          <w:sz w:val="72"/>
          <w:szCs w:val="72"/>
          <w:highlight w:val="none"/>
        </w:rPr>
      </w:pPr>
    </w:p>
    <w:p w14:paraId="27E1EAA0">
      <w:pPr>
        <w:pStyle w:val="11"/>
        <w:jc w:val="both"/>
        <w:rPr>
          <w:rFonts w:hint="eastAsia" w:ascii="方正小标宋_GBK" w:hAnsi="方正小标宋_GBK" w:eastAsia="方正小标宋_GBK" w:cs="方正小标宋_GBK"/>
          <w:sz w:val="72"/>
          <w:szCs w:val="72"/>
          <w:highlight w:val="none"/>
        </w:rPr>
      </w:pPr>
    </w:p>
    <w:p w14:paraId="712CF345">
      <w:pPr>
        <w:pStyle w:val="11"/>
        <w:jc w:val="center"/>
        <w:rPr>
          <w:rFonts w:hint="eastAsia" w:ascii="黑体" w:hAnsi="黑体" w:eastAsia="黑体" w:cs="黑体"/>
          <w:kern w:val="0"/>
          <w:sz w:val="84"/>
          <w:szCs w:val="84"/>
          <w:highlight w:val="none"/>
        </w:rPr>
      </w:pPr>
    </w:p>
    <w:p w14:paraId="5843BF68">
      <w:pPr>
        <w:pStyle w:val="11"/>
        <w:jc w:val="center"/>
        <w:rPr>
          <w:rFonts w:hint="eastAsia" w:ascii="黑体" w:hAnsi="黑体" w:eastAsia="黑体" w:cs="黑体"/>
          <w:kern w:val="0"/>
          <w:sz w:val="84"/>
          <w:szCs w:val="84"/>
          <w:highlight w:val="none"/>
        </w:rPr>
      </w:pPr>
    </w:p>
    <w:p w14:paraId="3F02E14D">
      <w:pPr>
        <w:pStyle w:val="11"/>
        <w:jc w:val="center"/>
        <w:rPr>
          <w:rFonts w:hint="eastAsia" w:ascii="黑体" w:hAnsi="黑体" w:eastAsia="黑体" w:cs="黑体"/>
          <w:kern w:val="0"/>
          <w:sz w:val="84"/>
          <w:szCs w:val="84"/>
          <w:highlight w:val="none"/>
        </w:rPr>
      </w:pPr>
    </w:p>
    <w:p w14:paraId="0F37654C">
      <w:pPr>
        <w:pStyle w:val="11"/>
        <w:jc w:val="center"/>
        <w:rPr>
          <w:rFonts w:hint="eastAsia" w:ascii="黑体" w:hAnsi="黑体" w:eastAsia="黑体" w:cs="黑体"/>
          <w:kern w:val="0"/>
          <w:sz w:val="84"/>
          <w:szCs w:val="84"/>
          <w:highlight w:val="none"/>
        </w:rPr>
      </w:pPr>
    </w:p>
    <w:p w14:paraId="6FE2276B">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第四部分</w:t>
      </w:r>
    </w:p>
    <w:p w14:paraId="00BE23B1">
      <w:pPr>
        <w:pStyle w:val="11"/>
        <w:jc w:val="center"/>
        <w:rPr>
          <w:rFonts w:hint="eastAsia" w:ascii="黑体" w:hAnsi="黑体" w:eastAsia="黑体" w:cs="黑体"/>
          <w:kern w:val="0"/>
          <w:sz w:val="84"/>
          <w:szCs w:val="84"/>
          <w:highlight w:val="none"/>
        </w:rPr>
      </w:pPr>
    </w:p>
    <w:p w14:paraId="40FE721D">
      <w:pPr>
        <w:pStyle w:val="11"/>
        <w:jc w:val="center"/>
        <w:rPr>
          <w:rFonts w:hint="eastAsia" w:ascii="方正小标宋_GBK" w:hAnsi="方正小标宋_GBK" w:eastAsia="方正小标宋_GBK" w:cs="方正小标宋_GBK"/>
          <w:color w:val="000000"/>
          <w:kern w:val="0"/>
          <w:sz w:val="70"/>
          <w:szCs w:val="70"/>
          <w:highlight w:val="none"/>
        </w:rPr>
      </w:pPr>
      <w:r>
        <w:rPr>
          <w:rFonts w:hint="eastAsia" w:ascii="黑体" w:hAnsi="黑体" w:eastAsia="黑体" w:cs="黑体"/>
          <w:kern w:val="0"/>
          <w:sz w:val="84"/>
          <w:szCs w:val="84"/>
          <w:highlight w:val="none"/>
        </w:rPr>
        <w:t>名词解释</w:t>
      </w:r>
    </w:p>
    <w:p w14:paraId="154C194D">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08DFB79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一、财政拨款收入：指财政当年拨付的资金。 </w:t>
      </w:r>
    </w:p>
    <w:p w14:paraId="5E85248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0079A75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三、经营收入：指事业单位在专业业务活动及其辅助活动之外开展非独立核算经营活动取得的收入。如：中国财政杂志社广告收入等。 </w:t>
      </w:r>
    </w:p>
    <w:p w14:paraId="0187EEA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四、其他收入：指除上述“财政拨款收入”、“事业收入”、“经营收入”等以外的收入。主要是按规定动用的售房收入、存款利息收入等。 </w:t>
      </w:r>
    </w:p>
    <w:p w14:paraId="5ACB671E">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47D754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六、年初结转和结余：指以前年度尚未完成、结转到本年按有关规定继续使用的资金。 </w:t>
      </w:r>
    </w:p>
    <w:p w14:paraId="50A7550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七、结余分配：指事业单位按规定提取的职工福利基金、事业基金和缴纳的所得税，以及建设单位按规定应交回的基本建设竣工项目结余资金。</w:t>
      </w:r>
    </w:p>
    <w:p w14:paraId="00CA8E29">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八、年末结转和结余：指本年度或以前年度预算安排、因客观条件发生变化无法按原计划实施，需要延迟到以后年度按有关规定继续使用的资金。 </w:t>
      </w:r>
    </w:p>
    <w:p w14:paraId="41B6FCC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九、基本支出：指为保障机构正常运转、完成日常工作任务而发生的人员支出和公用支出。 </w:t>
      </w:r>
    </w:p>
    <w:p w14:paraId="524D646B">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十、项目支出：指在基本支出之外为完成特定行政任务和事业发展目标所发生的支出。 </w:t>
      </w:r>
    </w:p>
    <w:p w14:paraId="7E6F2B01">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十一、经营支出：指事业单位在专业业务活动及其辅助活动之外开展非独立核算经营活动发生的支出。 </w:t>
      </w:r>
    </w:p>
    <w:p w14:paraId="40CF6257">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E1B2F04">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AE745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sz w:val="32"/>
          <w:szCs w:val="32"/>
          <w:highlight w:val="none"/>
        </w:rPr>
      </w:pPr>
    </w:p>
    <w:p w14:paraId="50728BAC">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rPr>
      </w:pPr>
    </w:p>
    <w:p w14:paraId="4349B390">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rPr>
      </w:pPr>
    </w:p>
    <w:p w14:paraId="082F2AF4">
      <w:pPr>
        <w:pStyle w:val="11"/>
        <w:jc w:val="center"/>
        <w:rPr>
          <w:sz w:val="72"/>
          <w:szCs w:val="72"/>
          <w:highlight w:val="none"/>
        </w:rPr>
      </w:pPr>
    </w:p>
    <w:p w14:paraId="5A4DDE57">
      <w:pPr>
        <w:pStyle w:val="11"/>
        <w:jc w:val="center"/>
        <w:rPr>
          <w:sz w:val="72"/>
          <w:szCs w:val="72"/>
          <w:highlight w:val="none"/>
        </w:rPr>
      </w:pPr>
    </w:p>
    <w:p w14:paraId="44559CC3">
      <w:pPr>
        <w:pStyle w:val="11"/>
        <w:jc w:val="center"/>
        <w:rPr>
          <w:sz w:val="72"/>
          <w:szCs w:val="72"/>
          <w:highlight w:val="none"/>
        </w:rPr>
      </w:pPr>
    </w:p>
    <w:p w14:paraId="7D150202">
      <w:pPr>
        <w:pStyle w:val="11"/>
        <w:jc w:val="center"/>
        <w:rPr>
          <w:sz w:val="72"/>
          <w:szCs w:val="72"/>
          <w:highlight w:val="none"/>
        </w:rPr>
      </w:pPr>
    </w:p>
    <w:p w14:paraId="73DE22A0">
      <w:pPr>
        <w:pStyle w:val="11"/>
        <w:jc w:val="center"/>
        <w:rPr>
          <w:sz w:val="72"/>
          <w:szCs w:val="72"/>
          <w:highlight w:val="none"/>
        </w:rPr>
      </w:pPr>
    </w:p>
    <w:p w14:paraId="5518453F">
      <w:pPr>
        <w:pStyle w:val="11"/>
        <w:jc w:val="center"/>
        <w:rPr>
          <w:sz w:val="72"/>
          <w:szCs w:val="72"/>
          <w:highlight w:val="none"/>
        </w:rPr>
      </w:pPr>
    </w:p>
    <w:p w14:paraId="76B795C0">
      <w:pPr>
        <w:pStyle w:val="11"/>
        <w:jc w:val="center"/>
        <w:rPr>
          <w:sz w:val="72"/>
          <w:szCs w:val="72"/>
          <w:highlight w:val="none"/>
        </w:rPr>
      </w:pPr>
    </w:p>
    <w:p w14:paraId="3E61DD9D">
      <w:pPr>
        <w:pStyle w:val="11"/>
        <w:jc w:val="center"/>
        <w:rPr>
          <w:rFonts w:hint="eastAsia"/>
          <w:sz w:val="72"/>
          <w:szCs w:val="72"/>
          <w:highlight w:val="none"/>
        </w:rPr>
      </w:pPr>
    </w:p>
    <w:p w14:paraId="60786F34">
      <w:pPr>
        <w:pStyle w:val="11"/>
        <w:jc w:val="center"/>
        <w:rPr>
          <w:rFonts w:hint="eastAsia"/>
          <w:sz w:val="72"/>
          <w:szCs w:val="72"/>
          <w:highlight w:val="none"/>
        </w:rPr>
      </w:pPr>
    </w:p>
    <w:p w14:paraId="6C7FAE4F">
      <w:pPr>
        <w:pStyle w:val="11"/>
        <w:jc w:val="center"/>
        <w:rPr>
          <w:rFonts w:hint="eastAsia"/>
          <w:sz w:val="72"/>
          <w:szCs w:val="72"/>
          <w:highlight w:val="none"/>
        </w:rPr>
      </w:pPr>
    </w:p>
    <w:p w14:paraId="47F08550">
      <w:pPr>
        <w:pStyle w:val="11"/>
        <w:jc w:val="center"/>
        <w:rPr>
          <w:rFonts w:hint="eastAsia"/>
          <w:sz w:val="72"/>
          <w:szCs w:val="72"/>
          <w:highlight w:val="none"/>
        </w:rPr>
      </w:pPr>
    </w:p>
    <w:p w14:paraId="32D2642B">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第五部分</w:t>
      </w:r>
    </w:p>
    <w:p w14:paraId="0458E40D">
      <w:pPr>
        <w:pStyle w:val="11"/>
        <w:jc w:val="center"/>
        <w:rPr>
          <w:rFonts w:hint="eastAsia" w:ascii="黑体" w:hAnsi="黑体" w:eastAsia="黑体" w:cs="黑体"/>
          <w:kern w:val="0"/>
          <w:sz w:val="84"/>
          <w:szCs w:val="84"/>
          <w:highlight w:val="none"/>
        </w:rPr>
      </w:pPr>
    </w:p>
    <w:p w14:paraId="32364949">
      <w:pPr>
        <w:pStyle w:val="11"/>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附件</w:t>
      </w:r>
    </w:p>
    <w:p w14:paraId="72172553">
      <w:pPr>
        <w:jc w:val="left"/>
        <w:rPr>
          <w:rFonts w:cs="黑体" w:asciiTheme="minorEastAsia" w:hAnsiTheme="minorEastAsia"/>
          <w:color w:val="000000"/>
          <w:kern w:val="0"/>
          <w:sz w:val="32"/>
          <w:szCs w:val="32"/>
          <w:highlight w:val="none"/>
        </w:rPr>
      </w:pPr>
    </w:p>
    <w:p w14:paraId="1DD52562">
      <w:pPr>
        <w:jc w:val="left"/>
        <w:rPr>
          <w:rFonts w:cs="黑体" w:asciiTheme="minorEastAsia" w:hAnsiTheme="minorEastAsia"/>
          <w:color w:val="000000"/>
          <w:kern w:val="0"/>
          <w:sz w:val="32"/>
          <w:szCs w:val="32"/>
          <w:highlight w:val="none"/>
        </w:rPr>
      </w:pPr>
    </w:p>
    <w:p w14:paraId="120A5E5F">
      <w:pPr>
        <w:jc w:val="left"/>
        <w:rPr>
          <w:rFonts w:cs="黑体" w:asciiTheme="minorEastAsia" w:hAnsiTheme="minorEastAsia"/>
          <w:color w:val="000000"/>
          <w:kern w:val="0"/>
          <w:sz w:val="32"/>
          <w:szCs w:val="32"/>
          <w:highlight w:val="none"/>
        </w:rPr>
      </w:pPr>
    </w:p>
    <w:p w14:paraId="79839397">
      <w:pPr>
        <w:jc w:val="left"/>
        <w:rPr>
          <w:rFonts w:cs="黑体" w:asciiTheme="minorEastAsia" w:hAnsiTheme="minorEastAsia"/>
          <w:color w:val="000000"/>
          <w:kern w:val="0"/>
          <w:sz w:val="32"/>
          <w:szCs w:val="32"/>
          <w:highlight w:val="none"/>
        </w:rPr>
      </w:pPr>
    </w:p>
    <w:p w14:paraId="28F93B32">
      <w:pPr>
        <w:jc w:val="left"/>
        <w:rPr>
          <w:rFonts w:cs="黑体" w:asciiTheme="minorEastAsia" w:hAnsiTheme="minorEastAsia"/>
          <w:color w:val="000000"/>
          <w:kern w:val="0"/>
          <w:sz w:val="32"/>
          <w:szCs w:val="32"/>
          <w:highlight w:val="none"/>
        </w:rPr>
      </w:pPr>
    </w:p>
    <w:p w14:paraId="6C350A87">
      <w:pPr>
        <w:jc w:val="left"/>
        <w:rPr>
          <w:rFonts w:cs="黑体" w:asciiTheme="minorEastAsia" w:hAnsiTheme="minorEastAsia"/>
          <w:color w:val="000000"/>
          <w:kern w:val="0"/>
          <w:sz w:val="32"/>
          <w:szCs w:val="32"/>
          <w:highlight w:val="none"/>
        </w:rPr>
      </w:pPr>
    </w:p>
    <w:p w14:paraId="62577D02">
      <w:pPr>
        <w:jc w:val="left"/>
        <w:rPr>
          <w:rFonts w:cs="黑体" w:asciiTheme="minorEastAsia" w:hAnsiTheme="minorEastAsia"/>
          <w:color w:val="000000"/>
          <w:kern w:val="0"/>
          <w:sz w:val="32"/>
          <w:szCs w:val="32"/>
          <w:highlight w:val="none"/>
        </w:rPr>
      </w:pPr>
    </w:p>
    <w:p w14:paraId="43986B60">
      <w:pPr>
        <w:jc w:val="left"/>
        <w:rPr>
          <w:rFonts w:cs="黑体" w:asciiTheme="minorEastAsia" w:hAnsiTheme="minorEastAsia"/>
          <w:color w:val="000000"/>
          <w:kern w:val="0"/>
          <w:sz w:val="32"/>
          <w:szCs w:val="32"/>
          <w:highlight w:val="none"/>
        </w:rPr>
      </w:pPr>
    </w:p>
    <w:p w14:paraId="2A9A75E6">
      <w:pPr>
        <w:jc w:val="left"/>
        <w:rPr>
          <w:rFonts w:cs="黑体" w:asciiTheme="minorEastAsia" w:hAnsiTheme="minorEastAsia"/>
          <w:color w:val="000000"/>
          <w:kern w:val="0"/>
          <w:sz w:val="32"/>
          <w:szCs w:val="32"/>
          <w:highlight w:val="none"/>
        </w:rPr>
      </w:pPr>
    </w:p>
    <w:p w14:paraId="6F18A63B">
      <w:pPr>
        <w:jc w:val="left"/>
        <w:rPr>
          <w:rFonts w:cs="黑体" w:asciiTheme="minorEastAsia" w:hAnsiTheme="minorEastAsia"/>
          <w:color w:val="000000"/>
          <w:kern w:val="0"/>
          <w:sz w:val="32"/>
          <w:szCs w:val="32"/>
          <w:highlight w:val="none"/>
        </w:rPr>
      </w:pPr>
    </w:p>
    <w:p w14:paraId="18B579D6">
      <w:pPr>
        <w:jc w:val="left"/>
        <w:rPr>
          <w:rFonts w:cs="黑体" w:asciiTheme="minorEastAsia" w:hAnsiTheme="minorEastAsia"/>
          <w:color w:val="000000"/>
          <w:kern w:val="0"/>
          <w:sz w:val="32"/>
          <w:szCs w:val="32"/>
          <w:highlight w:val="none"/>
        </w:rPr>
      </w:pPr>
    </w:p>
    <w:p w14:paraId="0668F2A5">
      <w:pPr>
        <w:jc w:val="left"/>
        <w:rPr>
          <w:rFonts w:cs="黑体" w:asciiTheme="minorEastAsia" w:hAnsiTheme="minorEastAsia"/>
          <w:color w:val="000000"/>
          <w:kern w:val="0"/>
          <w:sz w:val="32"/>
          <w:szCs w:val="32"/>
          <w:highlight w:val="none"/>
        </w:rPr>
      </w:pPr>
    </w:p>
    <w:p w14:paraId="281AA150">
      <w:pPr>
        <w:spacing w:line="600" w:lineRule="exact"/>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1、2022年度部门决算表</w:t>
      </w:r>
    </w:p>
    <w:p w14:paraId="44F4CF06">
      <w:pPr>
        <w:spacing w:line="600" w:lineRule="exact"/>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2、2022年度怀化市幼儿园整体支出绩效自评报告</w:t>
      </w:r>
    </w:p>
    <w:p w14:paraId="7C06D238">
      <w:pPr>
        <w:spacing w:line="600" w:lineRule="exact"/>
        <w:ind w:firstLine="640" w:firstLineChars="200"/>
        <w:rPr>
          <w:rFonts w:hint="eastAsia" w:cs="黑体" w:asciiTheme="minorEastAsia" w:hAnsiTheme="minorEastAsia" w:eastAsiaTheme="minorEastAsia"/>
          <w:color w:val="000000"/>
          <w:kern w:val="0"/>
          <w:sz w:val="32"/>
          <w:szCs w:val="32"/>
          <w:highlight w:val="none"/>
          <w:lang w:val="en-US"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0DE6D"/>
    <w:multiLevelType w:val="singleLevel"/>
    <w:tmpl w:val="A400DE6D"/>
    <w:lvl w:ilvl="0" w:tentative="0">
      <w:start w:val="7"/>
      <w:numFmt w:val="chineseCounting"/>
      <w:suff w:val="nothing"/>
      <w:lvlText w:val="%1、"/>
      <w:lvlJc w:val="left"/>
      <w:rPr>
        <w:rFonts w:hint="eastAsia"/>
      </w:rPr>
    </w:lvl>
  </w:abstractNum>
  <w:abstractNum w:abstractNumId="1">
    <w:nsid w:val="5C5B0BEF"/>
    <w:multiLevelType w:val="singleLevel"/>
    <w:tmpl w:val="5C5B0BE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BF4870"/>
    <w:rsid w:val="033F6241"/>
    <w:rsid w:val="04654360"/>
    <w:rsid w:val="081465A0"/>
    <w:rsid w:val="088D44F0"/>
    <w:rsid w:val="09C50A33"/>
    <w:rsid w:val="0B7C7ADD"/>
    <w:rsid w:val="0E3569B1"/>
    <w:rsid w:val="0E541879"/>
    <w:rsid w:val="1D143DDD"/>
    <w:rsid w:val="23497CD6"/>
    <w:rsid w:val="2519603D"/>
    <w:rsid w:val="28D76D98"/>
    <w:rsid w:val="2F002B74"/>
    <w:rsid w:val="37BA492A"/>
    <w:rsid w:val="392504E1"/>
    <w:rsid w:val="39971A31"/>
    <w:rsid w:val="3AFF7606"/>
    <w:rsid w:val="3C362B86"/>
    <w:rsid w:val="3F7F5C38"/>
    <w:rsid w:val="420111A8"/>
    <w:rsid w:val="42DD6902"/>
    <w:rsid w:val="42FF63EB"/>
    <w:rsid w:val="43551ACE"/>
    <w:rsid w:val="462F2174"/>
    <w:rsid w:val="46804174"/>
    <w:rsid w:val="50DC256A"/>
    <w:rsid w:val="52BB4769"/>
    <w:rsid w:val="530C1231"/>
    <w:rsid w:val="54724156"/>
    <w:rsid w:val="5777D4F5"/>
    <w:rsid w:val="58FF1570"/>
    <w:rsid w:val="5F2F716C"/>
    <w:rsid w:val="5FC6BB1E"/>
    <w:rsid w:val="5FF720F1"/>
    <w:rsid w:val="65652A5B"/>
    <w:rsid w:val="6AE810F7"/>
    <w:rsid w:val="737D59BA"/>
    <w:rsid w:val="74177260"/>
    <w:rsid w:val="76B17777"/>
    <w:rsid w:val="77C37683"/>
    <w:rsid w:val="78015D7F"/>
    <w:rsid w:val="7803685E"/>
    <w:rsid w:val="794D780A"/>
    <w:rsid w:val="79B920F2"/>
    <w:rsid w:val="79FF515B"/>
    <w:rsid w:val="7E9F11B4"/>
    <w:rsid w:val="7EE04C53"/>
    <w:rsid w:val="7FC69637"/>
    <w:rsid w:val="7FFC1E5C"/>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0"/>
    <w:unhideWhenUsed/>
    <w:qFormat/>
    <w:uiPriority w:val="99"/>
    <w:pPr>
      <w:tabs>
        <w:tab w:val="center" w:pos="4153"/>
        <w:tab w:val="right" w:pos="8306"/>
      </w:tabs>
      <w:snapToGrid w:val="0"/>
      <w:jc w:val="left"/>
    </w:pPr>
    <w:rPr>
      <w:sz w:val="18"/>
      <w:szCs w:val="18"/>
    </w:r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Balloon Text"/>
    <w:basedOn w:val="1"/>
    <w:link w:val="13"/>
    <w:semiHidden/>
    <w:unhideWhenUsed/>
    <w:qFormat/>
    <w:uiPriority w:val="99"/>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4421</Words>
  <Characters>4814</Characters>
  <Lines>63</Lines>
  <Paragraphs>18</Paragraphs>
  <TotalTime>1</TotalTime>
  <ScaleCrop>false</ScaleCrop>
  <LinksUpToDate>false</LinksUpToDate>
  <CharactersWithSpaces>4834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2024-10-15T01:31:10Z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4BC4B7B8F53B41F6922FEEEA83A54479_12</vt:lpwstr>
  </property>
</Properties>
</file>