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600" w:lineRule="atLeast"/>
        <w:ind w:firstLine="640"/>
        <w:jc w:val="center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怀化市幼儿园2023年</w:t>
      </w:r>
    </w:p>
    <w:p>
      <w:pPr>
        <w:widowControl/>
        <w:shd w:val="clear" w:color="auto" w:fill="FFFFFF"/>
        <w:spacing w:line="600" w:lineRule="atLeast"/>
        <w:ind w:firstLine="640"/>
        <w:jc w:val="center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整体支出绩效自评报告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asci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/>
          <w:spacing w:val="-2"/>
          <w:w w:val="100"/>
          <w:sz w:val="32"/>
          <w:szCs w:val="32"/>
        </w:rPr>
        <w:t>根据《怀化市财政局关于开展2023年度预算支出绩效自评工作的通知</w:t>
      </w:r>
      <w:r>
        <w:rPr>
          <w:rFonts w:hint="eastAsia" w:ascii="仿宋" w:hAnsi="仿宋" w:eastAsia="仿宋"/>
          <w:spacing w:val="-2"/>
          <w:w w:val="100"/>
          <w:sz w:val="32"/>
          <w:szCs w:val="32"/>
          <w:highlight w:val="none"/>
        </w:rPr>
        <w:t>》（怀财绩〔202</w:t>
      </w:r>
      <w:r>
        <w:rPr>
          <w:rFonts w:hint="eastAsia" w:ascii="仿宋" w:hAnsi="仿宋" w:eastAsia="仿宋"/>
          <w:spacing w:val="-2"/>
          <w:w w:val="10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" w:hAnsi="仿宋" w:eastAsia="仿宋"/>
          <w:spacing w:val="-2"/>
          <w:w w:val="100"/>
          <w:sz w:val="32"/>
          <w:szCs w:val="32"/>
          <w:highlight w:val="none"/>
        </w:rPr>
        <w:t>〕</w:t>
      </w:r>
      <w:r>
        <w:rPr>
          <w:rFonts w:hint="eastAsia" w:ascii="仿宋" w:hAnsi="仿宋" w:eastAsia="仿宋"/>
          <w:spacing w:val="-2"/>
          <w:w w:val="100"/>
          <w:sz w:val="32"/>
          <w:szCs w:val="32"/>
          <w:highlight w:val="none"/>
          <w:lang w:val="en-US" w:eastAsia="zh-CN"/>
        </w:rPr>
        <w:t>46</w:t>
      </w:r>
      <w:r>
        <w:rPr>
          <w:rFonts w:hint="eastAsia" w:ascii="仿宋" w:hAnsi="仿宋" w:eastAsia="仿宋"/>
          <w:spacing w:val="-2"/>
          <w:w w:val="100"/>
          <w:sz w:val="32"/>
          <w:szCs w:val="32"/>
          <w:highlight w:val="none"/>
        </w:rPr>
        <w:t>号）</w:t>
      </w:r>
      <w:r>
        <w:rPr>
          <w:rFonts w:hint="eastAsia" w:ascii="仿宋" w:hAnsi="仿宋" w:eastAsia="仿宋"/>
          <w:spacing w:val="-2"/>
          <w:w w:val="100"/>
          <w:sz w:val="32"/>
          <w:szCs w:val="32"/>
        </w:rPr>
        <w:t>的文件精神，我</w:t>
      </w:r>
      <w:r>
        <w:rPr>
          <w:rFonts w:hint="eastAsia" w:ascii="仿宋" w:hAnsi="仿宋" w:eastAsia="仿宋"/>
          <w:spacing w:val="-2"/>
          <w:w w:val="100"/>
          <w:sz w:val="32"/>
          <w:szCs w:val="32"/>
          <w:lang w:val="en-US" w:eastAsia="zh-CN"/>
        </w:rPr>
        <w:t>园</w:t>
      </w:r>
      <w:r>
        <w:rPr>
          <w:rFonts w:hint="eastAsia" w:ascii="仿宋" w:hAnsi="仿宋" w:eastAsia="仿宋"/>
          <w:spacing w:val="-2"/>
          <w:w w:val="100"/>
          <w:sz w:val="32"/>
          <w:szCs w:val="32"/>
        </w:rPr>
        <w:t>对</w:t>
      </w:r>
      <w:r>
        <w:rPr>
          <w:rFonts w:hint="eastAsia" w:ascii="仿宋" w:hAnsi="仿宋" w:eastAsia="仿宋"/>
          <w:spacing w:val="-2"/>
          <w:w w:val="100"/>
          <w:sz w:val="32"/>
          <w:szCs w:val="32"/>
          <w:lang w:val="en-US" w:eastAsia="zh-CN"/>
        </w:rPr>
        <w:t>2023年</w:t>
      </w:r>
      <w:r>
        <w:rPr>
          <w:rFonts w:hint="eastAsia" w:ascii="仿宋" w:hAnsi="仿宋" w:eastAsia="仿宋"/>
          <w:spacing w:val="-2"/>
          <w:w w:val="100"/>
          <w:sz w:val="32"/>
          <w:szCs w:val="32"/>
        </w:rPr>
        <w:t>整体支出进行了绩效评价，现报告如下: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一、部门、单位基本情况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40" w:firstLineChars="200"/>
        <w:textAlignment w:val="auto"/>
        <w:rPr>
          <w:rFonts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（一）机构设置情况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32" w:firstLineChars="200"/>
        <w:textAlignment w:val="auto"/>
        <w:rPr>
          <w:rFonts w:hint="default" w:ascii="仿宋" w:hAnsi="仿宋" w:eastAsia="仿宋" w:cs="Times New Roman"/>
          <w:spacing w:val="-2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怀化市幼儿园作为一级部门预算单位，</w:t>
      </w:r>
      <w:r>
        <w:rPr>
          <w:rFonts w:hint="default" w:ascii="仿宋" w:hAnsi="仿宋" w:eastAsia="仿宋" w:cs="Times New Roman"/>
          <w:spacing w:val="-2"/>
          <w:sz w:val="32"/>
          <w:szCs w:val="32"/>
          <w:lang w:val="en-US" w:eastAsia="zh-CN"/>
        </w:rPr>
        <w:t>内设科室为：办公室、保教室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、</w:t>
      </w:r>
      <w:r>
        <w:rPr>
          <w:rFonts w:hint="default" w:ascii="仿宋" w:hAnsi="仿宋" w:eastAsia="仿宋" w:cs="Times New Roman"/>
          <w:spacing w:val="-2"/>
          <w:sz w:val="32"/>
          <w:szCs w:val="32"/>
          <w:lang w:val="en-US" w:eastAsia="zh-CN"/>
        </w:rPr>
        <w:t>总务室、校安办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、</w:t>
      </w:r>
      <w:r>
        <w:rPr>
          <w:rFonts w:hint="default" w:ascii="仿宋" w:hAnsi="仿宋" w:eastAsia="仿宋" w:cs="Times New Roman"/>
          <w:spacing w:val="-2"/>
          <w:sz w:val="32"/>
          <w:szCs w:val="32"/>
          <w:lang w:val="en-US" w:eastAsia="zh-CN"/>
        </w:rPr>
        <w:t>督导室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。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（二）人员编制情况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32" w:firstLineChars="200"/>
        <w:textAlignment w:val="auto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截止2023年12月31日，我园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核定全额拨款事业单位编制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102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名，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实有在职人员96人。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（三）主要职能职责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19" w:firstLineChars="196"/>
        <w:jc w:val="left"/>
        <w:textAlignment w:val="auto"/>
        <w:outlineLvl w:val="9"/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怀化市幼儿园的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主要职能职责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是贯彻国家的教育方针，按照保育与教育相结合的原则，遵循幼儿身心发展特点和规律，实施德、智、体、美等全面发展的教育，促进幼儿身心和谐发展。同时面向幼儿家长提供科学育儿指导。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（四）绩效目标设定情况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32" w:firstLineChars="200"/>
        <w:textAlignment w:val="auto"/>
        <w:rPr>
          <w:rFonts w:hint="eastAsia" w:ascii="仿宋" w:hAnsi="仿宋" w:eastAsia="仿宋" w:cs="Times New Roman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  <w:lang w:val="en-US" w:eastAsia="zh-CN"/>
        </w:rPr>
        <w:t>我园根据单位职责职能，确定各项具体工作分工，并结合单位中长期规划和年度工作计划，明确年度主要工作任务，确定单位总体目标，以定量和定性相结合的方式目标设定，从中概括、提炼出最能反映工作任务预期实现程度的关键性指标，确定为相应的绩效指标，通过收集基准数据，结合年度预算安排等情况实现目标计划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32" w:firstLineChars="200"/>
        <w:textAlignment w:val="auto"/>
        <w:rPr>
          <w:rFonts w:hint="eastAsia" w:ascii="仿宋" w:hAnsi="仿宋" w:eastAsia="仿宋" w:cs="Times New Roman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  <w:lang w:val="en-US" w:eastAsia="zh-CN"/>
        </w:rPr>
        <w:t>2023年我园设定的总体绩效目标为：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32" w:firstLineChars="200"/>
        <w:textAlignment w:val="auto"/>
        <w:rPr>
          <w:rFonts w:hint="eastAsia" w:ascii="仿宋" w:hAnsi="仿宋" w:eastAsia="仿宋" w:cs="Times New Roman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  <w:lang w:val="en-US" w:eastAsia="zh-CN"/>
        </w:rPr>
        <w:t>目标1：以习近平新时代中国特色社会主义思想为指导，根据怀化市教育局2023年工作要点和本园工作实际情况，立足新发展阶段、贯彻新发展理念，全面贯彻党的教育方针，落实立德树人根本任务；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32" w:firstLineChars="200"/>
        <w:textAlignment w:val="auto"/>
        <w:rPr>
          <w:rFonts w:hint="eastAsia" w:ascii="仿宋" w:hAnsi="仿宋" w:eastAsia="仿宋" w:cs="Times New Roman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  <w:lang w:val="en-US" w:eastAsia="zh-CN"/>
        </w:rPr>
        <w:t>目标2：通过“文化育园、管理强园、特色兴园、质量促园”，创新构建园所发展新格局，推进学前教育新发展，着力打造办园特色鲜明、师资队伍优良、管理机制科学、保教质量一流、育人环境优质、幼儿发展全面的高品质幼儿园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二、部门整体支出管理及使用情况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（一）</w:t>
      </w:r>
      <w:r>
        <w:rPr>
          <w:rFonts w:hint="eastAsia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预算执行、使用、管理总体情况。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textAlignment w:val="auto"/>
        <w:rPr>
          <w:rFonts w:hint="eastAsia" w:ascii="仿宋" w:hAnsi="仿宋" w:eastAsia="仿宋" w:cs="Times New Roman"/>
          <w:spacing w:val="-2"/>
          <w:sz w:val="32"/>
          <w:szCs w:val="32"/>
          <w:highlight w:val="none"/>
        </w:rPr>
      </w:pPr>
      <w:r>
        <w:rPr>
          <w:rFonts w:hint="eastAsia" w:ascii="仿宋" w:hAnsi="仿宋" w:eastAsia="仿宋"/>
          <w:spacing w:val="-2"/>
          <w:sz w:val="32"/>
          <w:szCs w:val="32"/>
          <w:highlight w:val="none"/>
        </w:rPr>
        <w:t>根据《怀化市财政局关于批复下达202</w:t>
      </w:r>
      <w:r>
        <w:rPr>
          <w:rFonts w:hint="eastAsia" w:ascii="仿宋" w:hAnsi="仿宋" w:eastAsia="仿宋"/>
          <w:spacing w:val="-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/>
          <w:spacing w:val="-2"/>
          <w:sz w:val="32"/>
          <w:szCs w:val="32"/>
          <w:highlight w:val="none"/>
        </w:rPr>
        <w:t>年市直部门预算的通知》（怀财预﹝202</w:t>
      </w:r>
      <w:r>
        <w:rPr>
          <w:rFonts w:hint="eastAsia" w:ascii="仿宋" w:hAnsi="仿宋" w:eastAsia="仿宋"/>
          <w:spacing w:val="-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/>
          <w:spacing w:val="-2"/>
          <w:sz w:val="32"/>
          <w:szCs w:val="32"/>
          <w:highlight w:val="none"/>
        </w:rPr>
        <w:t>﹞</w:t>
      </w:r>
      <w:r>
        <w:rPr>
          <w:rFonts w:hint="eastAsia" w:ascii="仿宋" w:hAnsi="仿宋" w:eastAsia="仿宋"/>
          <w:spacing w:val="-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/>
          <w:spacing w:val="-2"/>
          <w:sz w:val="32"/>
          <w:szCs w:val="32"/>
          <w:highlight w:val="none"/>
        </w:rPr>
        <w:t>号）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</w:rPr>
        <w:t>，20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2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年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我园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年初预算支出</w:t>
      </w:r>
      <w:r>
        <w:rPr>
          <w:rFonts w:hint="eastAsia" w:ascii="仿宋" w:hAnsi="仿宋" w:eastAsia="仿宋" w:cs="Times New Roman"/>
          <w:color w:val="auto"/>
          <w:spacing w:val="-2"/>
          <w:sz w:val="32"/>
          <w:szCs w:val="32"/>
          <w:lang w:val="en-US" w:eastAsia="zh-CN"/>
        </w:rPr>
        <w:t>1,849.88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万元，其中：基本支</w:t>
      </w:r>
      <w:r>
        <w:rPr>
          <w:rFonts w:hint="eastAsia" w:ascii="仿宋" w:hAnsi="仿宋" w:eastAsia="仿宋" w:cs="Times New Roman"/>
          <w:color w:val="auto"/>
          <w:spacing w:val="-2"/>
          <w:sz w:val="32"/>
          <w:szCs w:val="32"/>
        </w:rPr>
        <w:t>出</w:t>
      </w:r>
      <w:r>
        <w:rPr>
          <w:rFonts w:hint="eastAsia" w:ascii="仿宋" w:hAnsi="仿宋" w:eastAsia="仿宋" w:cs="Times New Roman"/>
          <w:color w:val="auto"/>
          <w:spacing w:val="-2"/>
          <w:sz w:val="32"/>
          <w:szCs w:val="32"/>
          <w:lang w:val="en-US" w:eastAsia="zh-CN"/>
        </w:rPr>
        <w:t>1,184.36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万元，项目支出</w:t>
      </w:r>
      <w:r>
        <w:rPr>
          <w:rFonts w:hint="eastAsia" w:ascii="仿宋" w:hAnsi="仿宋" w:eastAsia="仿宋" w:cs="Times New Roman"/>
          <w:color w:val="auto"/>
          <w:spacing w:val="-2"/>
          <w:sz w:val="32"/>
          <w:szCs w:val="32"/>
          <w:lang w:val="en-US" w:eastAsia="zh-CN"/>
        </w:rPr>
        <w:t>655.52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万元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  <w:lang w:eastAsia="zh-CN"/>
        </w:rPr>
        <w:t>；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</w:rPr>
        <w:t>202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</w:rPr>
        <w:t>年度决算总支出2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  <w:lang w:val="en-US" w:eastAsia="zh-CN"/>
        </w:rPr>
        <w:t>,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</w:rPr>
        <w:t>418.13万元，其中：基本支出</w:t>
      </w:r>
      <w:r>
        <w:rPr>
          <w:rFonts w:hint="eastAsia" w:ascii="仿宋" w:hAnsi="仿宋" w:eastAsia="仿宋" w:cs="Times New Roman"/>
          <w:color w:val="auto"/>
          <w:spacing w:val="-2"/>
          <w:sz w:val="32"/>
          <w:szCs w:val="32"/>
          <w:lang w:val="en-US" w:eastAsia="zh-CN"/>
        </w:rPr>
        <w:t>1,310.18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</w:rPr>
        <w:t>万元，占总支出</w:t>
      </w:r>
      <w:r>
        <w:rPr>
          <w:rFonts w:hint="eastAsia" w:ascii="仿宋" w:hAnsi="仿宋" w:eastAsia="仿宋" w:cs="Times New Roman"/>
          <w:color w:val="auto"/>
          <w:spacing w:val="-2"/>
          <w:sz w:val="32"/>
          <w:szCs w:val="32"/>
          <w:highlight w:val="none"/>
        </w:rPr>
        <w:t>的</w:t>
      </w:r>
      <w:r>
        <w:rPr>
          <w:rFonts w:hint="eastAsia" w:ascii="仿宋" w:hAnsi="仿宋" w:eastAsia="仿宋" w:cs="Times New Roman"/>
          <w:color w:val="auto"/>
          <w:spacing w:val="-2"/>
          <w:sz w:val="32"/>
          <w:szCs w:val="32"/>
          <w:lang w:val="en-US" w:eastAsia="zh-CN"/>
        </w:rPr>
        <w:t>54.18%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</w:rPr>
        <w:t>；项目支出</w:t>
      </w:r>
      <w:r>
        <w:rPr>
          <w:rFonts w:hint="eastAsia" w:ascii="仿宋" w:hAnsi="仿宋" w:eastAsia="仿宋" w:cs="Times New Roman"/>
          <w:color w:val="auto"/>
          <w:spacing w:val="-2"/>
          <w:sz w:val="32"/>
          <w:szCs w:val="32"/>
          <w:lang w:val="en-US" w:eastAsia="zh-CN"/>
        </w:rPr>
        <w:t>1,107.95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</w:rPr>
        <w:t>万元，占总支出的</w:t>
      </w:r>
      <w:r>
        <w:rPr>
          <w:rFonts w:hint="eastAsia" w:ascii="仿宋" w:hAnsi="仿宋" w:eastAsia="仿宋" w:cs="Times New Roman"/>
          <w:color w:val="auto"/>
          <w:spacing w:val="-2"/>
          <w:sz w:val="32"/>
          <w:szCs w:val="32"/>
          <w:lang w:val="en-US" w:eastAsia="zh-CN"/>
        </w:rPr>
        <w:t>45.82%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right="0" w:firstLine="640"/>
        <w:textAlignment w:val="auto"/>
        <w:rPr>
          <w:rFonts w:hint="default" w:ascii="仿宋" w:hAnsi="仿宋" w:eastAsia="仿宋" w:cs="Times New Roman"/>
          <w:color w:val="FF0000"/>
          <w:spacing w:val="-2"/>
          <w:sz w:val="32"/>
          <w:szCs w:val="32"/>
          <w:highlight w:val="yellow"/>
          <w:lang w:val="en-US"/>
        </w:rPr>
      </w:pP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</w:rPr>
        <w:t>202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</w:rPr>
        <w:t>年支出预算调整预算数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  <w:lang w:val="en-US" w:eastAsia="zh-CN"/>
        </w:rPr>
        <w:t>568.25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</w:rPr>
        <w:t>万元，与年初预算安排的差额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</w:rPr>
        <w:t>主要是</w:t>
      </w: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lang w:val="en-US" w:eastAsia="zh-CN"/>
        </w:rPr>
        <w:t>2023年在职人员新增16人，工资福利支出增加；2023年日常公用经费新增资本性支出，如付监控设备款、厨房设备款、消毒柜等；及教育管理支出、湖天分园支出、支持学前教育发展等项目支出增加。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（二）部门预算执行情况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default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1.基本支出情况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right="0" w:firstLine="640"/>
        <w:textAlignment w:val="auto"/>
        <w:rPr>
          <w:color w:val="auto"/>
        </w:rPr>
      </w:pPr>
      <w:r>
        <w:rPr>
          <w:rFonts w:ascii="仿宋" w:hAnsi="仿宋" w:eastAsia="仿宋" w:cs="仿宋"/>
          <w:color w:val="auto"/>
          <w:spacing w:val="-2"/>
          <w:kern w:val="2"/>
          <w:sz w:val="32"/>
          <w:szCs w:val="32"/>
          <w:lang w:val="en-US" w:eastAsia="zh-CN" w:bidi="ar-SA"/>
        </w:rPr>
        <w:t>基本支出系保障</w:t>
      </w:r>
      <w:r>
        <w:rPr>
          <w:rFonts w:hint="eastAsia" w:ascii="仿宋" w:hAnsi="仿宋" w:eastAsia="仿宋" w:cs="仿宋"/>
          <w:color w:val="auto"/>
          <w:spacing w:val="-2"/>
          <w:kern w:val="2"/>
          <w:sz w:val="32"/>
          <w:szCs w:val="32"/>
          <w:lang w:val="en-US" w:eastAsia="zh-CN" w:bidi="ar-SA"/>
        </w:rPr>
        <w:t>我园</w:t>
      </w:r>
      <w:r>
        <w:rPr>
          <w:rFonts w:ascii="仿宋" w:hAnsi="仿宋" w:eastAsia="仿宋" w:cs="仿宋"/>
          <w:color w:val="auto"/>
          <w:spacing w:val="-2"/>
          <w:kern w:val="2"/>
          <w:sz w:val="32"/>
          <w:szCs w:val="32"/>
          <w:lang w:val="en-US" w:eastAsia="zh-CN" w:bidi="ar-SA"/>
        </w:rPr>
        <w:t>正常运转、完成日常工作任务而发生的</w:t>
      </w:r>
      <w:r>
        <w:rPr>
          <w:rFonts w:hint="eastAsia" w:ascii="仿宋" w:hAnsi="仿宋" w:eastAsia="仿宋" w:cs="仿宋"/>
          <w:color w:val="auto"/>
          <w:spacing w:val="-2"/>
          <w:kern w:val="2"/>
          <w:sz w:val="32"/>
          <w:szCs w:val="21"/>
          <w:lang w:val="en-US" w:eastAsia="zh-CN" w:bidi="ar-SA"/>
        </w:rPr>
        <w:t>人员经费和日常公用经费。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20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23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年基本支出</w:t>
      </w:r>
      <w:r>
        <w:rPr>
          <w:rFonts w:hint="eastAsia" w:ascii="仿宋" w:hAnsi="仿宋" w:eastAsia="仿宋" w:cs="Times New Roman"/>
          <w:color w:val="auto"/>
          <w:spacing w:val="-2"/>
          <w:sz w:val="32"/>
          <w:szCs w:val="32"/>
          <w:lang w:val="en-US" w:eastAsia="zh-CN"/>
        </w:rPr>
        <w:t>1,310.18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万元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，</w:t>
      </w:r>
      <w:r>
        <w:rPr>
          <w:rFonts w:ascii="仿宋" w:hAnsi="仿宋" w:eastAsia="仿宋" w:cs="仿宋"/>
          <w:color w:val="auto"/>
          <w:spacing w:val="-2"/>
          <w:kern w:val="2"/>
          <w:sz w:val="32"/>
          <w:szCs w:val="32"/>
          <w:lang w:val="en-US" w:eastAsia="zh-CN" w:bidi="ar-SA"/>
        </w:rPr>
        <w:t>较上年</w:t>
      </w:r>
      <w:r>
        <w:rPr>
          <w:rFonts w:hint="eastAsia" w:ascii="仿宋" w:hAnsi="仿宋" w:eastAsia="仿宋" w:cs="仿宋"/>
          <w:color w:val="auto"/>
          <w:spacing w:val="-2"/>
          <w:kern w:val="2"/>
          <w:sz w:val="32"/>
          <w:szCs w:val="32"/>
          <w:lang w:val="en-US" w:eastAsia="zh-CN" w:bidi="ar-SA"/>
        </w:rPr>
        <w:t>增加179.68</w:t>
      </w:r>
      <w:r>
        <w:rPr>
          <w:rFonts w:ascii="仿宋" w:hAnsi="仿宋" w:eastAsia="仿宋" w:cs="仿宋"/>
          <w:color w:val="auto"/>
          <w:spacing w:val="-2"/>
          <w:kern w:val="2"/>
          <w:sz w:val="32"/>
          <w:szCs w:val="32"/>
          <w:lang w:val="en-US" w:eastAsia="zh-CN" w:bidi="ar-SA"/>
        </w:rPr>
        <w:t>万元，</w:t>
      </w:r>
      <w:r>
        <w:rPr>
          <w:rFonts w:hint="eastAsia" w:ascii="仿宋" w:hAnsi="仿宋" w:eastAsia="仿宋" w:cs="仿宋"/>
          <w:color w:val="auto"/>
          <w:spacing w:val="-2"/>
          <w:kern w:val="2"/>
          <w:sz w:val="32"/>
          <w:szCs w:val="32"/>
          <w:lang w:val="en-US" w:eastAsia="zh-CN" w:bidi="ar-SA"/>
        </w:rPr>
        <w:t>提升15.89</w:t>
      </w:r>
      <w:r>
        <w:rPr>
          <w:rFonts w:ascii="仿宋" w:hAnsi="仿宋" w:eastAsia="仿宋" w:cs="仿宋"/>
          <w:color w:val="auto"/>
          <w:spacing w:val="-2"/>
          <w:kern w:val="2"/>
          <w:sz w:val="32"/>
          <w:szCs w:val="32"/>
          <w:lang w:val="en-US" w:eastAsia="zh-CN" w:bidi="ar-SA"/>
        </w:rPr>
        <w:t>%</w:t>
      </w:r>
      <w:r>
        <w:rPr>
          <w:rFonts w:hint="eastAsia" w:ascii="仿宋" w:hAnsi="仿宋" w:eastAsia="仿宋" w:cs="仿宋"/>
          <w:color w:val="auto"/>
          <w:spacing w:val="-2"/>
          <w:kern w:val="2"/>
          <w:sz w:val="32"/>
          <w:szCs w:val="32"/>
          <w:lang w:val="en-US" w:eastAsia="zh-CN" w:bidi="ar-SA"/>
        </w:rPr>
        <w:t>，主要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是</w:t>
      </w: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lang w:val="en-US" w:eastAsia="zh-CN"/>
        </w:rPr>
        <w:t>因为工资福利支出、商品和服务支出、资本性支出等支出增加</w:t>
      </w:r>
      <w:r>
        <w:rPr>
          <w:rFonts w:ascii="仿宋" w:hAnsi="仿宋" w:eastAsia="仿宋" w:cs="仿宋"/>
          <w:color w:val="auto"/>
          <w:spacing w:val="-2"/>
          <w:kern w:val="2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right="0" w:firstLine="640"/>
        <w:textAlignment w:val="auto"/>
        <w:rPr>
          <w:color w:val="auto"/>
        </w:rPr>
      </w:pPr>
      <w:r>
        <w:rPr>
          <w:rFonts w:hint="eastAsia" w:ascii="仿宋" w:hAnsi="仿宋" w:eastAsia="仿宋" w:cs="仿宋"/>
          <w:color w:val="auto"/>
          <w:spacing w:val="-2"/>
          <w:kern w:val="2"/>
          <w:sz w:val="32"/>
          <w:szCs w:val="32"/>
          <w:lang w:val="en-US" w:eastAsia="zh-CN" w:bidi="ar-SA"/>
        </w:rPr>
        <w:t>（1）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人员经费。人员经费</w:t>
      </w:r>
      <w:r>
        <w:rPr>
          <w:rFonts w:hint="eastAsia" w:ascii="仿宋" w:hAnsi="仿宋" w:eastAsia="仿宋" w:cs="仿宋"/>
          <w:color w:val="auto"/>
          <w:spacing w:val="-2"/>
          <w:kern w:val="2"/>
          <w:sz w:val="32"/>
          <w:szCs w:val="32"/>
          <w:lang w:val="en-US" w:eastAsia="zh-CN" w:bidi="ar-SA"/>
        </w:rPr>
        <w:t>1,269.48万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元，占基本支出的</w:t>
      </w:r>
      <w:r>
        <w:rPr>
          <w:rFonts w:hint="eastAsia" w:ascii="仿宋" w:hAnsi="仿宋" w:eastAsia="仿宋" w:cs="仿宋"/>
          <w:color w:val="auto"/>
          <w:spacing w:val="-2"/>
          <w:kern w:val="2"/>
          <w:sz w:val="32"/>
          <w:szCs w:val="32"/>
          <w:lang w:val="en-US" w:eastAsia="zh-CN" w:bidi="ar-SA"/>
        </w:rPr>
        <w:t>96.89%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，较</w:t>
      </w:r>
      <w:r>
        <w:rPr>
          <w:rFonts w:hint="eastAsia" w:ascii="仿宋" w:hAnsi="仿宋" w:eastAsia="仿宋" w:cs="仿宋"/>
          <w:color w:val="auto"/>
          <w:spacing w:val="-2"/>
          <w:sz w:val="32"/>
          <w:szCs w:val="32"/>
        </w:rPr>
        <w:t>上年</w:t>
      </w: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lang w:val="en-US" w:eastAsia="zh-CN"/>
        </w:rPr>
        <w:t>增加174.43万元，提升15，93</w:t>
      </w:r>
      <w:r>
        <w:rPr>
          <w:rFonts w:hint="eastAsia" w:ascii="仿宋" w:hAnsi="仿宋" w:eastAsia="仿宋" w:cs="仿宋"/>
          <w:color w:val="auto"/>
          <w:spacing w:val="-2"/>
          <w:sz w:val="32"/>
          <w:szCs w:val="32"/>
        </w:rPr>
        <w:t>%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，主要是</w:t>
      </w: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lang w:val="en-US" w:eastAsia="zh-CN"/>
        </w:rPr>
        <w:t>因为2023年在职人员增加16人，工资福利支出增加</w:t>
      </w:r>
      <w:r>
        <w:rPr>
          <w:rFonts w:hint="eastAsia" w:ascii="仿宋" w:hAnsi="仿宋" w:eastAsia="仿宋" w:cs="仿宋"/>
          <w:color w:val="auto"/>
          <w:spacing w:val="-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right="0" w:firstLine="640"/>
        <w:textAlignment w:val="auto"/>
        <w:rPr>
          <w:rFonts w:hint="eastAsia" w:hAnsi="仿宋" w:eastAsia="仿宋"/>
          <w:spacing w:val="-2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pacing w:val="-2"/>
          <w:sz w:val="32"/>
          <w:szCs w:val="32"/>
        </w:rPr>
        <w:t>①工资福利支出</w:t>
      </w:r>
      <w:r>
        <w:rPr>
          <w:rFonts w:hint="eastAsia" w:ascii="仿宋" w:hAnsi="仿宋" w:eastAsia="仿宋" w:cs="仿宋"/>
          <w:color w:val="auto"/>
          <w:spacing w:val="-2"/>
          <w:kern w:val="2"/>
          <w:sz w:val="32"/>
          <w:szCs w:val="32"/>
          <w:lang w:val="en-US" w:eastAsia="zh-CN" w:bidi="ar-SA"/>
        </w:rPr>
        <w:t>1,193.44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万元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主要包括</w:t>
      </w:r>
      <w:r>
        <w:rPr>
          <w:rFonts w:hint="eastAsia" w:ascii="仿宋" w:hAnsi="仿宋" w:eastAsia="仿宋" w:cs="仿宋"/>
          <w:color w:val="auto"/>
          <w:spacing w:val="-2"/>
          <w:sz w:val="32"/>
          <w:szCs w:val="32"/>
        </w:rPr>
        <w:t>在职人员</w:t>
      </w:r>
      <w:r>
        <w:rPr>
          <w:rFonts w:hint="eastAsia" w:hAnsi="仿宋" w:eastAsia="仿宋"/>
          <w:color w:val="auto"/>
          <w:spacing w:val="-2"/>
          <w:sz w:val="32"/>
          <w:szCs w:val="32"/>
        </w:rPr>
        <w:t>基</w:t>
      </w:r>
      <w:r>
        <w:rPr>
          <w:rFonts w:hint="eastAsia" w:hAnsi="仿宋" w:eastAsia="仿宋"/>
          <w:spacing w:val="-2"/>
          <w:sz w:val="32"/>
          <w:szCs w:val="32"/>
        </w:rPr>
        <w:t>本工资、津贴补贴、奖金、机关事业单位基本养老保险缴费、职工基本医疗保险缴费、其他社会保障缴费、其他工资福利支出</w:t>
      </w:r>
      <w:r>
        <w:rPr>
          <w:rFonts w:hint="eastAsia" w:hAnsi="仿宋" w:eastAsia="仿宋"/>
          <w:spacing w:val="-2"/>
          <w:sz w:val="32"/>
          <w:szCs w:val="32"/>
          <w:lang w:val="en-US" w:eastAsia="zh-CN"/>
        </w:rPr>
        <w:t>等支出</w:t>
      </w:r>
      <w:r>
        <w:rPr>
          <w:rFonts w:hint="eastAsia" w:hAnsi="仿宋" w:eastAsia="仿宋"/>
          <w:spacing w:val="-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right="0" w:firstLine="640"/>
        <w:textAlignment w:val="auto"/>
        <w:rPr>
          <w:rFonts w:hint="eastAsia" w:ascii="仿宋" w:hAnsi="仿宋" w:eastAsia="仿宋" w:cs="仿宋"/>
          <w:spacing w:val="-2"/>
          <w:sz w:val="32"/>
          <w:szCs w:val="32"/>
        </w:rPr>
      </w:pPr>
      <w:r>
        <w:rPr>
          <w:rFonts w:hint="eastAsia" w:ascii="仿宋" w:hAnsi="仿宋" w:eastAsia="仿宋" w:cs="仿宋"/>
          <w:spacing w:val="-2"/>
          <w:sz w:val="32"/>
          <w:szCs w:val="32"/>
        </w:rPr>
        <w:t>②对个人和家庭补助支出</w:t>
      </w:r>
      <w:r>
        <w:rPr>
          <w:rFonts w:hint="eastAsia" w:ascii="仿宋" w:hAnsi="仿宋" w:eastAsia="仿宋" w:cs="仿宋"/>
          <w:color w:val="auto"/>
          <w:spacing w:val="-2"/>
          <w:kern w:val="2"/>
          <w:sz w:val="32"/>
          <w:szCs w:val="32"/>
          <w:lang w:val="en-US" w:eastAsia="zh-CN" w:bidi="ar-SA"/>
        </w:rPr>
        <w:t>76.04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万元。主要包括生活补助、奖励金、其他对个人和家庭的补助</w:t>
      </w:r>
      <w:r>
        <w:rPr>
          <w:rFonts w:hint="eastAsia" w:ascii="仿宋" w:hAnsi="仿宋" w:eastAsia="仿宋" w:cs="仿宋"/>
          <w:spacing w:val="-2"/>
          <w:sz w:val="32"/>
          <w:szCs w:val="32"/>
          <w:lang w:val="en-US" w:eastAsia="zh-CN"/>
        </w:rPr>
        <w:t>等支出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 w:rightChars="0" w:firstLine="632" w:firstLineChars="200"/>
        <w:textAlignment w:val="auto"/>
        <w:rPr>
          <w:rFonts w:hint="eastAsia" w:ascii="仿宋" w:hAnsi="仿宋" w:eastAsia="仿宋" w:cs="仿宋"/>
          <w:color w:val="auto"/>
          <w:spacing w:val="-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-2"/>
          <w:kern w:val="2"/>
          <w:sz w:val="32"/>
          <w:szCs w:val="32"/>
          <w:lang w:val="en-US" w:eastAsia="zh-CN" w:bidi="ar-SA"/>
        </w:rPr>
        <w:t>（2）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日常公用经费。日常公用经费</w:t>
      </w:r>
      <w:r>
        <w:rPr>
          <w:rFonts w:hint="eastAsia" w:ascii="仿宋" w:hAnsi="仿宋" w:eastAsia="仿宋" w:cs="仿宋"/>
          <w:color w:val="auto"/>
          <w:spacing w:val="-2"/>
          <w:kern w:val="2"/>
          <w:sz w:val="32"/>
          <w:szCs w:val="32"/>
          <w:lang w:val="en-US" w:eastAsia="zh-CN" w:bidi="ar-SA"/>
        </w:rPr>
        <w:t>40.70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万元，占基本支出的</w:t>
      </w:r>
      <w:r>
        <w:rPr>
          <w:rFonts w:hint="eastAsia" w:ascii="仿宋" w:hAnsi="仿宋" w:eastAsia="仿宋" w:cs="仿宋"/>
          <w:color w:val="auto"/>
          <w:spacing w:val="-2"/>
          <w:kern w:val="2"/>
          <w:sz w:val="32"/>
          <w:szCs w:val="32"/>
          <w:lang w:val="en-US" w:eastAsia="zh-CN" w:bidi="ar-SA"/>
        </w:rPr>
        <w:t>3.11%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，</w:t>
      </w:r>
      <w:r>
        <w:rPr>
          <w:rFonts w:hint="eastAsia" w:ascii="仿宋" w:hAnsi="仿宋" w:eastAsia="仿宋" w:cs="仿宋"/>
          <w:color w:val="auto"/>
          <w:spacing w:val="-2"/>
          <w:kern w:val="2"/>
          <w:sz w:val="32"/>
          <w:szCs w:val="32"/>
          <w:lang w:val="en-US" w:eastAsia="zh-CN" w:bidi="ar-SA"/>
        </w:rPr>
        <w:t>较上年增加5.25万元，提升14.82%，</w:t>
      </w:r>
      <w:r>
        <w:rPr>
          <w:rFonts w:hint="eastAsia" w:ascii="仿宋" w:hAnsi="仿宋" w:eastAsia="仿宋" w:cs="仿宋"/>
          <w:color w:val="auto"/>
          <w:spacing w:val="-2"/>
          <w:sz w:val="32"/>
          <w:szCs w:val="32"/>
        </w:rPr>
        <w:t>主要是</w:t>
      </w: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lang w:val="en-US" w:eastAsia="zh-CN"/>
        </w:rPr>
        <w:t>2023年邮电费、差旅费、福利费等公用经费增加及2023年新增</w:t>
      </w:r>
      <w:r>
        <w:rPr>
          <w:rFonts w:hint="eastAsia" w:ascii="仿宋" w:hAnsi="仿宋" w:eastAsia="仿宋" w:cs="仿宋"/>
          <w:spacing w:val="-2"/>
          <w:sz w:val="32"/>
          <w:szCs w:val="32"/>
          <w:lang w:val="en-US" w:eastAsia="zh-CN"/>
        </w:rPr>
        <w:t>专用设备</w:t>
      </w: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lang w:val="en-US" w:eastAsia="zh-CN"/>
        </w:rPr>
        <w:t>资本性支出。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 w:rightChars="0" w:firstLine="632" w:firstLineChars="200"/>
        <w:textAlignment w:val="auto"/>
      </w:pPr>
      <w:r>
        <w:rPr>
          <w:rFonts w:hint="eastAsia" w:ascii="仿宋" w:hAnsi="仿宋" w:eastAsia="仿宋" w:cs="仿宋"/>
          <w:spacing w:val="-2"/>
          <w:sz w:val="32"/>
          <w:szCs w:val="32"/>
        </w:rPr>
        <w:t>①商品和服务支出</w:t>
      </w:r>
      <w:r>
        <w:rPr>
          <w:rFonts w:hint="eastAsia" w:ascii="仿宋" w:hAnsi="仿宋" w:eastAsia="仿宋" w:cs="仿宋"/>
          <w:color w:val="auto"/>
          <w:spacing w:val="-2"/>
          <w:kern w:val="2"/>
          <w:sz w:val="32"/>
          <w:szCs w:val="32"/>
          <w:lang w:val="en-US" w:eastAsia="zh-CN" w:bidi="ar-SA"/>
        </w:rPr>
        <w:t>37.50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万元。主要包括日常运行正常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的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办公费、印刷费、水费、电费、邮电费、物业管理费、差旅费、租赁费、专用材料费、劳务费、福利费、其他商品和服务支出等。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textAlignment w:val="auto"/>
        <w:rPr>
          <w:rFonts w:hint="default" w:ascii="仿宋" w:hAnsi="仿宋" w:eastAsia="仿宋" w:cs="仿宋"/>
          <w:spacing w:val="-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-2"/>
          <w:sz w:val="32"/>
          <w:szCs w:val="32"/>
        </w:rPr>
        <w:t>②资本性支出</w:t>
      </w:r>
      <w:r>
        <w:rPr>
          <w:rFonts w:hint="eastAsia" w:ascii="仿宋" w:hAnsi="仿宋" w:eastAsia="仿宋" w:cs="仿宋"/>
          <w:color w:val="auto"/>
          <w:spacing w:val="-2"/>
          <w:sz w:val="32"/>
          <w:szCs w:val="32"/>
        </w:rPr>
        <w:t>3.2</w:t>
      </w: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pacing w:val="-2"/>
          <w:sz w:val="32"/>
          <w:szCs w:val="32"/>
          <w:lang w:val="en-US" w:eastAsia="zh-CN"/>
        </w:rPr>
        <w:t>万元。主要包括专用设备购置支出。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default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2.项目支出情况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textAlignment w:val="auto"/>
        <w:rPr>
          <w:rFonts w:hint="eastAsia" w:ascii="仿宋" w:hAnsi="仿宋" w:eastAsia="仿宋" w:cs="仿宋"/>
          <w:color w:val="FF0000"/>
          <w:spacing w:val="-2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pacing w:val="-2"/>
          <w:sz w:val="32"/>
          <w:szCs w:val="32"/>
        </w:rPr>
        <w:t>项目支出系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我园</w:t>
      </w:r>
      <w:r>
        <w:rPr>
          <w:rFonts w:hint="default" w:ascii="仿宋" w:hAnsi="仿宋" w:eastAsia="仿宋" w:cs="仿宋"/>
          <w:spacing w:val="-2"/>
          <w:sz w:val="32"/>
          <w:szCs w:val="32"/>
        </w:rPr>
        <w:t>为完成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教育</w:t>
      </w:r>
      <w:r>
        <w:rPr>
          <w:rFonts w:hint="default" w:ascii="仿宋" w:hAnsi="仿宋" w:eastAsia="仿宋" w:cs="仿宋"/>
          <w:spacing w:val="-2"/>
          <w:sz w:val="32"/>
          <w:szCs w:val="32"/>
        </w:rPr>
        <w:t>发展目标而发生的支出，包括</w:t>
      </w:r>
      <w:r>
        <w:rPr>
          <w:rFonts w:hint="default" w:ascii="仿宋" w:hAnsi="仿宋" w:eastAsia="仿宋" w:cs="仿宋"/>
          <w:color w:val="auto"/>
          <w:spacing w:val="-2"/>
          <w:sz w:val="32"/>
          <w:szCs w:val="32"/>
        </w:rPr>
        <w:t>人才资源开展专项资金15.00万元</w:t>
      </w: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lang w:eastAsia="zh-CN"/>
        </w:rPr>
        <w:t>、市直临聘教师经费42.00万元、学前生均公用经费47.00万元、教育管理支出436.72万元、湖天分园建设155.99万元、启智教学楼一、二楼改造65.80万元、校方责任险1.41万元、围墙拆除重建20.13万元、临聘教师工资6.00万元、保安经费18.11万元、园内维修及建设55.04万元、支持学前教育发展300.00万元、2023年第九批基础教育发展专项（基础教育教学改革研究课题）资金2.00万元、2023年市直属公办学校教师体检经费5.76万元、怀化市2023年国培计划项目6.00万元</w:t>
      </w:r>
      <w:r>
        <w:rPr>
          <w:rFonts w:hint="default" w:ascii="仿宋" w:hAnsi="仿宋" w:eastAsia="仿宋" w:cs="仿宋"/>
          <w:color w:val="auto"/>
          <w:spacing w:val="-2"/>
          <w:sz w:val="32"/>
          <w:szCs w:val="32"/>
          <w:highlight w:val="none"/>
        </w:rPr>
        <w:t>。</w:t>
      </w:r>
      <w:r>
        <w:rPr>
          <w:rFonts w:hint="eastAsia" w:ascii="仿宋" w:hAnsi="仿宋" w:eastAsia="仿宋" w:cs="Times New Roman"/>
          <w:color w:val="auto"/>
          <w:spacing w:val="-2"/>
          <w:sz w:val="32"/>
          <w:szCs w:val="32"/>
          <w:highlight w:val="none"/>
          <w:lang w:val="en-US" w:eastAsia="zh-CN"/>
        </w:rPr>
        <w:t>2023年项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  <w:lang w:val="en-US" w:eastAsia="zh-CN"/>
        </w:rPr>
        <w:t>目总支</w:t>
      </w:r>
      <w:r>
        <w:rPr>
          <w:rFonts w:hint="eastAsia" w:ascii="仿宋" w:hAnsi="仿宋" w:eastAsia="仿宋" w:cs="Times New Roman"/>
          <w:color w:val="auto"/>
          <w:spacing w:val="-2"/>
          <w:sz w:val="32"/>
          <w:szCs w:val="32"/>
          <w:highlight w:val="none"/>
          <w:lang w:val="en-US" w:eastAsia="zh-CN"/>
        </w:rPr>
        <w:t>出</w:t>
      </w:r>
      <w:r>
        <w:rPr>
          <w:rFonts w:hint="eastAsia" w:ascii="仿宋" w:hAnsi="仿宋" w:eastAsia="仿宋" w:cs="Times New Roman"/>
          <w:color w:val="auto"/>
          <w:spacing w:val="-2"/>
          <w:sz w:val="32"/>
          <w:szCs w:val="32"/>
          <w:lang w:val="en-US" w:eastAsia="zh-CN"/>
        </w:rPr>
        <w:t>1,107.95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</w:rPr>
        <w:t>万元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Times New Roman"/>
          <w:color w:val="auto"/>
          <w:spacing w:val="-2"/>
          <w:sz w:val="32"/>
          <w:szCs w:val="32"/>
          <w:highlight w:val="none"/>
          <w:lang w:eastAsia="zh-CN"/>
        </w:rPr>
        <w:t>较</w:t>
      </w:r>
      <w:r>
        <w:rPr>
          <w:rFonts w:hint="eastAsia" w:ascii="仿宋" w:hAnsi="仿宋" w:eastAsia="仿宋" w:cs="Times New Roman"/>
          <w:color w:val="auto"/>
          <w:spacing w:val="-2"/>
          <w:sz w:val="32"/>
          <w:szCs w:val="32"/>
          <w:highlight w:val="none"/>
        </w:rPr>
        <w:t>上年</w:t>
      </w:r>
      <w:r>
        <w:rPr>
          <w:rFonts w:hint="eastAsia" w:ascii="仿宋" w:hAnsi="仿宋" w:eastAsia="仿宋" w:cs="Times New Roman"/>
          <w:color w:val="auto"/>
          <w:spacing w:val="-2"/>
          <w:sz w:val="32"/>
          <w:szCs w:val="32"/>
          <w:highlight w:val="none"/>
          <w:lang w:val="en-US" w:eastAsia="zh-CN"/>
        </w:rPr>
        <w:t>1,147.17</w:t>
      </w:r>
      <w:r>
        <w:rPr>
          <w:rFonts w:hint="eastAsia" w:ascii="仿宋" w:hAnsi="仿宋" w:eastAsia="仿宋" w:cs="Times New Roman"/>
          <w:color w:val="auto"/>
          <w:spacing w:val="-2"/>
          <w:sz w:val="32"/>
          <w:szCs w:val="32"/>
          <w:highlight w:val="none"/>
        </w:rPr>
        <w:t>万元</w:t>
      </w:r>
      <w:r>
        <w:rPr>
          <w:rFonts w:hint="eastAsia" w:ascii="仿宋" w:hAnsi="仿宋" w:eastAsia="仿宋" w:cs="Times New Roman"/>
          <w:color w:val="auto"/>
          <w:spacing w:val="-2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Times New Roman"/>
          <w:color w:val="auto"/>
          <w:spacing w:val="-2"/>
          <w:sz w:val="32"/>
          <w:szCs w:val="32"/>
          <w:highlight w:val="none"/>
          <w:lang w:val="en-US" w:eastAsia="zh-CN"/>
        </w:rPr>
        <w:t>减少39.22万元</w:t>
      </w:r>
      <w:r>
        <w:rPr>
          <w:rFonts w:hint="eastAsia" w:ascii="仿宋" w:hAnsi="仿宋" w:eastAsia="仿宋" w:cs="Times New Roman"/>
          <w:color w:val="auto"/>
          <w:spacing w:val="-2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Times New Roman"/>
          <w:color w:val="auto"/>
          <w:spacing w:val="-2"/>
          <w:sz w:val="32"/>
          <w:szCs w:val="32"/>
          <w:highlight w:val="none"/>
          <w:lang w:val="en-US" w:eastAsia="zh-CN"/>
        </w:rPr>
        <w:t>降低3.42%</w:t>
      </w:r>
      <w:r>
        <w:rPr>
          <w:rFonts w:hint="eastAsia" w:ascii="仿宋" w:hAnsi="仿宋" w:eastAsia="仿宋" w:cs="Times New Roman"/>
          <w:color w:val="auto"/>
          <w:spacing w:val="-2"/>
          <w:sz w:val="32"/>
          <w:szCs w:val="32"/>
          <w:highlight w:val="none"/>
        </w:rPr>
        <w:t>，</w:t>
      </w:r>
      <w:r>
        <w:rPr>
          <w:rFonts w:hint="eastAsia" w:ascii="仿宋" w:hAnsi="仿宋" w:eastAsia="仿宋" w:cs="Times New Roman"/>
          <w:color w:val="auto"/>
          <w:spacing w:val="-2"/>
          <w:sz w:val="32"/>
          <w:szCs w:val="32"/>
          <w:highlight w:val="none"/>
          <w:lang w:val="en-US" w:eastAsia="zh-CN"/>
        </w:rPr>
        <w:t>主要是市幼儿园户外活动场改造项目改造完工，启智教学楼一、二楼、围墙拆除重建工程以及湖天分园建设工程在2023年开支减少。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（三）"三公"经费使用和管理情况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eastAsia="仿宋"/>
          <w:spacing w:val="-2"/>
          <w:sz w:val="32"/>
          <w:szCs w:val="32"/>
        </w:rPr>
        <w:t>202</w:t>
      </w:r>
      <w:r>
        <w:rPr>
          <w:rFonts w:hint="eastAsia" w:eastAsia="仿宋"/>
          <w:spacing w:val="-2"/>
          <w:sz w:val="32"/>
          <w:szCs w:val="32"/>
          <w:lang w:val="en-US" w:eastAsia="zh-CN"/>
        </w:rPr>
        <w:t>3</w:t>
      </w:r>
      <w:r>
        <w:rPr>
          <w:rFonts w:hAnsi="仿宋" w:eastAsia="仿宋"/>
          <w:spacing w:val="-2"/>
          <w:sz w:val="32"/>
          <w:szCs w:val="32"/>
        </w:rPr>
        <w:t>年</w:t>
      </w:r>
      <w:r>
        <w:rPr>
          <w:rFonts w:eastAsia="仿宋"/>
          <w:spacing w:val="-2"/>
          <w:sz w:val="32"/>
          <w:szCs w:val="32"/>
        </w:rPr>
        <w:t>“</w:t>
      </w:r>
      <w:r>
        <w:rPr>
          <w:rFonts w:hAnsi="仿宋" w:eastAsia="仿宋"/>
          <w:spacing w:val="-2"/>
          <w:sz w:val="32"/>
          <w:szCs w:val="32"/>
        </w:rPr>
        <w:t>三公</w:t>
      </w:r>
      <w:r>
        <w:rPr>
          <w:rFonts w:eastAsia="仿宋"/>
          <w:spacing w:val="-2"/>
          <w:sz w:val="32"/>
          <w:szCs w:val="32"/>
        </w:rPr>
        <w:t>”</w:t>
      </w:r>
      <w:r>
        <w:rPr>
          <w:rFonts w:hAnsi="仿宋" w:eastAsia="仿宋"/>
          <w:spacing w:val="-2"/>
          <w:sz w:val="32"/>
          <w:szCs w:val="32"/>
        </w:rPr>
        <w:t>经费预算为</w:t>
      </w:r>
      <w:r>
        <w:rPr>
          <w:rFonts w:hint="eastAsia" w:hAnsi="仿宋" w:eastAsia="仿宋"/>
          <w:spacing w:val="-2"/>
          <w:sz w:val="32"/>
          <w:szCs w:val="32"/>
          <w:lang w:val="en-US" w:eastAsia="zh-CN"/>
        </w:rPr>
        <w:t>0.00</w:t>
      </w:r>
      <w:r>
        <w:rPr>
          <w:rFonts w:hAnsi="仿宋" w:eastAsia="仿宋"/>
          <w:spacing w:val="-2"/>
          <w:sz w:val="32"/>
          <w:szCs w:val="32"/>
        </w:rPr>
        <w:t>万元</w:t>
      </w:r>
      <w:r>
        <w:rPr>
          <w:rFonts w:eastAsia="仿宋"/>
          <w:spacing w:val="-2"/>
          <w:sz w:val="32"/>
          <w:szCs w:val="32"/>
        </w:rPr>
        <w:t>,</w:t>
      </w:r>
      <w:r>
        <w:rPr>
          <w:rFonts w:hAnsi="仿宋" w:eastAsia="仿宋"/>
          <w:spacing w:val="-2"/>
          <w:sz w:val="32"/>
          <w:szCs w:val="32"/>
        </w:rPr>
        <w:t>其中</w:t>
      </w:r>
      <w:r>
        <w:rPr>
          <w:rFonts w:eastAsia="仿宋"/>
          <w:spacing w:val="-2"/>
          <w:sz w:val="32"/>
          <w:szCs w:val="32"/>
        </w:rPr>
        <w:t>:</w:t>
      </w:r>
      <w:r>
        <w:rPr>
          <w:rFonts w:hAnsi="仿宋" w:eastAsia="仿宋"/>
          <w:spacing w:val="-2"/>
          <w:sz w:val="32"/>
          <w:szCs w:val="32"/>
        </w:rPr>
        <w:t>因公出国</w:t>
      </w:r>
      <w:r>
        <w:rPr>
          <w:rFonts w:eastAsia="仿宋"/>
          <w:spacing w:val="-2"/>
          <w:sz w:val="32"/>
          <w:szCs w:val="32"/>
        </w:rPr>
        <w:t>(</w:t>
      </w:r>
      <w:r>
        <w:rPr>
          <w:rFonts w:hAnsi="仿宋" w:eastAsia="仿宋"/>
          <w:spacing w:val="-2"/>
          <w:sz w:val="32"/>
          <w:szCs w:val="32"/>
        </w:rPr>
        <w:t>境</w:t>
      </w:r>
      <w:r>
        <w:rPr>
          <w:rFonts w:eastAsia="仿宋"/>
          <w:spacing w:val="-2"/>
          <w:sz w:val="32"/>
          <w:szCs w:val="32"/>
        </w:rPr>
        <w:t>)</w:t>
      </w:r>
      <w:r>
        <w:rPr>
          <w:rFonts w:hAnsi="仿宋" w:eastAsia="仿宋"/>
          <w:spacing w:val="-2"/>
          <w:sz w:val="32"/>
          <w:szCs w:val="32"/>
        </w:rPr>
        <w:t>费预算</w:t>
      </w:r>
      <w:r>
        <w:rPr>
          <w:rFonts w:eastAsia="仿宋"/>
          <w:spacing w:val="-2"/>
          <w:sz w:val="32"/>
          <w:szCs w:val="32"/>
        </w:rPr>
        <w:t>0</w:t>
      </w:r>
      <w:r>
        <w:rPr>
          <w:rFonts w:hint="eastAsia" w:eastAsia="仿宋"/>
          <w:spacing w:val="-2"/>
          <w:sz w:val="32"/>
          <w:szCs w:val="32"/>
          <w:lang w:val="en-US" w:eastAsia="zh-CN"/>
        </w:rPr>
        <w:t>.00</w:t>
      </w:r>
      <w:r>
        <w:rPr>
          <w:rFonts w:hAnsi="仿宋" w:eastAsia="仿宋"/>
          <w:spacing w:val="-2"/>
          <w:sz w:val="32"/>
          <w:szCs w:val="32"/>
        </w:rPr>
        <w:t>万元</w:t>
      </w:r>
      <w:r>
        <w:rPr>
          <w:rFonts w:hint="eastAsia" w:eastAsia="仿宋"/>
          <w:spacing w:val="-2"/>
          <w:sz w:val="32"/>
          <w:szCs w:val="32"/>
          <w:lang w:eastAsia="zh-CN"/>
        </w:rPr>
        <w:t>，</w:t>
      </w:r>
      <w:r>
        <w:rPr>
          <w:rFonts w:hAnsi="仿宋" w:eastAsia="仿宋"/>
          <w:spacing w:val="-2"/>
          <w:sz w:val="32"/>
          <w:szCs w:val="32"/>
        </w:rPr>
        <w:t>公务用车运行维护费</w:t>
      </w:r>
      <w:r>
        <w:rPr>
          <w:rFonts w:hint="eastAsia" w:eastAsia="仿宋"/>
          <w:spacing w:val="-2"/>
          <w:sz w:val="32"/>
          <w:szCs w:val="32"/>
          <w:lang w:val="en-US" w:eastAsia="zh-CN"/>
        </w:rPr>
        <w:t>0.00</w:t>
      </w:r>
      <w:r>
        <w:rPr>
          <w:rFonts w:hAnsi="仿宋" w:eastAsia="仿宋"/>
          <w:spacing w:val="-2"/>
          <w:sz w:val="32"/>
          <w:szCs w:val="32"/>
        </w:rPr>
        <w:t>万元，公务接待费</w:t>
      </w:r>
      <w:r>
        <w:rPr>
          <w:rFonts w:hint="eastAsia" w:eastAsia="仿宋"/>
          <w:spacing w:val="-2"/>
          <w:sz w:val="32"/>
          <w:szCs w:val="32"/>
          <w:lang w:val="en-US" w:eastAsia="zh-CN"/>
        </w:rPr>
        <w:t>0.00</w:t>
      </w:r>
      <w:r>
        <w:rPr>
          <w:rFonts w:hAnsi="仿宋" w:eastAsia="仿宋"/>
          <w:spacing w:val="-2"/>
          <w:sz w:val="32"/>
          <w:szCs w:val="32"/>
        </w:rPr>
        <w:t>万元。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三、政府性基金预算支出情况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textAlignment w:val="auto"/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</w:pP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2023</w:t>
      </w: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年，怀化市幼儿园无政府性基金预算支出。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四、国有资本经营预算支出情况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2023</w:t>
      </w: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年，怀化市幼儿园无国有资本经营预算支出。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五、社会保险基金预算支出情况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2023</w:t>
      </w: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年，怀化市幼儿园无社会保险基金预算支出。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六、部门整体支出绩效情况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（一）综合评价结论</w:t>
      </w:r>
      <w:r>
        <w:rPr>
          <w:rFonts w:hint="default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。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textAlignment w:val="auto"/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</w:pP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根据本次自评情况，</w:t>
      </w: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highlight w:val="none"/>
          <w:lang w:val="en-US" w:eastAsia="zh-CN" w:bidi="ar-SA"/>
        </w:rPr>
        <w:t>我园</w:t>
      </w: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highlight w:val="none"/>
          <w:lang w:val="en-US" w:eastAsia="zh-CN" w:bidi="ar-SA"/>
        </w:rPr>
        <w:t>整</w:t>
      </w: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体支出绩效评价得分为</w:t>
      </w: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100</w:t>
      </w: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分，自评等级为优。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评价指标分析（或综合评价情况）。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Chars="200" w:right="0" w:rightChars="0" w:firstLine="640" w:firstLineChars="200"/>
        <w:textAlignment w:val="auto"/>
        <w:rPr>
          <w:rFonts w:hint="default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  <w:t>.综合评价分析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textAlignment w:val="auto"/>
        <w:rPr>
          <w:rFonts w:hint="eastAsia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  <w:t>绩效目标设定方面：我园严格按照绩效目标制定的相关规定，</w:t>
      </w:r>
      <w:r>
        <w:rPr>
          <w:rFonts w:hint="default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  <w:t>围绕部门职责、行业发展规划</w:t>
      </w:r>
      <w:r>
        <w:rPr>
          <w:rFonts w:hint="eastAsia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  <w:t>，完整、合理地制定整体绩效目标，绩效指标基本做到细化量化。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textAlignment w:val="auto"/>
        <w:rPr>
          <w:rFonts w:hint="default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  <w:t>预算配置方面：我园年度预算与履职目标衔接紧密，预算编制依据充分、数据详实、结构优化、细化可执行。基本支出保障单位正常运转，行使单位职能，完成日常工作。及时对人员、资产等信息进行动态更新工作，确保基础信息数据的及时性、准确性和完整性，确保基本支出预算无缺口。确保重点支出安排，保障财政一体化信息系统、政府采购系统等重点项目任务完成目标。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textAlignment w:val="auto"/>
        <w:rPr>
          <w:rFonts w:hint="eastAsia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  <w:t>预算执行</w:t>
      </w:r>
      <w:r>
        <w:rPr>
          <w:rFonts w:hint="eastAsia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  <w:t>方面：严格执行批复的各项支出预算，不擅自扩大支出范围、提高开支标准，严格按照预算批复的支出用途使用资金。采取有效措施，加快预算执行进度，全年预算执行率达到100%。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textAlignment w:val="auto"/>
        <w:rPr>
          <w:rFonts w:hint="eastAsia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  <w:t>预算管理</w:t>
      </w:r>
      <w:r>
        <w:rPr>
          <w:rFonts w:hint="eastAsia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  <w:t>方面：我园按照预算法要求进行“一上”申报，在“一下”的基础上进行修改进行“二上”申报，形成以单位领导支持、财务部门牵头、其他部门密切配合的工作格局，保证预算编制质量；部门预算经批复后，跟踪预算执行进度，及时组织收入，科学合理安排支出，降低预算支出的波动幅度；严格执行项目支出预算，积极组织项目实施；加强对预算执行过程的控制和结果的反馈，对预算执行差异及时分析成因和影响，并及时向领导和相关科室进行反馈，以采取措施纠正执行偏差，促进预算目标的全面完成。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textAlignment w:val="auto"/>
        <w:rPr>
          <w:rFonts w:hint="eastAsia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  <w:t>资产管理</w:t>
      </w:r>
      <w:r>
        <w:rPr>
          <w:rFonts w:hint="eastAsia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  <w:t>方面：我园严格执行资产配置、使用、处置管理办法，做到购置有预算，实物有专人管理，处置按流程，定期盘点清理资产，掌握固定资产的使用情况，确保设备完好提高利用率。资产账务管理合规、账实相符、处置规范。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textAlignment w:val="auto"/>
        <w:rPr>
          <w:rFonts w:hint="eastAsia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  <w:t>职责履行</w:t>
      </w:r>
      <w:r>
        <w:rPr>
          <w:rFonts w:hint="eastAsia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  <w:t>方面：我园2023年严格落实各项工作，按照市局下达的任务及本单位的目标任务，积极推进了各项工作平稳、有序的开展。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textAlignment w:val="auto"/>
        <w:rPr>
          <w:rFonts w:hint="eastAsia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  <w:t>2.目标完成情况及</w:t>
      </w:r>
      <w:r>
        <w:rPr>
          <w:rFonts w:hint="default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  <w:t>指标分析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textAlignment w:val="auto"/>
        <w:rPr>
          <w:rFonts w:hint="eastAsia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  <w:t>我单位2023</w:t>
      </w:r>
      <w:r>
        <w:rPr>
          <w:rFonts w:hint="eastAsia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  <w:t>年一般公共预算资金总体目标完成较好，具体如下：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textAlignment w:val="auto"/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  <w:t>目标1：维护教学正常运行，带动其他各项工作的开展，提高教师人数及教学质量，强化教学管理，稳定教学秩序；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textAlignment w:val="auto"/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  <w:t>目标2：改善师生们的生活和学习条件，提升学校形象和学校品质，增强师生们的幸福感；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textAlignment w:val="auto"/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  <w:t>目标3：实施德、智、体、美全面发展的教育，促进学前儿童身心的和谐发展；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textAlignment w:val="auto"/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  <w:t>目标4：提升教师教育教学实践能力，推进均衡发展、促进基础教育改革，提高教育质量；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textAlignment w:val="auto"/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  <w:t>目标5：缓解教育机构法律责任压力，积极预防、妥善处理学生事故，保障学生和学校的合法权益，维护正常的教育教学秩序。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textAlignment w:val="auto"/>
        <w:rPr>
          <w:rFonts w:hint="eastAsia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  <w:t>（1）产出指标分析</w:t>
      </w:r>
    </w:p>
    <w:p>
      <w:pPr>
        <w:pStyle w:val="7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00" w:firstLineChars="200"/>
        <w:jc w:val="both"/>
        <w:textAlignment w:val="baseline"/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 xml:space="preserve"> 全年我单位计划招生240人，实际招生339人，招生目标已完成。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全年撰稿教育改革典型经验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篇，分别在省、市级微信平台推广，2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42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篇新闻在省、市级媒介报道，教育宣传工作在市直学校中排名第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四；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全年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en-US"/>
        </w:rPr>
        <w:t>共举办师德讲堂专题讲座3场，集中学习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en-US"/>
        </w:rPr>
        <w:t>次，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青年教师演讲比赛及征文活动获得了全市教育系统一、二等奖的好成绩；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kern w:val="0"/>
          <w:sz w:val="30"/>
          <w:szCs w:val="30"/>
          <w:lang w:val="en-US" w:eastAsia="zh-CN" w:bidi="ar-SA"/>
        </w:rPr>
        <w:t>2023年来聚焦自主游戏、教育评价专题开展大教研活动、集体备课、年级组小组教研共计12次，产出以姚沣桐、王琴、杨小爱、杨丽华等为代表的优秀游戏案例、入学准备案例共计39篇，获省、市级奖项4余人次。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textAlignment w:val="auto"/>
        <w:rPr>
          <w:rFonts w:hint="eastAsia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  <w:t>（2）效益指标分析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textAlignment w:val="auto"/>
        <w:rPr>
          <w:rFonts w:hint="default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  <w:t>进一步深化了园所管理，加强了教师梯队建设，推进了幼儿园教育教学改革，强化了校园文化建设，努力打造有温度有品质的学前教育。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textAlignment w:val="auto"/>
        <w:rPr>
          <w:rFonts w:hint="default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  <w:t>（3）满意度指标分析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满意度指标：家长代表满意度90%以上；教职工满意度90%以上；使用人群满意度90%以上。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七、存在的问题及原因分析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textAlignment w:val="auto"/>
        <w:rPr>
          <w:rFonts w:hint="default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/>
        </w:rPr>
      </w:pP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  <w:t>项目经费预决算差异较大，因部分项目经费在年初未编制预算资金，财政对于部分项目资金能否拨付到位不能给出明确指示，在编制2023年年度决算时，部分项目资金实际已经使用到位但是未编制预算资金。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八、下一步改进措施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textAlignment w:val="auto"/>
        <w:rPr>
          <w:rFonts w:hint="eastAsia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  <w:t>加强预算编制。确定编制标准，统一预决算口径，增强预算编制的科学性。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九、其他需要说明的情况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textAlignment w:val="auto"/>
        <w:rPr>
          <w:rFonts w:hint="eastAsia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  <w:t>无其他需要说明的情况。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default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default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附件：</w:t>
      </w:r>
      <w:r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Fonts w:hint="default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部门整体支出绩效评价基础数据表</w:t>
      </w:r>
      <w:r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1600" w:firstLineChars="500"/>
        <w:jc w:val="left"/>
        <w:textAlignment w:val="auto"/>
        <w:rPr>
          <w:rFonts w:hint="default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2.</w:t>
      </w:r>
      <w:r>
        <w:rPr>
          <w:rFonts w:hint="default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部门整体支出绩效自评表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right="0" w:firstLine="480" w:firstLineChars="200"/>
        <w:jc w:val="both"/>
        <w:textAlignment w:val="auto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  <w:sectPr>
          <w:pgSz w:w="11906" w:h="16838"/>
          <w:pgMar w:top="2098" w:right="1800" w:bottom="1984" w:left="1587" w:header="851" w:footer="992" w:gutter="0"/>
          <w:cols w:space="425" w:num="1"/>
          <w:docGrid w:type="lines" w:linePitch="312" w:charSpace="0"/>
        </w:sectPr>
      </w:pP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附件1-1 </w:t>
      </w:r>
    </w:p>
    <w:p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91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  <w:t>部门整体支出绩效评价基础数据表</w:t>
      </w:r>
    </w:p>
    <w:p>
      <w:pPr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ind w:left="91"/>
        <w:jc w:val="left"/>
        <w:rPr>
          <w:rFonts w:hint="eastAsia" w:eastAsia="仿宋_GB2312"/>
          <w:kern w:val="0"/>
          <w:sz w:val="24"/>
          <w:lang w:val="en-US" w:eastAsia="zh-CN"/>
        </w:rPr>
      </w:pPr>
    </w:p>
    <w:p>
      <w:pPr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ind w:left="91"/>
        <w:jc w:val="left"/>
        <w:rPr>
          <w:rFonts w:hint="default" w:eastAsia="仿宋_GB2312"/>
          <w:kern w:val="0"/>
          <w:sz w:val="24"/>
          <w:lang w:val="en-US" w:eastAsia="zh-CN"/>
        </w:rPr>
      </w:pPr>
      <w:r>
        <w:rPr>
          <w:rFonts w:hint="eastAsia" w:eastAsia="仿宋_GB2312"/>
          <w:kern w:val="0"/>
          <w:sz w:val="24"/>
          <w:lang w:val="en-US" w:eastAsia="zh-CN"/>
        </w:rPr>
        <w:t xml:space="preserve">填报单位：怀化市幼儿园                                        </w:t>
      </w:r>
    </w:p>
    <w:tbl>
      <w:tblPr>
        <w:tblStyle w:val="11"/>
        <w:tblW w:w="94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3"/>
        <w:gridCol w:w="860"/>
        <w:gridCol w:w="1369"/>
        <w:gridCol w:w="609"/>
        <w:gridCol w:w="1359"/>
        <w:gridCol w:w="721"/>
        <w:gridCol w:w="8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83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财政供养人员情况</w:t>
            </w:r>
          </w:p>
        </w:tc>
        <w:tc>
          <w:tcPr>
            <w:tcW w:w="222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编制数</w:t>
            </w:r>
          </w:p>
        </w:tc>
        <w:tc>
          <w:tcPr>
            <w:tcW w:w="196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23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年实际在职人数</w:t>
            </w:r>
          </w:p>
        </w:tc>
        <w:tc>
          <w:tcPr>
            <w:tcW w:w="158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控制率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368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22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　102</w:t>
            </w:r>
          </w:p>
        </w:tc>
        <w:tc>
          <w:tcPr>
            <w:tcW w:w="196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96　</w:t>
            </w:r>
          </w:p>
        </w:tc>
        <w:tc>
          <w:tcPr>
            <w:tcW w:w="158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　94.12%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8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经费控制情况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万元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222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22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年决算数</w:t>
            </w:r>
          </w:p>
        </w:tc>
        <w:tc>
          <w:tcPr>
            <w:tcW w:w="196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23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年预算数</w:t>
            </w:r>
          </w:p>
        </w:tc>
        <w:tc>
          <w:tcPr>
            <w:tcW w:w="158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23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年决算数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3683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三公经费</w:t>
            </w:r>
          </w:p>
        </w:tc>
        <w:tc>
          <w:tcPr>
            <w:tcW w:w="222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196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58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3683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1、公务用车购置和维护经费</w:t>
            </w:r>
          </w:p>
        </w:tc>
        <w:tc>
          <w:tcPr>
            <w:tcW w:w="222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196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158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83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    其中：公车购置</w:t>
            </w:r>
          </w:p>
        </w:tc>
        <w:tc>
          <w:tcPr>
            <w:tcW w:w="222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196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158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83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          公车运行维护</w:t>
            </w:r>
          </w:p>
        </w:tc>
        <w:tc>
          <w:tcPr>
            <w:tcW w:w="222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196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158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83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2、出国经费</w:t>
            </w:r>
          </w:p>
        </w:tc>
        <w:tc>
          <w:tcPr>
            <w:tcW w:w="222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196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158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3683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3、公务接待</w:t>
            </w:r>
          </w:p>
        </w:tc>
        <w:tc>
          <w:tcPr>
            <w:tcW w:w="222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196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158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3683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项目支出：</w:t>
            </w:r>
          </w:p>
        </w:tc>
        <w:tc>
          <w:tcPr>
            <w:tcW w:w="222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1147.17 </w:t>
            </w:r>
          </w:p>
        </w:tc>
        <w:tc>
          <w:tcPr>
            <w:tcW w:w="196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665.52 </w:t>
            </w:r>
          </w:p>
        </w:tc>
        <w:tc>
          <w:tcPr>
            <w:tcW w:w="158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1107.95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83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 1、业务工作经费</w:t>
            </w:r>
          </w:p>
        </w:tc>
        <w:tc>
          <w:tcPr>
            <w:tcW w:w="222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96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158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83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 2、运行维护经费</w:t>
            </w:r>
          </w:p>
        </w:tc>
        <w:tc>
          <w:tcPr>
            <w:tcW w:w="222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96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1584" w:type="dxa"/>
            <w:gridSpan w:val="2"/>
            <w:noWrap w:val="0"/>
            <w:vAlign w:val="center"/>
          </w:tcPr>
          <w:p>
            <w:pPr>
              <w:widowControl/>
              <w:ind w:firstLine="800" w:firstLineChars="400"/>
              <w:jc w:val="both"/>
              <w:rPr>
                <w:rFonts w:hint="eastAsia" w:ascii="Times New Roman" w:hAnsi="Times New Roman" w:eastAsia="仿宋_GB2312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683" w:type="dxa"/>
            <w:noWrap w:val="0"/>
            <w:vAlign w:val="center"/>
          </w:tcPr>
          <w:p>
            <w:pPr>
              <w:widowControl/>
              <w:ind w:firstLine="400" w:firstLineChars="200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3、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市级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专项资金</w:t>
            </w:r>
          </w:p>
          <w:p>
            <w:pPr>
              <w:widowControl/>
              <w:ind w:firstLine="600" w:firstLineChars="300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（一个专项一行）</w:t>
            </w:r>
          </w:p>
        </w:tc>
        <w:tc>
          <w:tcPr>
            <w:tcW w:w="222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96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8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368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人才资源开展专项资金</w:t>
            </w:r>
          </w:p>
        </w:tc>
        <w:tc>
          <w:tcPr>
            <w:tcW w:w="22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9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84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14.99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368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市直临聘教师经费</w:t>
            </w:r>
          </w:p>
        </w:tc>
        <w:tc>
          <w:tcPr>
            <w:tcW w:w="222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71.86 </w:t>
            </w:r>
          </w:p>
        </w:tc>
        <w:tc>
          <w:tcPr>
            <w:tcW w:w="196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8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42.00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368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学前生均公用经费</w:t>
            </w:r>
          </w:p>
        </w:tc>
        <w:tc>
          <w:tcPr>
            <w:tcW w:w="222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51.00 </w:t>
            </w:r>
          </w:p>
        </w:tc>
        <w:tc>
          <w:tcPr>
            <w:tcW w:w="196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8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47.00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368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教育管理支出</w:t>
            </w:r>
          </w:p>
        </w:tc>
        <w:tc>
          <w:tcPr>
            <w:tcW w:w="222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498.75 </w:t>
            </w:r>
          </w:p>
        </w:tc>
        <w:tc>
          <w:tcPr>
            <w:tcW w:w="196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646.00 </w:t>
            </w:r>
          </w:p>
        </w:tc>
        <w:tc>
          <w:tcPr>
            <w:tcW w:w="158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432.61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368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湖天分园建设</w:t>
            </w:r>
          </w:p>
        </w:tc>
        <w:tc>
          <w:tcPr>
            <w:tcW w:w="222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123.42 </w:t>
            </w:r>
          </w:p>
        </w:tc>
        <w:tc>
          <w:tcPr>
            <w:tcW w:w="196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8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155.99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368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启智教学楼一、二楼改造</w:t>
            </w:r>
          </w:p>
        </w:tc>
        <w:tc>
          <w:tcPr>
            <w:tcW w:w="222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115.70 </w:t>
            </w:r>
          </w:p>
        </w:tc>
        <w:tc>
          <w:tcPr>
            <w:tcW w:w="196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8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65.80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368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校方责任险</w:t>
            </w:r>
          </w:p>
        </w:tc>
        <w:tc>
          <w:tcPr>
            <w:tcW w:w="222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1.41 </w:t>
            </w:r>
          </w:p>
        </w:tc>
        <w:tc>
          <w:tcPr>
            <w:tcW w:w="196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>1.41</w:t>
            </w:r>
          </w:p>
        </w:tc>
        <w:tc>
          <w:tcPr>
            <w:tcW w:w="158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1.25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368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围墙拆除重建</w:t>
            </w:r>
          </w:p>
        </w:tc>
        <w:tc>
          <w:tcPr>
            <w:tcW w:w="222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71.01 </w:t>
            </w:r>
          </w:p>
        </w:tc>
        <w:tc>
          <w:tcPr>
            <w:tcW w:w="196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8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20.13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368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临聘教师工资</w:t>
            </w:r>
          </w:p>
        </w:tc>
        <w:tc>
          <w:tcPr>
            <w:tcW w:w="222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23.33 </w:t>
            </w:r>
          </w:p>
        </w:tc>
        <w:tc>
          <w:tcPr>
            <w:tcW w:w="196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8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6.00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368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保安经费</w:t>
            </w:r>
          </w:p>
        </w:tc>
        <w:tc>
          <w:tcPr>
            <w:tcW w:w="222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7.30 </w:t>
            </w:r>
          </w:p>
        </w:tc>
        <w:tc>
          <w:tcPr>
            <w:tcW w:w="196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>18.11</w:t>
            </w:r>
          </w:p>
        </w:tc>
        <w:tc>
          <w:tcPr>
            <w:tcW w:w="158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18.11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68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园内维修及建设</w:t>
            </w:r>
          </w:p>
        </w:tc>
        <w:tc>
          <w:tcPr>
            <w:tcW w:w="22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9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84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55.04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368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支持学前教育发展</w:t>
            </w:r>
          </w:p>
        </w:tc>
        <w:tc>
          <w:tcPr>
            <w:tcW w:w="222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11.97 </w:t>
            </w:r>
          </w:p>
        </w:tc>
        <w:tc>
          <w:tcPr>
            <w:tcW w:w="196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8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235.28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368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2023年第九批基础教育发展专项（基础教育教学改革研究课题）资金</w:t>
            </w:r>
          </w:p>
        </w:tc>
        <w:tc>
          <w:tcPr>
            <w:tcW w:w="22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9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84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1.99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368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市幼儿园户外活动场改造项目</w:t>
            </w:r>
          </w:p>
        </w:tc>
        <w:tc>
          <w:tcPr>
            <w:tcW w:w="222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54.47 </w:t>
            </w:r>
          </w:p>
        </w:tc>
        <w:tc>
          <w:tcPr>
            <w:tcW w:w="196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8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368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教师培训经费</w:t>
            </w:r>
          </w:p>
        </w:tc>
        <w:tc>
          <w:tcPr>
            <w:tcW w:w="222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12.90 </w:t>
            </w:r>
          </w:p>
        </w:tc>
        <w:tc>
          <w:tcPr>
            <w:tcW w:w="196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8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368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2022年12月工资代扣款</w:t>
            </w:r>
          </w:p>
        </w:tc>
        <w:tc>
          <w:tcPr>
            <w:tcW w:w="222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6.72 </w:t>
            </w:r>
          </w:p>
        </w:tc>
        <w:tc>
          <w:tcPr>
            <w:tcW w:w="196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8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368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湖天分园建设进度款89万，工程监理费6万</w:t>
            </w:r>
          </w:p>
        </w:tc>
        <w:tc>
          <w:tcPr>
            <w:tcW w:w="222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95.00 </w:t>
            </w:r>
          </w:p>
        </w:tc>
        <w:tc>
          <w:tcPr>
            <w:tcW w:w="196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8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368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校园足球</w:t>
            </w:r>
          </w:p>
        </w:tc>
        <w:tc>
          <w:tcPr>
            <w:tcW w:w="222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2.00 </w:t>
            </w:r>
          </w:p>
        </w:tc>
        <w:tc>
          <w:tcPr>
            <w:tcW w:w="196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8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368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养老保险缴费补助</w:t>
            </w:r>
          </w:p>
        </w:tc>
        <w:tc>
          <w:tcPr>
            <w:tcW w:w="222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0.33 </w:t>
            </w:r>
          </w:p>
        </w:tc>
        <w:tc>
          <w:tcPr>
            <w:tcW w:w="196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8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368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2023年市直属公办学校教师体检经费</w:t>
            </w:r>
          </w:p>
        </w:tc>
        <w:tc>
          <w:tcPr>
            <w:tcW w:w="22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9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84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5.76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368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怀化市2023年国培计划项目</w:t>
            </w:r>
          </w:p>
        </w:tc>
        <w:tc>
          <w:tcPr>
            <w:tcW w:w="22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9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84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6.00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83" w:type="dxa"/>
            <w:noWrap w:val="0"/>
            <w:vAlign w:val="center"/>
          </w:tcPr>
          <w:p>
            <w:pPr>
              <w:widowControl/>
              <w:ind w:firstLine="400" w:firstLineChars="200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4、其他事业类发展资金</w:t>
            </w:r>
          </w:p>
        </w:tc>
        <w:tc>
          <w:tcPr>
            <w:tcW w:w="222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96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58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368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……</w:t>
            </w:r>
          </w:p>
        </w:tc>
        <w:tc>
          <w:tcPr>
            <w:tcW w:w="222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96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58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83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公用经费</w:t>
            </w:r>
          </w:p>
        </w:tc>
        <w:tc>
          <w:tcPr>
            <w:tcW w:w="222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>16.56</w:t>
            </w:r>
          </w:p>
        </w:tc>
        <w:tc>
          <w:tcPr>
            <w:tcW w:w="196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18.00</w:t>
            </w:r>
          </w:p>
        </w:tc>
        <w:tc>
          <w:tcPr>
            <w:tcW w:w="158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13.56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83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 其中：办公费</w:t>
            </w:r>
          </w:p>
        </w:tc>
        <w:tc>
          <w:tcPr>
            <w:tcW w:w="222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5.98 </w:t>
            </w:r>
          </w:p>
        </w:tc>
        <w:tc>
          <w:tcPr>
            <w:tcW w:w="196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3.00 </w:t>
            </w:r>
          </w:p>
        </w:tc>
        <w:tc>
          <w:tcPr>
            <w:tcW w:w="158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1.56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83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       水费、电费、差旅费</w:t>
            </w:r>
          </w:p>
        </w:tc>
        <w:tc>
          <w:tcPr>
            <w:tcW w:w="222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10.58 </w:t>
            </w:r>
          </w:p>
        </w:tc>
        <w:tc>
          <w:tcPr>
            <w:tcW w:w="196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15.00 </w:t>
            </w:r>
          </w:p>
        </w:tc>
        <w:tc>
          <w:tcPr>
            <w:tcW w:w="158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12.00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3683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       会议费、培训费</w:t>
            </w:r>
          </w:p>
        </w:tc>
        <w:tc>
          <w:tcPr>
            <w:tcW w:w="2229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8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4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83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政府采购金额</w:t>
            </w:r>
          </w:p>
        </w:tc>
        <w:tc>
          <w:tcPr>
            <w:tcW w:w="222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——</w:t>
            </w:r>
          </w:p>
        </w:tc>
        <w:tc>
          <w:tcPr>
            <w:tcW w:w="196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58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323.56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83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部门基本支出预算调整 </w:t>
            </w:r>
          </w:p>
        </w:tc>
        <w:tc>
          <w:tcPr>
            <w:tcW w:w="222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——</w:t>
            </w:r>
          </w:p>
        </w:tc>
        <w:tc>
          <w:tcPr>
            <w:tcW w:w="196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1184.36</w:t>
            </w:r>
          </w:p>
        </w:tc>
        <w:tc>
          <w:tcPr>
            <w:tcW w:w="158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1310.18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3683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楼堂馆所控制情况</w:t>
            </w: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60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批复规模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（㎡）</w:t>
            </w:r>
          </w:p>
        </w:tc>
        <w:tc>
          <w:tcPr>
            <w:tcW w:w="1369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实际规模（㎡）</w:t>
            </w:r>
          </w:p>
        </w:tc>
        <w:tc>
          <w:tcPr>
            <w:tcW w:w="609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规模控制率</w:t>
            </w:r>
          </w:p>
        </w:tc>
        <w:tc>
          <w:tcPr>
            <w:tcW w:w="1359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预算投资（万元）</w:t>
            </w:r>
          </w:p>
        </w:tc>
        <w:tc>
          <w:tcPr>
            <w:tcW w:w="721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实际投资（万元）</w:t>
            </w:r>
          </w:p>
        </w:tc>
        <w:tc>
          <w:tcPr>
            <w:tcW w:w="863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投资概算控制率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368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369" w:type="dxa"/>
            <w:noWrap w:val="0"/>
            <w:vAlign w:val="center"/>
          </w:tcPr>
          <w:p>
            <w:pPr>
              <w:widowControl/>
              <w:ind w:firstLine="200" w:firstLineChars="10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3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2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3" w:type="dxa"/>
            <w:noWrap w:val="0"/>
            <w:vAlign w:val="center"/>
          </w:tcPr>
          <w:p>
            <w:pPr>
              <w:widowControl/>
              <w:ind w:firstLine="200" w:firstLineChars="10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368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厉行节约保障措施</w:t>
            </w:r>
          </w:p>
        </w:tc>
        <w:tc>
          <w:tcPr>
            <w:tcW w:w="5781" w:type="dxa"/>
            <w:gridSpan w:val="6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加强资金管理，严控办公费、水电费、差旅费等支出。　</w:t>
            </w:r>
          </w:p>
        </w:tc>
      </w:tr>
    </w:tbl>
    <w:p>
      <w:pPr>
        <w:pStyle w:val="1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</w:pPr>
      <w:r>
        <w:rPr>
          <w:rFonts w:eastAsia="仿宋_GB2312"/>
          <w:kern w:val="0"/>
          <w:sz w:val="22"/>
        </w:rPr>
        <w:t>说明：“项目支出”需要填报基本支出以外的所有项目支出情况，“公用经费”填报基本支出中的一般商品和服务支出。</w:t>
      </w:r>
    </w:p>
    <w:p>
      <w:pPr>
        <w:widowControl w:val="0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  <w:sectPr>
          <w:pgSz w:w="11906" w:h="16838"/>
          <w:pgMar w:top="2098" w:right="1800" w:bottom="1984" w:left="1587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常娟     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2024.6.21 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联系电话：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15096286278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附件1-2</w:t>
      </w:r>
    </w:p>
    <w:p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91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  <w:t>整体支出绩效自评表</w:t>
      </w:r>
    </w:p>
    <w:tbl>
      <w:tblPr>
        <w:tblStyle w:val="11"/>
        <w:tblW w:w="104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6"/>
        <w:gridCol w:w="1138"/>
        <w:gridCol w:w="1182"/>
        <w:gridCol w:w="1028"/>
        <w:gridCol w:w="1088"/>
        <w:gridCol w:w="1604"/>
        <w:gridCol w:w="988"/>
        <w:gridCol w:w="909"/>
        <w:gridCol w:w="1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预算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9195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怀化市幼儿园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26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年度预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算申请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（万元）</w:t>
            </w:r>
          </w:p>
        </w:tc>
        <w:tc>
          <w:tcPr>
            <w:tcW w:w="23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0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预算数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全年预算数</w:t>
            </w:r>
          </w:p>
        </w:tc>
        <w:tc>
          <w:tcPr>
            <w:tcW w:w="16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执行数</w:t>
            </w:r>
          </w:p>
        </w:tc>
        <w:tc>
          <w:tcPr>
            <w:tcW w:w="9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分值</w:t>
            </w:r>
          </w:p>
        </w:tc>
        <w:tc>
          <w:tcPr>
            <w:tcW w:w="9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执行率</w:t>
            </w: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12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年度资金总额</w:t>
            </w:r>
          </w:p>
        </w:tc>
        <w:tc>
          <w:tcPr>
            <w:tcW w:w="10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1849.88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2418.13</w:t>
            </w:r>
          </w:p>
        </w:tc>
        <w:tc>
          <w:tcPr>
            <w:tcW w:w="16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2418.13</w:t>
            </w:r>
          </w:p>
        </w:tc>
        <w:tc>
          <w:tcPr>
            <w:tcW w:w="9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10</w:t>
            </w:r>
          </w:p>
        </w:tc>
        <w:tc>
          <w:tcPr>
            <w:tcW w:w="9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12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43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按收入性质分：</w:t>
            </w:r>
          </w:p>
        </w:tc>
        <w:tc>
          <w:tcPr>
            <w:tcW w:w="475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按支出性质分：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12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43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 xml:space="preserve">  其中：  一般公共预算：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2418.13</w:t>
            </w:r>
          </w:p>
        </w:tc>
        <w:tc>
          <w:tcPr>
            <w:tcW w:w="475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其中：基本支出：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1310.18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12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43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880" w:firstLineChars="4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政府性基金拨款：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475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60" w:firstLineChars="300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项目支出：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1107.95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12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43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纳入专户管理的非税收入拨款：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475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2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43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540" w:firstLineChars="7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其他资金：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475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26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年度总体目标</w:t>
            </w:r>
          </w:p>
        </w:tc>
        <w:tc>
          <w:tcPr>
            <w:tcW w:w="443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预期目标</w:t>
            </w:r>
          </w:p>
        </w:tc>
        <w:tc>
          <w:tcPr>
            <w:tcW w:w="475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实际完成情况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2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43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eastAsia="zh-CN"/>
              </w:rPr>
              <w:t>以习近平新时代中国特色社会主义思想为指导，根据怀化市教育局2023年工作要点和本园工作实际，立足新发展阶段、贯彻新发展 理念，全面贯彻党的教育方针，落实立德树人根本任务。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eastAsia="zh-CN"/>
              </w:rPr>
              <w:t>通过“文化 育园、管理强园、特色兴园、质量促园”，创新构建园所发展新格局， 推进学前教育新发展，着力打造办园特色鲜明、师资队伍优良、管理机制科学、保教质量一流、育人环境优质、幼儿发展全面的高品质幼儿园.</w:t>
            </w:r>
          </w:p>
        </w:tc>
        <w:tc>
          <w:tcPr>
            <w:tcW w:w="4759" w:type="dxa"/>
            <w:gridSpan w:val="4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right="0" w:firstLine="440" w:firstLineChars="200"/>
              <w:textAlignment w:val="auto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目标1：维护教学正常运行，带动其他各项工作的开展，提高教师人数及教学质量，强化教学管理，稳定教学秩序；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right="0" w:firstLine="440" w:firstLineChars="200"/>
              <w:textAlignment w:val="auto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目标2：改善师生们的生活和学习条件，提升学校形象和学校品质，增强师生们的幸福感；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right="0" w:firstLine="440" w:firstLineChars="200"/>
              <w:textAlignment w:val="auto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目标3：实施德、智、体、美全面发展的教育，促进学前儿童身心的和谐发展；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right="0" w:firstLine="440" w:firstLineChars="200"/>
              <w:textAlignment w:val="auto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目标4：提升教师教育教学实践能力，推进均衡发展、促进基础教育改革，提高教育质量；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right="0" w:firstLine="440" w:firstLineChars="200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目标5：缓解教育机构法律责任压力，积极预防、妥善处理学生事故，保障学生和学校的合法权益，维护正常的教育教学秩序。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26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标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一级指标</w:t>
            </w:r>
          </w:p>
        </w:tc>
        <w:tc>
          <w:tcPr>
            <w:tcW w:w="1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二级指标</w:t>
            </w:r>
          </w:p>
        </w:tc>
        <w:tc>
          <w:tcPr>
            <w:tcW w:w="10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三级指标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指标值</w:t>
            </w:r>
          </w:p>
        </w:tc>
        <w:tc>
          <w:tcPr>
            <w:tcW w:w="16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完成值</w:t>
            </w:r>
          </w:p>
        </w:tc>
        <w:tc>
          <w:tcPr>
            <w:tcW w:w="9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分值</w:t>
            </w:r>
          </w:p>
        </w:tc>
        <w:tc>
          <w:tcPr>
            <w:tcW w:w="9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得分</w:t>
            </w:r>
          </w:p>
        </w:tc>
        <w:tc>
          <w:tcPr>
            <w:tcW w:w="12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偏差原因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分析及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12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产出指标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0分)</w:t>
            </w:r>
          </w:p>
        </w:tc>
        <w:tc>
          <w:tcPr>
            <w:tcW w:w="1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指标</w:t>
            </w:r>
          </w:p>
        </w:tc>
        <w:tc>
          <w:tcPr>
            <w:tcW w:w="10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学生人数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240</w:t>
            </w:r>
          </w:p>
        </w:tc>
        <w:tc>
          <w:tcPr>
            <w:tcW w:w="16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339</w:t>
            </w:r>
          </w:p>
        </w:tc>
        <w:tc>
          <w:tcPr>
            <w:tcW w:w="9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9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2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质量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指标</w:t>
            </w:r>
          </w:p>
        </w:tc>
        <w:tc>
          <w:tcPr>
            <w:tcW w:w="10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完成达标率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16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9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9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2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时效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指标</w:t>
            </w:r>
          </w:p>
        </w:tc>
        <w:tc>
          <w:tcPr>
            <w:tcW w:w="10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完成及时率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2023年12月之前完成</w:t>
            </w:r>
          </w:p>
        </w:tc>
        <w:tc>
          <w:tcPr>
            <w:tcW w:w="16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2023年12月31日之前完成</w:t>
            </w:r>
          </w:p>
        </w:tc>
        <w:tc>
          <w:tcPr>
            <w:tcW w:w="9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9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12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经济成本指标</w:t>
            </w:r>
          </w:p>
        </w:tc>
        <w:tc>
          <w:tcPr>
            <w:tcW w:w="10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成本控制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≤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2418.13万元</w:t>
            </w:r>
          </w:p>
        </w:tc>
        <w:tc>
          <w:tcPr>
            <w:tcW w:w="16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2418.13万元</w:t>
            </w:r>
          </w:p>
        </w:tc>
        <w:tc>
          <w:tcPr>
            <w:tcW w:w="9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9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2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分）</w:t>
            </w:r>
          </w:p>
        </w:tc>
        <w:tc>
          <w:tcPr>
            <w:tcW w:w="1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益指标</w:t>
            </w:r>
          </w:p>
        </w:tc>
        <w:tc>
          <w:tcPr>
            <w:tcW w:w="10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6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9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2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益指标</w:t>
            </w:r>
          </w:p>
        </w:tc>
        <w:tc>
          <w:tcPr>
            <w:tcW w:w="10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eastAsia="zh-CN"/>
              </w:rPr>
              <w:t>增加社会认可度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效果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明显</w:t>
            </w:r>
          </w:p>
        </w:tc>
        <w:tc>
          <w:tcPr>
            <w:tcW w:w="16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效果明显</w:t>
            </w:r>
          </w:p>
        </w:tc>
        <w:tc>
          <w:tcPr>
            <w:tcW w:w="9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20</w:t>
            </w:r>
          </w:p>
        </w:tc>
        <w:tc>
          <w:tcPr>
            <w:tcW w:w="9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20</w:t>
            </w: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2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益指标</w:t>
            </w:r>
          </w:p>
        </w:tc>
        <w:tc>
          <w:tcPr>
            <w:tcW w:w="10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6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9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2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可持续影响指标</w:t>
            </w:r>
          </w:p>
        </w:tc>
        <w:tc>
          <w:tcPr>
            <w:tcW w:w="10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可持续影响情况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效果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明显</w:t>
            </w:r>
          </w:p>
        </w:tc>
        <w:tc>
          <w:tcPr>
            <w:tcW w:w="16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效果明显</w:t>
            </w:r>
          </w:p>
        </w:tc>
        <w:tc>
          <w:tcPr>
            <w:tcW w:w="9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20</w:t>
            </w:r>
          </w:p>
        </w:tc>
        <w:tc>
          <w:tcPr>
            <w:tcW w:w="9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20</w:t>
            </w: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12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（10分）</w:t>
            </w:r>
          </w:p>
        </w:tc>
        <w:tc>
          <w:tcPr>
            <w:tcW w:w="1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服务对象满意度指标</w:t>
            </w:r>
          </w:p>
        </w:tc>
        <w:tc>
          <w:tcPr>
            <w:tcW w:w="10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使用人员满意度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90%</w:t>
            </w:r>
          </w:p>
        </w:tc>
        <w:tc>
          <w:tcPr>
            <w:tcW w:w="16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90%</w:t>
            </w:r>
          </w:p>
        </w:tc>
        <w:tc>
          <w:tcPr>
            <w:tcW w:w="9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9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7306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总分</w:t>
            </w:r>
          </w:p>
        </w:tc>
        <w:tc>
          <w:tcPr>
            <w:tcW w:w="9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9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100</w:t>
            </w: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pPr>
        <w:widowControl w:val="0"/>
        <w:kinsoku/>
        <w:autoSpaceDE/>
        <w:autoSpaceDN/>
        <w:adjustRightInd/>
        <w:snapToGrid/>
        <w:spacing w:line="600" w:lineRule="exact"/>
        <w:jc w:val="both"/>
        <w:textAlignment w:val="auto"/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常娟     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2024.6.21 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联系电话：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15096286278</w:t>
      </w:r>
    </w:p>
    <w:sectPr>
      <w:footerReference r:id="rId3" w:type="default"/>
      <w:pgSz w:w="11906" w:h="16838"/>
      <w:pgMar w:top="2098" w:right="1800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D731732-070F-43E6-87BC-CA242DA0B55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1303EE89-5E5F-46EF-A1D9-BEDEAEF1548E}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楷体_GB2312">
    <w:panose1 w:val="02010609030101010101"/>
    <w:charset w:val="86"/>
    <w:family w:val="auto"/>
    <w:pitch w:val="default"/>
    <w:sig w:usb0="00000000" w:usb1="00000000" w:usb2="00000000" w:usb3="00000000" w:csb0="00000000" w:csb1="00000000"/>
    <w:embedRegular r:id="rId3" w:fontKey="{8D445878-28D4-49E8-A236-A553467EDB20}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77A679A1-0C57-4407-A22A-95F5B57E34E1}"/>
  </w:font>
  <w:font w:name="仿宋_GB2312">
    <w:panose1 w:val="02010609030101010101"/>
    <w:charset w:val="86"/>
    <w:family w:val="auto"/>
    <w:pitch w:val="default"/>
    <w:sig w:usb0="00000000" w:usb1="00000000" w:usb2="00000000" w:usb3="00000000" w:csb0="00000000" w:csb1="00000000"/>
    <w:embedRegular r:id="rId5" w:fontKey="{B58AE19D-6A7F-4E90-92E2-F47FCEC5E2C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53F54875-FBD6-4A85-A3D2-F60269AF5E29}"/>
  </w:font>
  <w:font w:name="方正小标宋_GBK">
    <w:panose1 w:val="03000509000000000000"/>
    <w:charset w:val="86"/>
    <w:family w:val="auto"/>
    <w:pitch w:val="default"/>
    <w:sig w:usb0="00000000" w:usb1="00000000" w:usb2="00000000" w:usb3="00000000" w:csb0="00000000" w:csb1="00000000"/>
    <w:embedRegular r:id="rId7" w:fontKey="{B213CA25-82F4-47C6-9D47-605EB5635715}"/>
  </w:font>
  <w:font w:name="方正小标宋简体">
    <w:panose1 w:val="02000000000000000000"/>
    <w:charset w:val="86"/>
    <w:family w:val="auto"/>
    <w:pitch w:val="default"/>
    <w:sig w:usb0="00000000" w:usb1="00000000" w:usb2="00000000" w:usb3="00000000" w:csb0="00000000" w:csb1="00000000"/>
    <w:embedRegular r:id="rId8" w:fontKey="{D22442A2-8281-43E0-9183-7B2A1B2C68BE}"/>
  </w:font>
  <w:font w:name="方正仿宋_GB2312">
    <w:panose1 w:val="02000000000000000000"/>
    <w:charset w:val="86"/>
    <w:family w:val="auto"/>
    <w:pitch w:val="default"/>
    <w:sig w:usb0="00000000" w:usb1="00000000" w:usb2="00000000" w:usb3="00000000" w:csb0="00000000" w:csb1="00000000"/>
    <w:embedRegular r:id="rId9" w:fontKey="{E1C78C4E-5D9A-42CE-A658-7A22757EF72F}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5E8B2F"/>
    <w:multiLevelType w:val="singleLevel"/>
    <w:tmpl w:val="475E8B2F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5DFD4F43"/>
    <w:multiLevelType w:val="singleLevel"/>
    <w:tmpl w:val="5DFD4F4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0YzhjNGZhNDA5ZjhlZmU4ZDliNzM1ODI3ZTliMTQifQ=="/>
    <w:docVar w:name="KSO_WPS_MARK_KEY" w:val="9920a277-c0c3-43b4-93d3-1636fe398e0b"/>
  </w:docVars>
  <w:rsids>
    <w:rsidRoot w:val="753C4E9B"/>
    <w:rsid w:val="00C72F31"/>
    <w:rsid w:val="01167E91"/>
    <w:rsid w:val="011836DF"/>
    <w:rsid w:val="01397268"/>
    <w:rsid w:val="016F0A91"/>
    <w:rsid w:val="0235485F"/>
    <w:rsid w:val="025753B4"/>
    <w:rsid w:val="02B50726"/>
    <w:rsid w:val="02F94AB6"/>
    <w:rsid w:val="0351634D"/>
    <w:rsid w:val="04427E48"/>
    <w:rsid w:val="04BC223F"/>
    <w:rsid w:val="04BD38C2"/>
    <w:rsid w:val="04D24C0B"/>
    <w:rsid w:val="050E236F"/>
    <w:rsid w:val="05E95AA6"/>
    <w:rsid w:val="062F259D"/>
    <w:rsid w:val="06DE46EF"/>
    <w:rsid w:val="06F07F7E"/>
    <w:rsid w:val="070103DE"/>
    <w:rsid w:val="077A1F3E"/>
    <w:rsid w:val="07D65CF5"/>
    <w:rsid w:val="08002443"/>
    <w:rsid w:val="086F61FB"/>
    <w:rsid w:val="08F63846"/>
    <w:rsid w:val="09343148"/>
    <w:rsid w:val="0966277A"/>
    <w:rsid w:val="099A4B20"/>
    <w:rsid w:val="09EF6C13"/>
    <w:rsid w:val="0A4A214A"/>
    <w:rsid w:val="0A544CC8"/>
    <w:rsid w:val="0ABB1D81"/>
    <w:rsid w:val="0B354AFA"/>
    <w:rsid w:val="0B494101"/>
    <w:rsid w:val="0B9C7E9D"/>
    <w:rsid w:val="0C180A78"/>
    <w:rsid w:val="0C865510"/>
    <w:rsid w:val="0C866462"/>
    <w:rsid w:val="0D276746"/>
    <w:rsid w:val="0D464D9C"/>
    <w:rsid w:val="0DD52794"/>
    <w:rsid w:val="0E0802A4"/>
    <w:rsid w:val="0E1A1D85"/>
    <w:rsid w:val="0E682AF0"/>
    <w:rsid w:val="0E901F2E"/>
    <w:rsid w:val="0E956870"/>
    <w:rsid w:val="0F046CBD"/>
    <w:rsid w:val="0F375C60"/>
    <w:rsid w:val="0FBC7FDB"/>
    <w:rsid w:val="0FEF05C9"/>
    <w:rsid w:val="104B4477"/>
    <w:rsid w:val="10A5627E"/>
    <w:rsid w:val="10C666A5"/>
    <w:rsid w:val="10CC295C"/>
    <w:rsid w:val="11D54941"/>
    <w:rsid w:val="1223366A"/>
    <w:rsid w:val="13130CED"/>
    <w:rsid w:val="137B54A2"/>
    <w:rsid w:val="13C70FDF"/>
    <w:rsid w:val="143376FC"/>
    <w:rsid w:val="143877FD"/>
    <w:rsid w:val="144A0E41"/>
    <w:rsid w:val="14627FE2"/>
    <w:rsid w:val="14684D72"/>
    <w:rsid w:val="146E3362"/>
    <w:rsid w:val="14D1567E"/>
    <w:rsid w:val="15932B49"/>
    <w:rsid w:val="15B33A1A"/>
    <w:rsid w:val="16092E0B"/>
    <w:rsid w:val="163774FD"/>
    <w:rsid w:val="164A48DC"/>
    <w:rsid w:val="164A7C92"/>
    <w:rsid w:val="167F2422"/>
    <w:rsid w:val="16C70C27"/>
    <w:rsid w:val="172C3102"/>
    <w:rsid w:val="172C5003"/>
    <w:rsid w:val="17325B3B"/>
    <w:rsid w:val="17822E75"/>
    <w:rsid w:val="17895568"/>
    <w:rsid w:val="179C1EA6"/>
    <w:rsid w:val="17BA28E8"/>
    <w:rsid w:val="18015730"/>
    <w:rsid w:val="1853688F"/>
    <w:rsid w:val="19067AD5"/>
    <w:rsid w:val="196A15F4"/>
    <w:rsid w:val="19CF14B2"/>
    <w:rsid w:val="19E805B2"/>
    <w:rsid w:val="1A2579BD"/>
    <w:rsid w:val="1A571FF0"/>
    <w:rsid w:val="1AC85C22"/>
    <w:rsid w:val="1AFB7A12"/>
    <w:rsid w:val="1B8857E1"/>
    <w:rsid w:val="1BDD4B1E"/>
    <w:rsid w:val="1D4D529C"/>
    <w:rsid w:val="1D9C6312"/>
    <w:rsid w:val="1DC65DCF"/>
    <w:rsid w:val="1E8A6AB3"/>
    <w:rsid w:val="1EB53B30"/>
    <w:rsid w:val="1EC024D4"/>
    <w:rsid w:val="202C654D"/>
    <w:rsid w:val="20304BC9"/>
    <w:rsid w:val="208A2D9A"/>
    <w:rsid w:val="209A2616"/>
    <w:rsid w:val="210F3862"/>
    <w:rsid w:val="2152200F"/>
    <w:rsid w:val="216655B5"/>
    <w:rsid w:val="21BE719F"/>
    <w:rsid w:val="21C83B7A"/>
    <w:rsid w:val="21FF68EE"/>
    <w:rsid w:val="223A6F37"/>
    <w:rsid w:val="22E20C6B"/>
    <w:rsid w:val="22F85392"/>
    <w:rsid w:val="22FE234B"/>
    <w:rsid w:val="23134958"/>
    <w:rsid w:val="233F60BE"/>
    <w:rsid w:val="23503E27"/>
    <w:rsid w:val="2449080F"/>
    <w:rsid w:val="248A15BB"/>
    <w:rsid w:val="248C70E1"/>
    <w:rsid w:val="249A74E6"/>
    <w:rsid w:val="24B82E03"/>
    <w:rsid w:val="25001C88"/>
    <w:rsid w:val="253A4D8F"/>
    <w:rsid w:val="25F97056"/>
    <w:rsid w:val="260353E2"/>
    <w:rsid w:val="26770CD5"/>
    <w:rsid w:val="26ED3506"/>
    <w:rsid w:val="273C68C9"/>
    <w:rsid w:val="277E6F02"/>
    <w:rsid w:val="278E4B16"/>
    <w:rsid w:val="27DC53C9"/>
    <w:rsid w:val="280E2503"/>
    <w:rsid w:val="281A7810"/>
    <w:rsid w:val="287533B6"/>
    <w:rsid w:val="28DC5CDF"/>
    <w:rsid w:val="29267DB1"/>
    <w:rsid w:val="29693E94"/>
    <w:rsid w:val="29990575"/>
    <w:rsid w:val="29A242BD"/>
    <w:rsid w:val="2AB56C65"/>
    <w:rsid w:val="2AF6742D"/>
    <w:rsid w:val="2BD001FB"/>
    <w:rsid w:val="2BDB036B"/>
    <w:rsid w:val="2C1005F7"/>
    <w:rsid w:val="2C1B6325"/>
    <w:rsid w:val="2C7B11D7"/>
    <w:rsid w:val="2C7D3707"/>
    <w:rsid w:val="2CAD22EA"/>
    <w:rsid w:val="2D0668E8"/>
    <w:rsid w:val="2D2C1A6C"/>
    <w:rsid w:val="2D6B00E4"/>
    <w:rsid w:val="2D6D1A79"/>
    <w:rsid w:val="2D9B65E7"/>
    <w:rsid w:val="2E170C55"/>
    <w:rsid w:val="2E33325B"/>
    <w:rsid w:val="2E833798"/>
    <w:rsid w:val="2F627BA0"/>
    <w:rsid w:val="2F672A82"/>
    <w:rsid w:val="2FB05C28"/>
    <w:rsid w:val="2FF67AD2"/>
    <w:rsid w:val="301937F3"/>
    <w:rsid w:val="303B14E9"/>
    <w:rsid w:val="30C923C0"/>
    <w:rsid w:val="312A2265"/>
    <w:rsid w:val="31314381"/>
    <w:rsid w:val="31563657"/>
    <w:rsid w:val="317A0D09"/>
    <w:rsid w:val="317B29B7"/>
    <w:rsid w:val="31F369F1"/>
    <w:rsid w:val="322A618B"/>
    <w:rsid w:val="32827D75"/>
    <w:rsid w:val="329A50BF"/>
    <w:rsid w:val="32CB44BC"/>
    <w:rsid w:val="349A75F8"/>
    <w:rsid w:val="34C6367C"/>
    <w:rsid w:val="35557589"/>
    <w:rsid w:val="35DE4B7D"/>
    <w:rsid w:val="363F08F6"/>
    <w:rsid w:val="36C721FA"/>
    <w:rsid w:val="36E0150E"/>
    <w:rsid w:val="36FC0F5D"/>
    <w:rsid w:val="375773F8"/>
    <w:rsid w:val="37887C43"/>
    <w:rsid w:val="37C91FA2"/>
    <w:rsid w:val="381A45AC"/>
    <w:rsid w:val="381D198B"/>
    <w:rsid w:val="384C6E5B"/>
    <w:rsid w:val="393E32BB"/>
    <w:rsid w:val="39D011BE"/>
    <w:rsid w:val="39DC7D6B"/>
    <w:rsid w:val="3A32355C"/>
    <w:rsid w:val="3B2E2848"/>
    <w:rsid w:val="3B563B4D"/>
    <w:rsid w:val="3BBA232E"/>
    <w:rsid w:val="3BFD221A"/>
    <w:rsid w:val="3CFC1059"/>
    <w:rsid w:val="3D2832C7"/>
    <w:rsid w:val="3DFC4E7F"/>
    <w:rsid w:val="3E304B29"/>
    <w:rsid w:val="3E933797"/>
    <w:rsid w:val="3EB07A18"/>
    <w:rsid w:val="3EE01EF6"/>
    <w:rsid w:val="3F213B83"/>
    <w:rsid w:val="3F9A4950"/>
    <w:rsid w:val="3FAE09D4"/>
    <w:rsid w:val="3FFB2F15"/>
    <w:rsid w:val="400927F9"/>
    <w:rsid w:val="403778A0"/>
    <w:rsid w:val="40803949"/>
    <w:rsid w:val="40A25DB9"/>
    <w:rsid w:val="419B2857"/>
    <w:rsid w:val="41BB2703"/>
    <w:rsid w:val="41D71DA8"/>
    <w:rsid w:val="41FE2E91"/>
    <w:rsid w:val="42010CB6"/>
    <w:rsid w:val="42116A20"/>
    <w:rsid w:val="425B7C9B"/>
    <w:rsid w:val="430F2F5F"/>
    <w:rsid w:val="431D08A0"/>
    <w:rsid w:val="43277660"/>
    <w:rsid w:val="43B41D58"/>
    <w:rsid w:val="44483FC9"/>
    <w:rsid w:val="44794B28"/>
    <w:rsid w:val="451F2CF6"/>
    <w:rsid w:val="454E7AFD"/>
    <w:rsid w:val="45CA7611"/>
    <w:rsid w:val="461E76C2"/>
    <w:rsid w:val="465C1DBC"/>
    <w:rsid w:val="46C12894"/>
    <w:rsid w:val="46FD57C4"/>
    <w:rsid w:val="47072862"/>
    <w:rsid w:val="471824FE"/>
    <w:rsid w:val="477D2059"/>
    <w:rsid w:val="47AE09F4"/>
    <w:rsid w:val="47C562E2"/>
    <w:rsid w:val="47F347D5"/>
    <w:rsid w:val="4842490A"/>
    <w:rsid w:val="48A203D1"/>
    <w:rsid w:val="48F6071D"/>
    <w:rsid w:val="48FA1FBB"/>
    <w:rsid w:val="498B036C"/>
    <w:rsid w:val="4A965D14"/>
    <w:rsid w:val="4A9C3B5F"/>
    <w:rsid w:val="4AD90703"/>
    <w:rsid w:val="4AFB4BFA"/>
    <w:rsid w:val="4B1067E7"/>
    <w:rsid w:val="4B596327"/>
    <w:rsid w:val="4B97335A"/>
    <w:rsid w:val="4B9E1324"/>
    <w:rsid w:val="4BB80941"/>
    <w:rsid w:val="4BC0087F"/>
    <w:rsid w:val="4BED5E07"/>
    <w:rsid w:val="4C373527"/>
    <w:rsid w:val="4C416CDA"/>
    <w:rsid w:val="4C6611ED"/>
    <w:rsid w:val="4CAE37E9"/>
    <w:rsid w:val="4CB12877"/>
    <w:rsid w:val="4CFD207A"/>
    <w:rsid w:val="4D5C2160"/>
    <w:rsid w:val="4D5F0F87"/>
    <w:rsid w:val="4DD85F3F"/>
    <w:rsid w:val="4E4168DE"/>
    <w:rsid w:val="4ED1128E"/>
    <w:rsid w:val="4F12468F"/>
    <w:rsid w:val="4F3B69D2"/>
    <w:rsid w:val="4FF9731B"/>
    <w:rsid w:val="5030736A"/>
    <w:rsid w:val="504216E2"/>
    <w:rsid w:val="50494669"/>
    <w:rsid w:val="50C8299F"/>
    <w:rsid w:val="50C86E43"/>
    <w:rsid w:val="50ED0CAF"/>
    <w:rsid w:val="511D6E11"/>
    <w:rsid w:val="513F1D46"/>
    <w:rsid w:val="51F87992"/>
    <w:rsid w:val="52CC2C1B"/>
    <w:rsid w:val="53234805"/>
    <w:rsid w:val="5364007F"/>
    <w:rsid w:val="539437CB"/>
    <w:rsid w:val="53DB0C3B"/>
    <w:rsid w:val="53FB3A8B"/>
    <w:rsid w:val="5418050D"/>
    <w:rsid w:val="5511309A"/>
    <w:rsid w:val="552A0475"/>
    <w:rsid w:val="554151EF"/>
    <w:rsid w:val="55790346"/>
    <w:rsid w:val="55C23E61"/>
    <w:rsid w:val="55DF4A13"/>
    <w:rsid w:val="56255EEE"/>
    <w:rsid w:val="56AB64F1"/>
    <w:rsid w:val="57017A49"/>
    <w:rsid w:val="57364B06"/>
    <w:rsid w:val="578D10CB"/>
    <w:rsid w:val="579A58D0"/>
    <w:rsid w:val="579B4515"/>
    <w:rsid w:val="579D06E5"/>
    <w:rsid w:val="57F4175C"/>
    <w:rsid w:val="583D0117"/>
    <w:rsid w:val="5862780C"/>
    <w:rsid w:val="59316372"/>
    <w:rsid w:val="593E798F"/>
    <w:rsid w:val="59D554AC"/>
    <w:rsid w:val="59FD2B0D"/>
    <w:rsid w:val="5A5915AC"/>
    <w:rsid w:val="5AF076C2"/>
    <w:rsid w:val="5B0373F5"/>
    <w:rsid w:val="5B9C5154"/>
    <w:rsid w:val="5C6F3AF9"/>
    <w:rsid w:val="5CEC1ED3"/>
    <w:rsid w:val="5CF30AA7"/>
    <w:rsid w:val="5D4001E7"/>
    <w:rsid w:val="5D931564"/>
    <w:rsid w:val="5DFC2ECA"/>
    <w:rsid w:val="5E9809FB"/>
    <w:rsid w:val="5F7F2DC3"/>
    <w:rsid w:val="5F8E5E6F"/>
    <w:rsid w:val="60492E5C"/>
    <w:rsid w:val="6062696C"/>
    <w:rsid w:val="6101629A"/>
    <w:rsid w:val="612E4AA0"/>
    <w:rsid w:val="613329D2"/>
    <w:rsid w:val="617701F5"/>
    <w:rsid w:val="6203186D"/>
    <w:rsid w:val="620F3A34"/>
    <w:rsid w:val="62C46794"/>
    <w:rsid w:val="62C76F5B"/>
    <w:rsid w:val="63162DE7"/>
    <w:rsid w:val="646C6708"/>
    <w:rsid w:val="64D76671"/>
    <w:rsid w:val="64DE2C1C"/>
    <w:rsid w:val="64FE2DE3"/>
    <w:rsid w:val="65516FAF"/>
    <w:rsid w:val="656211BC"/>
    <w:rsid w:val="659F2751"/>
    <w:rsid w:val="65D30FE5"/>
    <w:rsid w:val="65E3668A"/>
    <w:rsid w:val="66B127A6"/>
    <w:rsid w:val="66B5671E"/>
    <w:rsid w:val="66EE21D5"/>
    <w:rsid w:val="672C45D9"/>
    <w:rsid w:val="6751773B"/>
    <w:rsid w:val="677D4E21"/>
    <w:rsid w:val="682415D2"/>
    <w:rsid w:val="68752FB5"/>
    <w:rsid w:val="689F3308"/>
    <w:rsid w:val="68EC77F7"/>
    <w:rsid w:val="693F5B18"/>
    <w:rsid w:val="69586F84"/>
    <w:rsid w:val="6A12486A"/>
    <w:rsid w:val="6A204C72"/>
    <w:rsid w:val="6A406EA3"/>
    <w:rsid w:val="6A674B7F"/>
    <w:rsid w:val="6A7774B8"/>
    <w:rsid w:val="6AAE478F"/>
    <w:rsid w:val="6AB9362D"/>
    <w:rsid w:val="6AED4E26"/>
    <w:rsid w:val="6AEF34F2"/>
    <w:rsid w:val="6B7E4876"/>
    <w:rsid w:val="6BD60FEE"/>
    <w:rsid w:val="6C270A6A"/>
    <w:rsid w:val="6C467142"/>
    <w:rsid w:val="6C7158B2"/>
    <w:rsid w:val="6CBF0CA2"/>
    <w:rsid w:val="6CD82B32"/>
    <w:rsid w:val="6D050DAB"/>
    <w:rsid w:val="6E4476B1"/>
    <w:rsid w:val="6E8B3532"/>
    <w:rsid w:val="6E8D4F21"/>
    <w:rsid w:val="6ECE1671"/>
    <w:rsid w:val="6F6005ED"/>
    <w:rsid w:val="6F6D2C38"/>
    <w:rsid w:val="6FE81B9E"/>
    <w:rsid w:val="7015751C"/>
    <w:rsid w:val="715A71B7"/>
    <w:rsid w:val="7162471D"/>
    <w:rsid w:val="71A132A5"/>
    <w:rsid w:val="71A94685"/>
    <w:rsid w:val="71C8786D"/>
    <w:rsid w:val="71FC1130"/>
    <w:rsid w:val="725618C8"/>
    <w:rsid w:val="7311691D"/>
    <w:rsid w:val="732B0E40"/>
    <w:rsid w:val="739E0321"/>
    <w:rsid w:val="73D2750D"/>
    <w:rsid w:val="74B53ADE"/>
    <w:rsid w:val="74F15D92"/>
    <w:rsid w:val="7512582E"/>
    <w:rsid w:val="753C4E9B"/>
    <w:rsid w:val="762C55FB"/>
    <w:rsid w:val="76B84525"/>
    <w:rsid w:val="76CD220E"/>
    <w:rsid w:val="76ED379C"/>
    <w:rsid w:val="76FF2D0F"/>
    <w:rsid w:val="77A45005"/>
    <w:rsid w:val="781113A7"/>
    <w:rsid w:val="7840538D"/>
    <w:rsid w:val="785E5813"/>
    <w:rsid w:val="786D1EFA"/>
    <w:rsid w:val="78A66ED4"/>
    <w:rsid w:val="78C23FF4"/>
    <w:rsid w:val="791E6510"/>
    <w:rsid w:val="79982FA7"/>
    <w:rsid w:val="79C76776"/>
    <w:rsid w:val="79F16810"/>
    <w:rsid w:val="7AE52708"/>
    <w:rsid w:val="7B855F43"/>
    <w:rsid w:val="7B902188"/>
    <w:rsid w:val="7BA3365A"/>
    <w:rsid w:val="7C4F2CB0"/>
    <w:rsid w:val="7C581FDC"/>
    <w:rsid w:val="7C8D4A41"/>
    <w:rsid w:val="7E10068C"/>
    <w:rsid w:val="7F4B3516"/>
    <w:rsid w:val="7F800765"/>
    <w:rsid w:val="7F8F09A8"/>
    <w:rsid w:val="7FCB54C5"/>
    <w:rsid w:val="7FD85EAB"/>
    <w:rsid w:val="7FDE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eastAsia="楷体_GB2312" w:asciiTheme="majorAscii" w:hAnsiTheme="majorAscii" w:cstheme="majorBidi"/>
      <w:bCs/>
      <w:sz w:val="32"/>
      <w:szCs w:val="32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80" w:after="290" w:line="376" w:lineRule="auto"/>
      <w:ind w:firstLine="250" w:firstLineChars="250"/>
      <w:outlineLvl w:val="3"/>
    </w:pPr>
    <w:rPr>
      <w:rFonts w:hint="default" w:ascii="Cambria" w:hAnsi="Cambria" w:eastAsia="宋体" w:cs="Cambria"/>
      <w:b/>
      <w:sz w:val="28"/>
      <w:szCs w:val="28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100" w:beforeAutospacing="1" w:after="120"/>
    </w:pPr>
    <w:rPr>
      <w:rFonts w:ascii="Calibri" w:hAnsi="Calibri" w:eastAsia="宋体" w:cs="Arial"/>
    </w:rPr>
  </w:style>
  <w:style w:type="paragraph" w:styleId="3">
    <w:name w:val="toc 5"/>
    <w:basedOn w:val="1"/>
    <w:next w:val="1"/>
    <w:qFormat/>
    <w:uiPriority w:val="0"/>
    <w:pPr>
      <w:ind w:left="1680" w:leftChars="800"/>
    </w:pPr>
    <w:rPr>
      <w:rFonts w:ascii="Times New Roman" w:hAnsi="Times New Roman"/>
    </w:rPr>
  </w:style>
  <w:style w:type="paragraph" w:styleId="6">
    <w:name w:val="Body Text Indent"/>
    <w:basedOn w:val="1"/>
    <w:unhideWhenUsed/>
    <w:qFormat/>
    <w:uiPriority w:val="0"/>
    <w:pPr>
      <w:spacing w:beforeLines="0" w:afterLines="0"/>
      <w:ind w:firstLine="640" w:firstLineChars="200"/>
    </w:pPr>
    <w:rPr>
      <w:rFonts w:hint="default"/>
      <w:sz w:val="32"/>
    </w:rPr>
  </w:style>
  <w:style w:type="paragraph" w:styleId="7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 2"/>
    <w:basedOn w:val="6"/>
    <w:unhideWhenUsed/>
    <w:qFormat/>
    <w:uiPriority w:val="99"/>
    <w:pPr>
      <w:spacing w:beforeLines="0" w:afterLines="0"/>
      <w:ind w:firstLine="420"/>
    </w:pPr>
    <w:rPr>
      <w:rFonts w:hint="default"/>
      <w:sz w:val="32"/>
    </w:rPr>
  </w:style>
  <w:style w:type="character" w:styleId="13">
    <w:name w:val="Strong"/>
    <w:basedOn w:val="12"/>
    <w:qFormat/>
    <w:uiPriority w:val="0"/>
    <w:rPr>
      <w:b/>
    </w:rPr>
  </w:style>
  <w:style w:type="paragraph" w:customStyle="1" w:styleId="14">
    <w:name w:val="标题1"/>
    <w:basedOn w:val="4"/>
    <w:qFormat/>
    <w:uiPriority w:val="0"/>
    <w:rPr>
      <w:rFonts w:eastAsia="黑体"/>
    </w:rPr>
  </w:style>
  <w:style w:type="paragraph" w:customStyle="1" w:styleId="15">
    <w:name w:val="首行缩进"/>
    <w:basedOn w:val="1"/>
    <w:qFormat/>
    <w:uiPriority w:val="0"/>
    <w:pPr>
      <w:ind w:firstLine="480" w:firstLineChars="200"/>
    </w:pPr>
    <w:rPr>
      <w:lang w:val="zh-CN"/>
    </w:rPr>
  </w:style>
  <w:style w:type="character" w:customStyle="1" w:styleId="16">
    <w:name w:val="font21"/>
    <w:basedOn w:val="12"/>
    <w:qFormat/>
    <w:uiPriority w:val="0"/>
    <w:rPr>
      <w:rFonts w:ascii="Arial" w:hAnsi="Arial" w:cs="Arial"/>
      <w:color w:val="000000"/>
      <w:sz w:val="18"/>
      <w:szCs w:val="18"/>
      <w:u w:val="none"/>
    </w:rPr>
  </w:style>
  <w:style w:type="character" w:customStyle="1" w:styleId="17">
    <w:name w:val="font31"/>
    <w:basedOn w:val="12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8">
    <w:name w:val="font01"/>
    <w:basedOn w:val="12"/>
    <w:uiPriority w:val="0"/>
    <w:rPr>
      <w:rFonts w:hint="default" w:ascii="等线" w:hAnsi="等线" w:eastAsia="等线" w:cs="等线"/>
      <w:color w:val="000000"/>
      <w:sz w:val="22"/>
      <w:szCs w:val="22"/>
      <w:u w:val="none"/>
    </w:rPr>
  </w:style>
  <w:style w:type="character" w:customStyle="1" w:styleId="19">
    <w:name w:val="font11"/>
    <w:basedOn w:val="12"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46</Pages>
  <Words>19756</Words>
  <Characters>22718</Characters>
  <Lines>0</Lines>
  <Paragraphs>0</Paragraphs>
  <TotalTime>2</TotalTime>
  <ScaleCrop>false</ScaleCrop>
  <LinksUpToDate>false</LinksUpToDate>
  <CharactersWithSpaces>23659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2024-02-22T02:03:00Z</dcterms:created>
  <dc:creator>1402836399</dc:creator>
  <cp:lastModifiedBy>Administrator</cp:lastModifiedBy>
  <cp:lastPrinted>2024-02-26T03:24:00Z</cp:lastPrinted>
  <dcterms:modified xsi:type="dcterms:W3CDTF">2024-06-30T12:54:03Z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EB152DFAC911440CB1ECC03348119D5E_13</vt:lpwstr>
  </property>
</Properties>
</file>