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firstLine="0" w:firstLineChars="0"/>
        <w:jc w:val="center"/>
        <w:textAlignment w:val="auto"/>
        <w:rPr>
          <w:rFonts w:hint="eastAsia" w:ascii="仿宋" w:hAnsi="仿宋" w:eastAsia="仿宋" w:cs="仿宋"/>
          <w:b/>
          <w:bCs/>
          <w:color w:val="auto"/>
          <w:kern w:val="0"/>
          <w:sz w:val="48"/>
          <w:szCs w:val="48"/>
        </w:rPr>
      </w:pPr>
      <w:r>
        <w:rPr>
          <w:rFonts w:hint="eastAsia" w:ascii="仿宋" w:hAnsi="仿宋" w:eastAsia="仿宋" w:cs="仿宋"/>
          <w:b/>
          <w:bCs/>
          <w:color w:val="auto"/>
          <w:sz w:val="48"/>
          <w:szCs w:val="48"/>
        </w:rPr>
        <w:t>202</w:t>
      </w:r>
      <w:r>
        <w:rPr>
          <w:rFonts w:hint="eastAsia" w:ascii="仿宋" w:hAnsi="仿宋" w:eastAsia="仿宋" w:cs="仿宋"/>
          <w:b/>
          <w:bCs/>
          <w:color w:val="auto"/>
          <w:sz w:val="48"/>
          <w:szCs w:val="48"/>
          <w:lang w:val="en-US" w:eastAsia="zh-CN"/>
        </w:rPr>
        <w:t>1</w:t>
      </w:r>
      <w:r>
        <w:rPr>
          <w:rFonts w:hint="eastAsia" w:ascii="仿宋" w:hAnsi="仿宋" w:eastAsia="仿宋" w:cs="仿宋"/>
          <w:b/>
          <w:bCs/>
          <w:color w:val="auto"/>
          <w:sz w:val="48"/>
          <w:szCs w:val="48"/>
        </w:rPr>
        <w:t>年度</w:t>
      </w:r>
      <w:r>
        <w:rPr>
          <w:rFonts w:hint="eastAsia" w:ascii="仿宋" w:hAnsi="仿宋" w:eastAsia="仿宋" w:cs="仿宋"/>
          <w:b/>
          <w:bCs/>
          <w:color w:val="auto"/>
          <w:kern w:val="0"/>
          <w:sz w:val="48"/>
          <w:szCs w:val="48"/>
        </w:rPr>
        <w:t>怀化市委市政府</w:t>
      </w:r>
    </w:p>
    <w:p>
      <w:pPr>
        <w:pStyle w:val="10"/>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firstLine="0" w:firstLineChars="0"/>
        <w:jc w:val="center"/>
        <w:textAlignment w:val="auto"/>
        <w:rPr>
          <w:rFonts w:hint="eastAsia" w:ascii="仿宋" w:hAnsi="仿宋" w:eastAsia="仿宋" w:cs="仿宋"/>
          <w:b/>
          <w:bCs/>
          <w:color w:val="auto"/>
          <w:sz w:val="48"/>
          <w:szCs w:val="48"/>
        </w:rPr>
      </w:pPr>
      <w:r>
        <w:rPr>
          <w:rFonts w:hint="eastAsia" w:ascii="仿宋" w:hAnsi="仿宋" w:eastAsia="仿宋" w:cs="仿宋"/>
          <w:b/>
          <w:bCs/>
          <w:color w:val="auto"/>
          <w:kern w:val="0"/>
          <w:sz w:val="48"/>
          <w:szCs w:val="48"/>
        </w:rPr>
        <w:t>机关幼儿园部门决算</w:t>
      </w:r>
    </w:p>
    <w:p>
      <w:pPr>
        <w:pStyle w:val="10"/>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firstLine="0" w:firstLineChars="0"/>
        <w:jc w:val="center"/>
        <w:textAlignment w:val="auto"/>
        <w:rPr>
          <w:rFonts w:hint="eastAsia" w:ascii="仿宋" w:hAnsi="仿宋" w:eastAsia="仿宋" w:cs="仿宋"/>
          <w:color w:val="auto"/>
          <w:sz w:val="32"/>
          <w:szCs w:val="32"/>
        </w:rPr>
      </w:pPr>
    </w:p>
    <w:p>
      <w:pPr>
        <w:pStyle w:val="10"/>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firstLine="0" w:firstLineChars="0"/>
        <w:jc w:val="center"/>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目</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录</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第一部分机关幼儿园单位概况</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第二部分202</w:t>
      </w:r>
      <w:r>
        <w:rPr>
          <w:rFonts w:hint="eastAsia" w:ascii="仿宋" w:hAnsi="仿宋" w:eastAsia="仿宋" w:cs="仿宋"/>
          <w:b/>
          <w:color w:val="auto"/>
          <w:sz w:val="32"/>
          <w:szCs w:val="32"/>
          <w:lang w:val="en-US" w:eastAsia="zh-CN"/>
        </w:rPr>
        <w:t>1</w:t>
      </w:r>
      <w:r>
        <w:rPr>
          <w:rFonts w:hint="eastAsia" w:ascii="仿宋" w:hAnsi="仿宋" w:eastAsia="仿宋" w:cs="仿宋"/>
          <w:b/>
          <w:color w:val="auto"/>
          <w:sz w:val="32"/>
          <w:szCs w:val="32"/>
        </w:rPr>
        <w:t>年度部门决算表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5"/>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九、国有资本经营预算财政拨款支出决算表</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
          <w:color w:val="auto"/>
          <w:sz w:val="32"/>
          <w:szCs w:val="32"/>
        </w:rPr>
      </w:pPr>
      <w:bookmarkStart w:id="0" w:name="_GoBack"/>
      <w:bookmarkEnd w:id="0"/>
      <w:r>
        <w:rPr>
          <w:rFonts w:hint="eastAsia" w:ascii="仿宋" w:hAnsi="仿宋" w:eastAsia="仿宋" w:cs="仿宋"/>
          <w:b/>
          <w:color w:val="auto"/>
          <w:sz w:val="32"/>
          <w:szCs w:val="32"/>
        </w:rPr>
        <w:t>第三部分：202</w:t>
      </w:r>
      <w:r>
        <w:rPr>
          <w:rFonts w:hint="eastAsia" w:ascii="仿宋" w:hAnsi="仿宋" w:eastAsia="仿宋" w:cs="仿宋"/>
          <w:b/>
          <w:color w:val="auto"/>
          <w:sz w:val="32"/>
          <w:szCs w:val="32"/>
          <w:lang w:val="en-US" w:eastAsia="zh-CN"/>
        </w:rPr>
        <w:t>1</w:t>
      </w:r>
      <w:r>
        <w:rPr>
          <w:rFonts w:hint="eastAsia" w:ascii="仿宋" w:hAnsi="仿宋" w:eastAsia="仿宋" w:cs="仿宋"/>
          <w:b/>
          <w:color w:val="auto"/>
          <w:sz w:val="32"/>
          <w:szCs w:val="32"/>
        </w:rPr>
        <w:t>年度部门决算情况说明</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一、收入支出决算总体情况说明</w:t>
      </w:r>
    </w:p>
    <w:p>
      <w:pPr>
        <w:keepNext w:val="0"/>
        <w:keepLines w:val="0"/>
        <w:pageBreakBefore w:val="0"/>
        <w:kinsoku/>
        <w:wordWrap/>
        <w:overflowPunct/>
        <w:topLinePunct w:val="0"/>
        <w:bidi w:val="0"/>
        <w:snapToGrid/>
        <w:spacing w:beforeAutospacing="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八、政府性基金预算收入支出决算情况</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九、国有资本经营预算财政拨款支出决算情况说明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十、关于机关运行经费支出说明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十一、一般性支出情况说明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十二、关于政府采购支出说明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十三、关于国有资产占用情况说明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十四、关于2021年度预算绩效情况的说明</w:t>
      </w:r>
    </w:p>
    <w:p>
      <w:pPr>
        <w:keepNext w:val="0"/>
        <w:keepLines w:val="0"/>
        <w:pageBreakBefore w:val="0"/>
        <w:kinsoku/>
        <w:wordWrap/>
        <w:overflowPunct/>
        <w:topLinePunct w:val="0"/>
        <w:autoSpaceDE w:val="0"/>
        <w:autoSpaceDN w:val="0"/>
        <w:bidi w:val="0"/>
        <w:adjustRightInd w:val="0"/>
        <w:snapToGrid/>
        <w:spacing w:beforeAutospacing="0" w:afterAutospacing="0" w:line="600" w:lineRule="exact"/>
        <w:ind w:firstLine="640" w:firstLineChars="200"/>
        <w:jc w:val="left"/>
        <w:textAlignment w:val="auto"/>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第四部分名词解释</w:t>
      </w:r>
    </w:p>
    <w:p>
      <w:pPr>
        <w:keepNext w:val="0"/>
        <w:keepLines w:val="0"/>
        <w:pageBreakBefore w:val="0"/>
        <w:kinsoku/>
        <w:wordWrap/>
        <w:overflowPunct/>
        <w:topLinePunct w:val="0"/>
        <w:bidi w:val="0"/>
        <w:snapToGrid/>
        <w:spacing w:beforeAutospacing="0" w:afterAutospacing="0" w:line="600" w:lineRule="exact"/>
        <w:ind w:firstLine="640" w:firstLineChars="200"/>
        <w:jc w:val="left"/>
        <w:textAlignment w:val="auto"/>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第五部分附件</w:t>
      </w:r>
    </w:p>
    <w:p>
      <w:pPr>
        <w:keepNext w:val="0"/>
        <w:keepLines w:val="0"/>
        <w:pageBreakBefore w:val="0"/>
        <w:kinsoku/>
        <w:wordWrap/>
        <w:overflowPunct/>
        <w:topLinePunct w:val="0"/>
        <w:bidi w:val="0"/>
        <w:snapToGrid/>
        <w:spacing w:beforeAutospacing="0" w:afterAutospacing="0" w:line="600" w:lineRule="exact"/>
        <w:ind w:firstLine="640" w:firstLineChars="200"/>
        <w:jc w:val="center"/>
        <w:textAlignment w:val="auto"/>
        <w:rPr>
          <w:rFonts w:hint="eastAsia" w:ascii="仿宋" w:hAnsi="仿宋" w:eastAsia="仿宋" w:cs="仿宋"/>
          <w:color w:val="auto"/>
          <w:sz w:val="32"/>
          <w:szCs w:val="32"/>
        </w:rPr>
      </w:pPr>
    </w:p>
    <w:p>
      <w:pPr>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p>
    <w:p>
      <w:pPr>
        <w:pStyle w:val="10"/>
        <w:keepNext w:val="0"/>
        <w:keepLines w:val="0"/>
        <w:pageBreakBefore w:val="0"/>
        <w:widowControl w:val="0"/>
        <w:kinsoku/>
        <w:wordWrap/>
        <w:overflowPunct/>
        <w:topLinePunct w:val="0"/>
        <w:autoSpaceDE w:val="0"/>
        <w:autoSpaceDN w:val="0"/>
        <w:bidi w:val="0"/>
        <w:snapToGrid/>
        <w:spacing w:beforeAutospacing="0" w:afterAutospacing="0" w:line="600" w:lineRule="exact"/>
        <w:ind w:firstLine="0" w:firstLineChars="0"/>
        <w:jc w:val="center"/>
        <w:textAlignment w:val="auto"/>
        <w:rPr>
          <w:rFonts w:hint="eastAsia" w:ascii="黑体" w:hAnsi="黑体" w:eastAsia="黑体" w:cs="黑体"/>
          <w:color w:val="auto"/>
          <w:sz w:val="36"/>
          <w:szCs w:val="36"/>
        </w:rPr>
      </w:pPr>
      <w:r>
        <w:rPr>
          <w:rFonts w:hint="eastAsia" w:ascii="黑体" w:hAnsi="黑体" w:eastAsia="黑体" w:cs="黑体"/>
          <w:color w:val="auto"/>
          <w:sz w:val="36"/>
          <w:szCs w:val="36"/>
        </w:rPr>
        <w:t>第一部分机关幼儿园概况</w:t>
      </w:r>
    </w:p>
    <w:p>
      <w:pPr>
        <w:pStyle w:val="11"/>
        <w:keepNext w:val="0"/>
        <w:keepLines w:val="0"/>
        <w:pageBreakBefore w:val="0"/>
        <w:numPr>
          <w:ilvl w:val="0"/>
          <w:numId w:val="0"/>
        </w:numPr>
        <w:kinsoku/>
        <w:wordWrap/>
        <w:overflowPunct/>
        <w:topLinePunct w:val="0"/>
        <w:bidi w:val="0"/>
        <w:snapToGrid/>
        <w:spacing w:beforeAutospacing="0" w:afterAutospacing="0" w:line="600" w:lineRule="exact"/>
        <w:ind w:firstLine="640"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rPr>
        <w:t>部门职责</w:t>
      </w:r>
    </w:p>
    <w:p>
      <w:pPr>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怀化市委市政府机关幼儿园认真贯彻执行党和国家的有关法律法规、方针、政策，坚持民主管理，依法办园，执行上级主管部门的指示和决定。实行保育和教育相结合的原则，对幼儿实施体、智、德、美诸方面全面发展的教育，促进其身心和谐发展。为家长解除后顾之忧，热忱为家长服务，向家长开展多种形式的早期教育宣传、指导等服务，促进家庭教育质量的不断提高。</w:t>
      </w:r>
    </w:p>
    <w:p>
      <w:pPr>
        <w:keepNext w:val="0"/>
        <w:keepLines w:val="0"/>
        <w:pageBreakBefore w:val="0"/>
        <w:kinsoku/>
        <w:wordWrap/>
        <w:overflowPunct/>
        <w:topLinePunct w:val="0"/>
        <w:bidi w:val="0"/>
        <w:snapToGrid/>
        <w:spacing w:beforeAutospacing="0" w:afterAutospacing="0" w:line="600" w:lineRule="exact"/>
        <w:ind w:firstLine="640" w:firstLineChars="200"/>
        <w:jc w:val="left"/>
        <w:textAlignment w:val="auto"/>
        <w:rPr>
          <w:rFonts w:hint="eastAsia" w:ascii="仿宋" w:hAnsi="仿宋" w:eastAsia="仿宋" w:cs="仿宋"/>
          <w:b/>
          <w:bCs w:val="0"/>
          <w:color w:val="auto"/>
          <w:sz w:val="32"/>
          <w:szCs w:val="32"/>
        </w:rPr>
      </w:pPr>
      <w:r>
        <w:rPr>
          <w:rFonts w:hint="eastAsia" w:ascii="仿宋" w:hAnsi="仿宋" w:eastAsia="仿宋" w:cs="仿宋"/>
          <w:b/>
          <w:bCs w:val="0"/>
          <w:color w:val="auto"/>
          <w:kern w:val="0"/>
          <w:sz w:val="32"/>
          <w:szCs w:val="32"/>
        </w:rPr>
        <w:t>二、机构设置及决算单位构成</w:t>
      </w:r>
    </w:p>
    <w:p>
      <w:pPr>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（一）内设机构设置。怀化市委市政府机关幼儿园内设机构包括办公室、保教部、财务室、保健室及炊事班。</w:t>
      </w:r>
    </w:p>
    <w:p>
      <w:pPr>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（二）决算单位构成。市委市政府机关幼儿园202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年部门决算汇总公开单位构成包括：怀化市委市政府机关幼儿园市本级，为一级部门预算单位。</w:t>
      </w:r>
    </w:p>
    <w:p>
      <w:pPr>
        <w:keepNext w:val="0"/>
        <w:keepLines w:val="0"/>
        <w:pageBreakBefore w:val="0"/>
        <w:kinsoku/>
        <w:wordWrap/>
        <w:overflowPunct/>
        <w:topLinePunct w:val="0"/>
        <w:bidi w:val="0"/>
        <w:snapToGrid/>
        <w:spacing w:beforeAutospacing="0" w:afterAutospacing="0" w:line="600" w:lineRule="exact"/>
        <w:ind w:firstLine="640" w:firstLineChars="200"/>
        <w:jc w:val="center"/>
        <w:textAlignment w:val="auto"/>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val="0"/>
        <w:autoSpaceDN w:val="0"/>
        <w:bidi w:val="0"/>
        <w:snapToGrid/>
        <w:spacing w:beforeAutospacing="0" w:afterAutospacing="0" w:line="600" w:lineRule="exact"/>
        <w:ind w:firstLine="0" w:firstLineChars="0"/>
        <w:jc w:val="center"/>
        <w:textAlignment w:val="auto"/>
        <w:rPr>
          <w:rFonts w:hint="eastAsia" w:ascii="黑体" w:hAnsi="黑体" w:eastAsia="黑体" w:cs="黑体"/>
          <w:color w:val="auto"/>
          <w:sz w:val="36"/>
          <w:szCs w:val="36"/>
        </w:rPr>
      </w:pPr>
      <w:r>
        <w:rPr>
          <w:rFonts w:hint="eastAsia" w:ascii="黑体" w:hAnsi="黑体" w:eastAsia="黑体" w:cs="黑体"/>
          <w:color w:val="auto"/>
          <w:sz w:val="36"/>
          <w:szCs w:val="36"/>
        </w:rPr>
        <w:t>第二部分</w:t>
      </w:r>
      <w:r>
        <w:rPr>
          <w:rFonts w:hint="eastAsia" w:ascii="黑体" w:hAnsi="黑体" w:eastAsia="黑体" w:cs="黑体"/>
          <w:color w:val="auto"/>
          <w:sz w:val="36"/>
          <w:szCs w:val="36"/>
          <w:lang w:val="en-US" w:eastAsia="zh-CN"/>
        </w:rPr>
        <w:t xml:space="preserve"> </w:t>
      </w:r>
      <w:r>
        <w:rPr>
          <w:rFonts w:hint="eastAsia" w:ascii="黑体" w:hAnsi="黑体" w:eastAsia="黑体" w:cs="黑体"/>
          <w:color w:val="auto"/>
          <w:sz w:val="36"/>
          <w:szCs w:val="36"/>
        </w:rPr>
        <w:t>部门决算表</w:t>
      </w:r>
    </w:p>
    <w:p>
      <w:pPr>
        <w:pStyle w:val="10"/>
        <w:keepNext w:val="0"/>
        <w:keepLines w:val="0"/>
        <w:pageBreakBefore w:val="0"/>
        <w:widowControl w:val="0"/>
        <w:kinsoku/>
        <w:wordWrap/>
        <w:overflowPunct/>
        <w:topLinePunct w:val="0"/>
        <w:autoSpaceDE w:val="0"/>
        <w:autoSpaceDN w:val="0"/>
        <w:bidi w:val="0"/>
        <w:snapToGrid/>
        <w:spacing w:beforeAutospacing="0" w:afterAutospacing="0" w:line="600" w:lineRule="exact"/>
        <w:ind w:firstLine="0" w:firstLineChars="0"/>
        <w:jc w:val="center"/>
        <w:textAlignment w:val="auto"/>
        <w:rPr>
          <w:rFonts w:hint="eastAsia" w:ascii="黑体" w:hAnsi="黑体" w:eastAsia="黑体" w:cs="黑体"/>
          <w:color w:val="auto"/>
          <w:sz w:val="36"/>
          <w:szCs w:val="36"/>
        </w:rPr>
      </w:pPr>
      <w:r>
        <w:rPr>
          <w:rFonts w:hint="eastAsia" w:ascii="黑体" w:hAnsi="黑体" w:eastAsia="黑体" w:cs="黑体"/>
          <w:color w:val="auto"/>
          <w:sz w:val="36"/>
          <w:szCs w:val="36"/>
        </w:rPr>
        <w:t>（详情见附件）</w:t>
      </w:r>
    </w:p>
    <w:p>
      <w:pPr>
        <w:pStyle w:val="10"/>
        <w:keepNext w:val="0"/>
        <w:keepLines w:val="0"/>
        <w:pageBreakBefore w:val="0"/>
        <w:kinsoku/>
        <w:wordWrap/>
        <w:overflowPunct/>
        <w:topLinePunct w:val="0"/>
        <w:bidi w:val="0"/>
        <w:snapToGrid/>
        <w:spacing w:beforeAutospacing="0" w:afterAutospacing="0" w:line="600" w:lineRule="exact"/>
        <w:ind w:firstLine="640" w:firstLineChars="200"/>
        <w:jc w:val="both"/>
        <w:textAlignment w:val="auto"/>
        <w:rPr>
          <w:rFonts w:hint="eastAsia" w:ascii="仿宋" w:hAnsi="仿宋" w:eastAsia="仿宋" w:cs="仿宋"/>
          <w:color w:val="auto"/>
          <w:sz w:val="32"/>
          <w:szCs w:val="32"/>
        </w:rPr>
      </w:pPr>
    </w:p>
    <w:p>
      <w:pPr>
        <w:pStyle w:val="10"/>
        <w:keepNext w:val="0"/>
        <w:keepLines w:val="0"/>
        <w:pageBreakBefore w:val="0"/>
        <w:kinsoku/>
        <w:wordWrap/>
        <w:overflowPunct/>
        <w:topLinePunct w:val="0"/>
        <w:bidi w:val="0"/>
        <w:snapToGrid/>
        <w:spacing w:beforeAutospacing="0" w:afterAutospacing="0" w:line="600" w:lineRule="exact"/>
        <w:ind w:firstLine="640" w:firstLineChars="200"/>
        <w:jc w:val="both"/>
        <w:textAlignment w:val="auto"/>
        <w:rPr>
          <w:rFonts w:hint="eastAsia" w:ascii="仿宋" w:hAnsi="仿宋" w:eastAsia="仿宋" w:cs="仿宋"/>
          <w:color w:val="auto"/>
          <w:sz w:val="32"/>
          <w:szCs w:val="32"/>
        </w:rPr>
      </w:pPr>
    </w:p>
    <w:p>
      <w:pPr>
        <w:pStyle w:val="10"/>
        <w:keepNext w:val="0"/>
        <w:keepLines w:val="0"/>
        <w:pageBreakBefore w:val="0"/>
        <w:widowControl w:val="0"/>
        <w:kinsoku/>
        <w:wordWrap/>
        <w:overflowPunct/>
        <w:topLinePunct w:val="0"/>
        <w:autoSpaceDE w:val="0"/>
        <w:autoSpaceDN w:val="0"/>
        <w:bidi w:val="0"/>
        <w:snapToGrid/>
        <w:spacing w:beforeAutospacing="0" w:afterAutospacing="0" w:line="600" w:lineRule="exact"/>
        <w:ind w:firstLine="0" w:firstLineChars="0"/>
        <w:jc w:val="center"/>
        <w:textAlignment w:val="auto"/>
        <w:rPr>
          <w:rFonts w:hint="eastAsia" w:ascii="黑体" w:hAnsi="黑体" w:eastAsia="黑体" w:cs="黑体"/>
          <w:color w:val="auto"/>
          <w:sz w:val="36"/>
          <w:szCs w:val="36"/>
        </w:rPr>
      </w:pPr>
      <w:r>
        <w:rPr>
          <w:rFonts w:hint="eastAsia" w:ascii="黑体" w:hAnsi="黑体" w:eastAsia="黑体" w:cs="黑体"/>
          <w:color w:val="auto"/>
          <w:sz w:val="36"/>
          <w:szCs w:val="36"/>
        </w:rPr>
        <w:t>第三部分</w:t>
      </w:r>
    </w:p>
    <w:p>
      <w:pPr>
        <w:keepNext w:val="0"/>
        <w:keepLines w:val="0"/>
        <w:pageBreakBefore w:val="0"/>
        <w:widowControl w:val="0"/>
        <w:kinsoku/>
        <w:wordWrap/>
        <w:overflowPunct/>
        <w:topLinePunct w:val="0"/>
        <w:autoSpaceDE w:val="0"/>
        <w:autoSpaceDN w:val="0"/>
        <w:bidi w:val="0"/>
        <w:snapToGrid/>
        <w:spacing w:beforeAutospacing="0" w:afterAutospacing="0" w:line="600" w:lineRule="exact"/>
        <w:ind w:firstLine="0" w:firstLineChars="0"/>
        <w:jc w:val="center"/>
        <w:textAlignment w:val="auto"/>
        <w:rPr>
          <w:rFonts w:hint="eastAsia" w:ascii="黑体" w:hAnsi="黑体" w:eastAsia="黑体" w:cs="黑体"/>
          <w:color w:val="auto"/>
          <w:sz w:val="36"/>
          <w:szCs w:val="36"/>
        </w:rPr>
      </w:pPr>
      <w:r>
        <w:rPr>
          <w:rFonts w:hint="eastAsia" w:ascii="黑体" w:hAnsi="黑体" w:eastAsia="黑体" w:cs="黑体"/>
          <w:color w:val="auto"/>
          <w:sz w:val="36"/>
          <w:szCs w:val="36"/>
        </w:rPr>
        <w:t>202</w:t>
      </w:r>
      <w:r>
        <w:rPr>
          <w:rFonts w:hint="eastAsia" w:ascii="黑体" w:hAnsi="黑体" w:eastAsia="黑体" w:cs="黑体"/>
          <w:color w:val="auto"/>
          <w:sz w:val="36"/>
          <w:szCs w:val="36"/>
          <w:lang w:val="en-US" w:eastAsia="zh-CN"/>
        </w:rPr>
        <w:t>1</w:t>
      </w:r>
      <w:r>
        <w:rPr>
          <w:rFonts w:hint="eastAsia" w:ascii="黑体" w:hAnsi="黑体" w:eastAsia="黑体" w:cs="黑体"/>
          <w:color w:val="auto"/>
          <w:sz w:val="36"/>
          <w:szCs w:val="36"/>
        </w:rPr>
        <w:t>年度部门决算情况说明</w:t>
      </w:r>
    </w:p>
    <w:p>
      <w:pPr>
        <w:keepNext w:val="0"/>
        <w:keepLines w:val="0"/>
        <w:pageBreakBefore w:val="0"/>
        <w:widowControl/>
        <w:kinsoku/>
        <w:wordWrap/>
        <w:overflowPunct/>
        <w:topLinePunct w:val="0"/>
        <w:bidi w:val="0"/>
        <w:snapToGrid/>
        <w:spacing w:beforeAutospacing="0" w:afterAutospacing="0" w:line="600" w:lineRule="exact"/>
        <w:ind w:firstLine="640" w:firstLineChars="200"/>
        <w:jc w:val="left"/>
        <w:textAlignment w:val="auto"/>
        <w:rPr>
          <w:rFonts w:hint="eastAsia" w:ascii="仿宋" w:hAnsi="仿宋" w:eastAsia="仿宋" w:cs="仿宋"/>
          <w:color w:val="auto"/>
          <w:sz w:val="32"/>
          <w:szCs w:val="32"/>
        </w:rPr>
      </w:pP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一、收入支出决算总体情况说明</w:t>
      </w:r>
    </w:p>
    <w:p>
      <w:pPr>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年度收、支</w:t>
      </w:r>
      <w:r>
        <w:rPr>
          <w:rFonts w:hint="eastAsia" w:ascii="仿宋" w:hAnsi="仿宋" w:eastAsia="仿宋" w:cs="仿宋"/>
          <w:color w:val="auto"/>
          <w:kern w:val="0"/>
          <w:sz w:val="32"/>
          <w:szCs w:val="32"/>
          <w:lang w:val="en-US" w:eastAsia="zh-CN"/>
        </w:rPr>
        <w:t>各</w:t>
      </w:r>
      <w:r>
        <w:rPr>
          <w:rFonts w:hint="eastAsia" w:ascii="仿宋" w:hAnsi="仿宋" w:eastAsia="仿宋" w:cs="仿宋"/>
          <w:color w:val="auto"/>
          <w:kern w:val="0"/>
          <w:sz w:val="32"/>
          <w:szCs w:val="32"/>
        </w:rPr>
        <w:t>4</w:t>
      </w:r>
      <w:r>
        <w:rPr>
          <w:rFonts w:hint="eastAsia" w:ascii="仿宋" w:hAnsi="仿宋" w:eastAsia="仿宋" w:cs="仿宋"/>
          <w:color w:val="auto"/>
          <w:kern w:val="0"/>
          <w:sz w:val="32"/>
          <w:szCs w:val="32"/>
          <w:lang w:val="en-US" w:eastAsia="zh-CN"/>
        </w:rPr>
        <w:t>38.99</w:t>
      </w:r>
      <w:r>
        <w:rPr>
          <w:rFonts w:hint="eastAsia" w:ascii="仿宋" w:hAnsi="仿宋" w:eastAsia="仿宋" w:cs="仿宋"/>
          <w:color w:val="auto"/>
          <w:kern w:val="0"/>
          <w:sz w:val="32"/>
          <w:szCs w:val="32"/>
        </w:rPr>
        <w:t>万元，与</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年度相比，</w:t>
      </w:r>
      <w:r>
        <w:rPr>
          <w:rFonts w:hint="eastAsia" w:ascii="仿宋" w:hAnsi="仿宋" w:eastAsia="仿宋" w:cs="仿宋"/>
          <w:color w:val="auto"/>
          <w:kern w:val="0"/>
          <w:sz w:val="32"/>
          <w:szCs w:val="32"/>
        </w:rPr>
        <w:t>减少</w:t>
      </w:r>
      <w:r>
        <w:rPr>
          <w:rFonts w:hint="eastAsia" w:ascii="仿宋" w:hAnsi="仿宋" w:eastAsia="仿宋" w:cs="仿宋"/>
          <w:color w:val="auto"/>
          <w:kern w:val="0"/>
          <w:sz w:val="32"/>
          <w:szCs w:val="32"/>
          <w:lang w:val="en-US" w:eastAsia="zh-CN"/>
        </w:rPr>
        <w:t>50.41</w:t>
      </w:r>
      <w:r>
        <w:rPr>
          <w:rFonts w:hint="eastAsia" w:ascii="仿宋" w:hAnsi="仿宋" w:eastAsia="仿宋" w:cs="仿宋"/>
          <w:color w:val="auto"/>
          <w:kern w:val="0"/>
          <w:sz w:val="32"/>
          <w:szCs w:val="32"/>
        </w:rPr>
        <w:t>万元，减少10.</w:t>
      </w:r>
      <w:r>
        <w:rPr>
          <w:rFonts w:hint="eastAsia" w:ascii="仿宋" w:hAnsi="仿宋" w:eastAsia="仿宋" w:cs="仿宋"/>
          <w:color w:val="auto"/>
          <w:kern w:val="0"/>
          <w:sz w:val="32"/>
          <w:szCs w:val="32"/>
          <w:lang w:val="en-US" w:eastAsia="zh-CN"/>
        </w:rPr>
        <w:t>30</w:t>
      </w:r>
      <w:r>
        <w:rPr>
          <w:rFonts w:hint="eastAsia" w:ascii="仿宋" w:hAnsi="仿宋" w:eastAsia="仿宋" w:cs="仿宋"/>
          <w:color w:val="auto"/>
          <w:kern w:val="0"/>
          <w:sz w:val="32"/>
          <w:szCs w:val="32"/>
        </w:rPr>
        <w:t>%。主要原因是：</w:t>
      </w:r>
      <w:r>
        <w:rPr>
          <w:rFonts w:hint="eastAsia" w:ascii="仿宋" w:hAnsi="仿宋" w:eastAsia="仿宋" w:cs="仿宋"/>
          <w:color w:val="auto"/>
          <w:sz w:val="32"/>
          <w:szCs w:val="32"/>
        </w:rPr>
        <w:t>幼儿数量减少所致，人员调整，工资福利费减少。</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二、收入决算情况说明</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本年收入合计4</w:t>
      </w:r>
      <w:r>
        <w:rPr>
          <w:rFonts w:hint="eastAsia" w:ascii="仿宋" w:hAnsi="仿宋" w:eastAsia="仿宋" w:cs="仿宋"/>
          <w:color w:val="auto"/>
          <w:sz w:val="32"/>
          <w:szCs w:val="32"/>
          <w:lang w:val="en-US" w:eastAsia="zh-CN"/>
        </w:rPr>
        <w:t>38.99</w:t>
      </w:r>
      <w:r>
        <w:rPr>
          <w:rFonts w:hint="eastAsia" w:ascii="仿宋" w:hAnsi="仿宋" w:eastAsia="仿宋" w:cs="仿宋"/>
          <w:color w:val="auto"/>
          <w:sz w:val="32"/>
          <w:szCs w:val="32"/>
        </w:rPr>
        <w:t>万元，其中：财政拨款收入43</w:t>
      </w:r>
      <w:r>
        <w:rPr>
          <w:rFonts w:hint="eastAsia" w:ascii="仿宋" w:hAnsi="仿宋" w:eastAsia="仿宋" w:cs="仿宋"/>
          <w:color w:val="auto"/>
          <w:sz w:val="32"/>
          <w:szCs w:val="32"/>
          <w:lang w:val="en-US" w:eastAsia="zh-CN"/>
        </w:rPr>
        <w:t>8.99</w:t>
      </w:r>
      <w:r>
        <w:rPr>
          <w:rFonts w:hint="eastAsia" w:ascii="仿宋" w:hAnsi="仿宋" w:eastAsia="仿宋" w:cs="仿宋"/>
          <w:color w:val="auto"/>
          <w:sz w:val="32"/>
          <w:szCs w:val="32"/>
        </w:rPr>
        <w:t>万元，占比</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kern w:val="0"/>
          <w:sz w:val="32"/>
          <w:szCs w:val="32"/>
        </w:rPr>
        <w:t>；上级补助收入0万元，占0%；事业收入0万元，占0%；经营收入0万元，占0%；附属单位上缴收入0万元，占0%；</w:t>
      </w:r>
      <w:r>
        <w:rPr>
          <w:rFonts w:hint="eastAsia" w:ascii="仿宋" w:hAnsi="仿宋" w:eastAsia="仿宋" w:cs="仿宋"/>
          <w:color w:val="auto"/>
          <w:sz w:val="32"/>
          <w:szCs w:val="32"/>
        </w:rPr>
        <w:t>其他收入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万元，占比</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r>
        <w:rPr>
          <w:rFonts w:hint="eastAsia" w:ascii="仿宋" w:hAnsi="仿宋" w:eastAsia="仿宋" w:cs="仿宋"/>
          <w:color w:val="auto"/>
          <w:kern w:val="0"/>
          <w:sz w:val="32"/>
          <w:szCs w:val="32"/>
        </w:rPr>
        <w:t>；</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三、支出决算情况说明.</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本年度全年支出4</w:t>
      </w:r>
      <w:r>
        <w:rPr>
          <w:rFonts w:hint="eastAsia" w:ascii="仿宋" w:hAnsi="仿宋" w:eastAsia="仿宋" w:cs="仿宋"/>
          <w:color w:val="auto"/>
          <w:sz w:val="32"/>
          <w:szCs w:val="32"/>
          <w:lang w:val="en-US" w:eastAsia="zh-CN"/>
        </w:rPr>
        <w:t>38.99</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437.17</w:t>
      </w:r>
      <w:r>
        <w:rPr>
          <w:rFonts w:hint="eastAsia" w:ascii="仿宋" w:hAnsi="仿宋" w:eastAsia="仿宋" w:cs="仿宋"/>
          <w:color w:val="auto"/>
          <w:sz w:val="32"/>
          <w:szCs w:val="32"/>
        </w:rPr>
        <w:t>万元，占比9</w:t>
      </w:r>
      <w:r>
        <w:rPr>
          <w:rFonts w:hint="eastAsia" w:ascii="仿宋" w:hAnsi="仿宋" w:eastAsia="仿宋" w:cs="仿宋"/>
          <w:color w:val="auto"/>
          <w:sz w:val="32"/>
          <w:szCs w:val="32"/>
          <w:lang w:val="en-US" w:eastAsia="zh-CN"/>
        </w:rPr>
        <w:t>9.59</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eastAsia="zh-CN"/>
        </w:rPr>
        <w:t>1.82</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0.41</w:t>
      </w:r>
      <w:r>
        <w:rPr>
          <w:rFonts w:hint="eastAsia" w:ascii="仿宋" w:hAnsi="仿宋" w:eastAsia="仿宋" w:cs="仿宋"/>
          <w:color w:val="auto"/>
          <w:sz w:val="32"/>
          <w:szCs w:val="32"/>
        </w:rPr>
        <w:t>%；上缴上级支出0万元，占0%；经营支出0万元，占0%；对附属单位补助支出0万元，占0%。</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四、财政拨款收入支出决算总体情况说明</w:t>
      </w:r>
    </w:p>
    <w:p>
      <w:pPr>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年度财政拨款收、支总计</w:t>
      </w:r>
      <w:r>
        <w:rPr>
          <w:rFonts w:hint="eastAsia" w:ascii="仿宋" w:hAnsi="仿宋" w:eastAsia="仿宋" w:cs="仿宋"/>
          <w:color w:val="auto"/>
          <w:sz w:val="32"/>
          <w:szCs w:val="32"/>
          <w:lang w:val="en-US" w:eastAsia="zh-CN"/>
        </w:rPr>
        <w:t>各</w:t>
      </w: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38.99</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eastAsia="zh-CN"/>
        </w:rPr>
        <w:t>2020</w:t>
      </w:r>
      <w:r>
        <w:rPr>
          <w:rFonts w:hint="eastAsia" w:ascii="仿宋" w:hAnsi="仿宋" w:eastAsia="仿宋" w:cs="仿宋"/>
          <w:color w:val="auto"/>
          <w:sz w:val="32"/>
          <w:szCs w:val="32"/>
        </w:rPr>
        <w:t>年相比，减少</w:t>
      </w:r>
      <w:r>
        <w:rPr>
          <w:rFonts w:hint="eastAsia" w:ascii="仿宋" w:hAnsi="仿宋" w:eastAsia="仿宋" w:cs="仿宋"/>
          <w:color w:val="auto"/>
          <w:sz w:val="32"/>
          <w:szCs w:val="32"/>
          <w:lang w:val="en-US" w:eastAsia="zh-CN"/>
        </w:rPr>
        <w:t>50.41</w:t>
      </w:r>
      <w:r>
        <w:rPr>
          <w:rFonts w:hint="eastAsia" w:ascii="仿宋" w:hAnsi="仿宋" w:eastAsia="仿宋" w:cs="仿宋"/>
          <w:color w:val="auto"/>
          <w:sz w:val="32"/>
          <w:szCs w:val="32"/>
        </w:rPr>
        <w:t>万元，减少</w:t>
      </w:r>
      <w:r>
        <w:rPr>
          <w:rFonts w:hint="eastAsia" w:ascii="仿宋" w:hAnsi="仿宋" w:eastAsia="仿宋" w:cs="仿宋"/>
          <w:color w:val="auto"/>
          <w:sz w:val="32"/>
          <w:szCs w:val="32"/>
          <w:lang w:val="en-US" w:eastAsia="zh-CN"/>
        </w:rPr>
        <w:t>10.30</w:t>
      </w:r>
      <w:r>
        <w:rPr>
          <w:rFonts w:hint="eastAsia" w:ascii="仿宋" w:hAnsi="仿宋" w:eastAsia="仿宋" w:cs="仿宋"/>
          <w:color w:val="auto"/>
          <w:sz w:val="32"/>
          <w:szCs w:val="32"/>
        </w:rPr>
        <w:t>%。主要原因幼儿数量减少所致，人员调整，工资福利费减少。</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b/>
          <w:bCs/>
          <w:color w:val="auto"/>
          <w:sz w:val="32"/>
          <w:szCs w:val="32"/>
        </w:rPr>
        <w:t>五、</w:t>
      </w:r>
      <w:r>
        <w:rPr>
          <w:rFonts w:hint="eastAsia" w:ascii="仿宋" w:hAnsi="仿宋" w:eastAsia="仿宋" w:cs="仿宋"/>
          <w:b/>
          <w:bCs/>
          <w:color w:val="auto"/>
          <w:kern w:val="0"/>
          <w:sz w:val="32"/>
          <w:szCs w:val="32"/>
        </w:rPr>
        <w:t>一般公共预算财政拨款支出决算情况说明</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（一）一般公共预算财政拨款支出决算总体情况。</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eastAsia="zh-CN"/>
        </w:rPr>
        <w:t>438.99</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%，与20</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年相比，减少1</w:t>
      </w:r>
      <w:r>
        <w:rPr>
          <w:rFonts w:hint="eastAsia" w:ascii="仿宋" w:hAnsi="仿宋" w:eastAsia="仿宋" w:cs="仿宋"/>
          <w:color w:val="auto"/>
          <w:sz w:val="32"/>
          <w:szCs w:val="32"/>
          <w:lang w:val="en-US" w:eastAsia="zh-CN"/>
        </w:rPr>
        <w:t>9.55</w:t>
      </w:r>
      <w:r>
        <w:rPr>
          <w:rFonts w:hint="eastAsia" w:ascii="仿宋" w:hAnsi="仿宋" w:eastAsia="仿宋" w:cs="仿宋"/>
          <w:color w:val="auto"/>
          <w:sz w:val="32"/>
          <w:szCs w:val="32"/>
        </w:rPr>
        <w:t>万元，减少</w:t>
      </w:r>
      <w:r>
        <w:rPr>
          <w:rFonts w:hint="eastAsia" w:ascii="仿宋" w:hAnsi="仿宋" w:eastAsia="仿宋" w:cs="仿宋"/>
          <w:color w:val="auto"/>
          <w:sz w:val="32"/>
          <w:szCs w:val="32"/>
          <w:lang w:val="en-US" w:eastAsia="zh-CN"/>
        </w:rPr>
        <w:t>4.26</w:t>
      </w:r>
      <w:r>
        <w:rPr>
          <w:rFonts w:hint="eastAsia" w:ascii="仿宋" w:hAnsi="仿宋" w:eastAsia="仿宋" w:cs="仿宋"/>
          <w:color w:val="auto"/>
          <w:sz w:val="32"/>
          <w:szCs w:val="32"/>
        </w:rPr>
        <w:t>%。主要原因是因为人员经费减少。</w:t>
      </w:r>
    </w:p>
    <w:p>
      <w:pPr>
        <w:keepNext w:val="0"/>
        <w:keepLines w:val="0"/>
        <w:pageBreakBefore w:val="0"/>
        <w:widowControl/>
        <w:numPr>
          <w:ilvl w:val="0"/>
          <w:numId w:val="1"/>
        </w:numPr>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rPr>
        <w:t>财政拨款支出决算结构情况。</w:t>
      </w:r>
    </w:p>
    <w:p>
      <w:pPr>
        <w:keepNext w:val="0"/>
        <w:keepLines w:val="0"/>
        <w:pageBreakBefore w:val="0"/>
        <w:widowControl/>
        <w:numPr>
          <w:ilvl w:val="0"/>
          <w:numId w:val="0"/>
        </w:numPr>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年度一般公共预算财政拨款基本支出4</w:t>
      </w:r>
      <w:r>
        <w:rPr>
          <w:rFonts w:hint="eastAsia" w:ascii="仿宋" w:hAnsi="仿宋" w:eastAsia="仿宋" w:cs="仿宋"/>
          <w:color w:val="auto"/>
          <w:sz w:val="32"/>
          <w:szCs w:val="32"/>
          <w:lang w:val="en-US" w:eastAsia="zh-CN"/>
        </w:rPr>
        <w:t>38.99</w:t>
      </w:r>
      <w:r>
        <w:rPr>
          <w:rFonts w:hint="eastAsia" w:ascii="仿宋" w:hAnsi="仿宋" w:eastAsia="仿宋" w:cs="仿宋"/>
          <w:color w:val="auto"/>
          <w:sz w:val="32"/>
          <w:szCs w:val="32"/>
        </w:rPr>
        <w:t>万元，主要用于以下方面：教育（类）支出</w:t>
      </w:r>
      <w:r>
        <w:rPr>
          <w:rFonts w:hint="eastAsia" w:ascii="仿宋" w:hAnsi="仿宋" w:eastAsia="仿宋" w:cs="仿宋"/>
          <w:color w:val="auto"/>
          <w:sz w:val="32"/>
          <w:szCs w:val="32"/>
          <w:lang w:val="en-US" w:eastAsia="zh-CN"/>
        </w:rPr>
        <w:t>374.77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85.37</w:t>
      </w:r>
      <w:r>
        <w:rPr>
          <w:rFonts w:hint="eastAsia" w:ascii="仿宋" w:hAnsi="仿宋" w:eastAsia="仿宋" w:cs="仿宋"/>
          <w:color w:val="auto"/>
          <w:sz w:val="32"/>
          <w:szCs w:val="32"/>
        </w:rPr>
        <w:t>%;社会保障和就业（类）支出</w:t>
      </w:r>
      <w:r>
        <w:rPr>
          <w:rFonts w:hint="eastAsia" w:ascii="仿宋" w:hAnsi="仿宋" w:eastAsia="仿宋" w:cs="仿宋"/>
          <w:color w:val="auto"/>
          <w:sz w:val="32"/>
          <w:szCs w:val="32"/>
          <w:lang w:val="en-US" w:eastAsia="zh-CN"/>
        </w:rPr>
        <w:t>52.05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11.86</w:t>
      </w:r>
      <w:r>
        <w:rPr>
          <w:rFonts w:hint="eastAsia" w:ascii="仿宋" w:hAnsi="仿宋" w:eastAsia="仿宋" w:cs="仿宋"/>
          <w:color w:val="auto"/>
          <w:sz w:val="32"/>
          <w:szCs w:val="32"/>
        </w:rPr>
        <w:t>%;卫生健康（类）支出12.</w:t>
      </w:r>
      <w:r>
        <w:rPr>
          <w:rFonts w:hint="eastAsia" w:ascii="仿宋" w:hAnsi="仿宋" w:eastAsia="仿宋" w:cs="仿宋"/>
          <w:color w:val="auto"/>
          <w:sz w:val="32"/>
          <w:szCs w:val="32"/>
          <w:lang w:val="en-US" w:eastAsia="zh-CN"/>
        </w:rPr>
        <w:t>16</w:t>
      </w:r>
      <w:r>
        <w:rPr>
          <w:rFonts w:hint="eastAsia" w:ascii="仿宋" w:hAnsi="仿宋" w:eastAsia="仿宋" w:cs="仿宋"/>
          <w:color w:val="auto"/>
          <w:sz w:val="32"/>
          <w:szCs w:val="32"/>
        </w:rPr>
        <w:t>万元，占2.</w:t>
      </w:r>
      <w:r>
        <w:rPr>
          <w:rFonts w:hint="eastAsia" w:ascii="仿宋" w:hAnsi="仿宋" w:eastAsia="仿宋" w:cs="仿宋"/>
          <w:color w:val="auto"/>
          <w:sz w:val="32"/>
          <w:szCs w:val="32"/>
          <w:lang w:val="en-US" w:eastAsia="zh-CN"/>
        </w:rPr>
        <w:t>77</w:t>
      </w:r>
      <w:r>
        <w:rPr>
          <w:rFonts w:hint="eastAsia" w:ascii="仿宋" w:hAnsi="仿宋" w:eastAsia="仿宋" w:cs="仿宋"/>
          <w:color w:val="auto"/>
          <w:sz w:val="32"/>
          <w:szCs w:val="32"/>
        </w:rPr>
        <w:t>%。</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bCs/>
          <w:color w:val="auto"/>
          <w:kern w:val="0"/>
          <w:sz w:val="32"/>
          <w:szCs w:val="32"/>
        </w:rPr>
        <w:t>（三）财政拨款支出决算具体情况</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年奖金由财政拨指标，由单位发放。20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年度财政拨款支出年初预算数为1</w:t>
      </w:r>
      <w:r>
        <w:rPr>
          <w:rFonts w:hint="eastAsia" w:ascii="仿宋" w:hAnsi="仿宋" w:eastAsia="仿宋" w:cs="仿宋"/>
          <w:color w:val="auto"/>
          <w:sz w:val="32"/>
          <w:szCs w:val="32"/>
          <w:lang w:val="en-US" w:eastAsia="zh-CN"/>
        </w:rPr>
        <w:t>72.61</w:t>
      </w:r>
      <w:r>
        <w:rPr>
          <w:rFonts w:hint="eastAsia" w:ascii="仿宋" w:hAnsi="仿宋" w:eastAsia="仿宋" w:cs="仿宋"/>
          <w:color w:val="auto"/>
          <w:sz w:val="32"/>
          <w:szCs w:val="32"/>
        </w:rPr>
        <w:t>万元，支出决算数为4</w:t>
      </w:r>
      <w:r>
        <w:rPr>
          <w:rFonts w:hint="eastAsia" w:ascii="仿宋" w:hAnsi="仿宋" w:eastAsia="仿宋" w:cs="仿宋"/>
          <w:color w:val="auto"/>
          <w:sz w:val="32"/>
          <w:szCs w:val="32"/>
          <w:lang w:val="en-US" w:eastAsia="zh-CN"/>
        </w:rPr>
        <w:t>38.99</w:t>
      </w:r>
      <w:r>
        <w:rPr>
          <w:rFonts w:hint="eastAsia" w:ascii="仿宋" w:hAnsi="仿宋" w:eastAsia="仿宋" w:cs="仿宋"/>
          <w:color w:val="auto"/>
          <w:sz w:val="32"/>
          <w:szCs w:val="32"/>
        </w:rPr>
        <w:t>万元，完成年初预算的2</w:t>
      </w:r>
      <w:r>
        <w:rPr>
          <w:rFonts w:hint="eastAsia" w:ascii="仿宋" w:hAnsi="仿宋" w:eastAsia="仿宋" w:cs="仿宋"/>
          <w:color w:val="auto"/>
          <w:sz w:val="32"/>
          <w:szCs w:val="32"/>
          <w:lang w:val="en-US" w:eastAsia="zh-CN"/>
        </w:rPr>
        <w:t>54.32</w:t>
      </w:r>
      <w:r>
        <w:rPr>
          <w:rFonts w:hint="eastAsia" w:ascii="仿宋" w:hAnsi="仿宋" w:eastAsia="仿宋" w:cs="仿宋"/>
          <w:color w:val="auto"/>
          <w:sz w:val="32"/>
          <w:szCs w:val="32"/>
        </w:rPr>
        <w:t>%，其中：</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、教育</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（类）普通教育（款）学前教育（项）。</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年初预算为1</w:t>
      </w:r>
      <w:r>
        <w:rPr>
          <w:rFonts w:hint="eastAsia" w:ascii="仿宋" w:hAnsi="仿宋" w:eastAsia="仿宋" w:cs="仿宋"/>
          <w:color w:val="auto"/>
          <w:sz w:val="32"/>
          <w:szCs w:val="32"/>
          <w:lang w:val="en-US" w:eastAsia="zh-CN"/>
        </w:rPr>
        <w:t>72.61</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374.77</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217.12</w:t>
      </w:r>
      <w:r>
        <w:rPr>
          <w:rFonts w:hint="eastAsia" w:ascii="仿宋" w:hAnsi="仿宋" w:eastAsia="仿宋" w:cs="仿宋"/>
          <w:color w:val="auto"/>
          <w:sz w:val="32"/>
          <w:szCs w:val="32"/>
        </w:rPr>
        <w:t>%，决算数大于年初预算数的主要原因是：上年结转资金较多，且上年结转不纳入年初预算中。</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、社会保障和就业支出（类）行政事业单位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（款）机关事业单位基本养老保险缴费支出（项）。</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w:t>
      </w:r>
      <w:r>
        <w:rPr>
          <w:rFonts w:hint="eastAsia" w:ascii="仿宋" w:hAnsi="仿宋" w:eastAsia="仿宋" w:cs="仿宋"/>
          <w:color w:val="auto"/>
          <w:sz w:val="32"/>
          <w:szCs w:val="32"/>
          <w:lang w:val="en-US" w:eastAsia="zh-CN"/>
        </w:rPr>
        <w:t>25.07</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年初预算为0，无法计算成比例</w:t>
      </w:r>
      <w:r>
        <w:rPr>
          <w:rFonts w:hint="eastAsia" w:ascii="仿宋" w:hAnsi="仿宋" w:eastAsia="仿宋" w:cs="仿宋"/>
          <w:color w:val="auto"/>
          <w:sz w:val="32"/>
          <w:szCs w:val="32"/>
        </w:rPr>
        <w:t>。决算数大于年初预算数的主要原因是：年中追加预算。</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、社会保障和就业支出（类）行政事业单位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其他行政</w:t>
      </w:r>
      <w:r>
        <w:rPr>
          <w:rFonts w:hint="eastAsia" w:ascii="仿宋" w:hAnsi="仿宋" w:eastAsia="仿宋" w:cs="仿宋"/>
          <w:color w:val="auto"/>
          <w:sz w:val="32"/>
          <w:szCs w:val="32"/>
        </w:rPr>
        <w:t>事业单位基本养老支出（项）。</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w:t>
      </w:r>
      <w:r>
        <w:rPr>
          <w:rFonts w:hint="eastAsia" w:ascii="仿宋" w:hAnsi="仿宋" w:eastAsia="仿宋" w:cs="仿宋"/>
          <w:color w:val="auto"/>
          <w:sz w:val="32"/>
          <w:szCs w:val="32"/>
          <w:lang w:val="en-US" w:eastAsia="zh-CN"/>
        </w:rPr>
        <w:t>26.98</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年初预算为0，无法计算成比例</w:t>
      </w:r>
      <w:r>
        <w:rPr>
          <w:rFonts w:hint="eastAsia" w:ascii="仿宋" w:hAnsi="仿宋" w:eastAsia="仿宋" w:cs="仿宋"/>
          <w:color w:val="auto"/>
          <w:sz w:val="32"/>
          <w:szCs w:val="32"/>
        </w:rPr>
        <w:t>。决算数大于年初预算数的主要原因是：单位部分养老保险开支由财政统一管理，未纳入单位年初预算。</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、卫生健康支出（类）行政事业单位医疗（款）</w:t>
      </w:r>
      <w:r>
        <w:rPr>
          <w:rFonts w:hint="eastAsia" w:ascii="仿宋" w:hAnsi="仿宋" w:eastAsia="仿宋" w:cs="仿宋"/>
          <w:color w:val="auto"/>
          <w:sz w:val="32"/>
          <w:szCs w:val="32"/>
          <w:lang w:eastAsia="zh-CN"/>
        </w:rPr>
        <w:t>行政</w:t>
      </w:r>
      <w:r>
        <w:rPr>
          <w:rFonts w:hint="eastAsia" w:ascii="仿宋" w:hAnsi="仿宋" w:eastAsia="仿宋" w:cs="仿宋"/>
          <w:color w:val="auto"/>
          <w:sz w:val="32"/>
          <w:szCs w:val="32"/>
        </w:rPr>
        <w:t>单位医疗（项）。</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年初预算为0万元，支出决算为1</w:t>
      </w:r>
      <w:r>
        <w:rPr>
          <w:rFonts w:hint="eastAsia" w:ascii="仿宋" w:hAnsi="仿宋" w:eastAsia="仿宋" w:cs="仿宋"/>
          <w:color w:val="auto"/>
          <w:sz w:val="32"/>
          <w:szCs w:val="32"/>
          <w:lang w:val="en-US" w:eastAsia="zh-CN"/>
        </w:rPr>
        <w:t>1.60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年初预算为0，无法计算成比例</w:t>
      </w:r>
      <w:r>
        <w:rPr>
          <w:rFonts w:hint="eastAsia" w:ascii="仿宋" w:hAnsi="仿宋" w:eastAsia="仿宋" w:cs="仿宋"/>
          <w:color w:val="auto"/>
          <w:sz w:val="32"/>
          <w:szCs w:val="32"/>
        </w:rPr>
        <w:t>。决算数大于年初预算数的主要原因是：单位部分医疗保险开支由财政统一管理，未纳入单位年初预算。</w:t>
      </w:r>
    </w:p>
    <w:p>
      <w:pPr>
        <w:pStyle w:val="5"/>
        <w:keepNext w:val="0"/>
        <w:keepLines w:val="0"/>
        <w:pageBreakBefore w:val="0"/>
        <w:widowControl/>
        <w:numPr>
          <w:ilvl w:val="0"/>
          <w:numId w:val="0"/>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卫生健康支出（类）行政事业单位医疗（款）</w:t>
      </w:r>
      <w:r>
        <w:rPr>
          <w:rFonts w:hint="eastAsia" w:ascii="仿宋" w:hAnsi="仿宋" w:eastAsia="仿宋" w:cs="仿宋"/>
          <w:color w:val="auto"/>
          <w:sz w:val="32"/>
          <w:szCs w:val="32"/>
          <w:lang w:eastAsia="zh-CN"/>
        </w:rPr>
        <w:t>其他行政事业单位医疗支出</w:t>
      </w:r>
      <w:r>
        <w:rPr>
          <w:rFonts w:hint="eastAsia" w:ascii="仿宋" w:hAnsi="仿宋" w:eastAsia="仿宋" w:cs="仿宋"/>
          <w:color w:val="auto"/>
          <w:sz w:val="32"/>
          <w:szCs w:val="32"/>
        </w:rPr>
        <w:t>（项）</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w:t>
      </w:r>
      <w:r>
        <w:rPr>
          <w:rFonts w:hint="eastAsia" w:ascii="仿宋" w:hAnsi="仿宋" w:eastAsia="仿宋" w:cs="仿宋"/>
          <w:color w:val="auto"/>
          <w:sz w:val="32"/>
          <w:szCs w:val="32"/>
          <w:lang w:val="en-US" w:eastAsia="zh-CN"/>
        </w:rPr>
        <w:t>0.57</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年初预算为0，无法计算成比例</w:t>
      </w:r>
      <w:r>
        <w:rPr>
          <w:rFonts w:hint="eastAsia" w:ascii="仿宋" w:hAnsi="仿宋" w:eastAsia="仿宋" w:cs="仿宋"/>
          <w:color w:val="auto"/>
          <w:sz w:val="32"/>
          <w:szCs w:val="32"/>
        </w:rPr>
        <w:t>。决算数大于年初预算数的主要原因是：单位部分医疗保险开支由财政统一管理，未纳入单位年初预算。</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六、一般公共预算财政拨款基本支出决算情况说明</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eastAsia="zh-CN"/>
        </w:rPr>
        <w:t>437.17</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374.18</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85.59</w:t>
      </w:r>
      <w:r>
        <w:rPr>
          <w:rFonts w:hint="eastAsia" w:ascii="仿宋" w:hAnsi="仿宋" w:eastAsia="仿宋" w:cs="仿宋"/>
          <w:color w:val="auto"/>
          <w:sz w:val="32"/>
          <w:szCs w:val="32"/>
        </w:rPr>
        <w:t>%,主要包括基本工资、津贴补贴、奖金、伙食补助费、机关事业单位基本养老保险缴费、职工基本医疗保险缴费、其他社会保障缴费、其他工资福利支出、退休费；公用经费</w:t>
      </w:r>
      <w:r>
        <w:rPr>
          <w:rFonts w:hint="eastAsia" w:ascii="仿宋" w:hAnsi="仿宋" w:eastAsia="仿宋" w:cs="仿宋"/>
          <w:color w:val="auto"/>
          <w:sz w:val="32"/>
          <w:szCs w:val="32"/>
          <w:lang w:val="en-US" w:eastAsia="zh-CN"/>
        </w:rPr>
        <w:t>62.99</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14.41</w:t>
      </w:r>
      <w:r>
        <w:rPr>
          <w:rFonts w:hint="eastAsia" w:ascii="仿宋" w:hAnsi="仿宋" w:eastAsia="仿宋" w:cs="仿宋"/>
          <w:color w:val="auto"/>
          <w:sz w:val="32"/>
          <w:szCs w:val="32"/>
        </w:rPr>
        <w:t>%，主要包括办公费、水费、电费、物业管理费、维修（护）费、差旅费、培训费、劳务费、工会经费。</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
          <w:bCs w:val="0"/>
          <w:color w:val="auto"/>
          <w:kern w:val="0"/>
          <w:sz w:val="32"/>
          <w:szCs w:val="32"/>
        </w:rPr>
      </w:pPr>
      <w:r>
        <w:rPr>
          <w:rFonts w:hint="eastAsia" w:ascii="仿宋" w:hAnsi="仿宋" w:eastAsia="仿宋" w:cs="仿宋"/>
          <w:b/>
          <w:bCs w:val="0"/>
          <w:color w:val="auto"/>
          <w:kern w:val="0"/>
          <w:sz w:val="32"/>
          <w:szCs w:val="32"/>
        </w:rPr>
        <w:t>七、一般公共预算财政拨款“三公”经费支出决算情况说明</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Cs/>
          <w:color w:val="auto"/>
          <w:kern w:val="0"/>
          <w:sz w:val="32"/>
          <w:szCs w:val="32"/>
        </w:rPr>
      </w:pPr>
      <w:r>
        <w:rPr>
          <w:rFonts w:hint="eastAsia" w:ascii="仿宋" w:hAnsi="仿宋" w:eastAsia="仿宋" w:cs="仿宋"/>
          <w:bCs/>
          <w:color w:val="auto"/>
          <w:kern w:val="0"/>
          <w:sz w:val="32"/>
          <w:szCs w:val="32"/>
        </w:rPr>
        <w:t>（一）“三公”经费财政拨款支出决算总体情况说明。</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“三公”经费财政拨款支出预算为4.</w:t>
      </w:r>
      <w:r>
        <w:rPr>
          <w:rFonts w:hint="eastAsia" w:ascii="仿宋" w:hAnsi="仿宋" w:eastAsia="仿宋" w:cs="仿宋"/>
          <w:color w:val="auto"/>
          <w:sz w:val="32"/>
          <w:szCs w:val="32"/>
          <w:lang w:val="en-US" w:eastAsia="zh-CN"/>
        </w:rPr>
        <w:t>44</w:t>
      </w:r>
      <w:r>
        <w:rPr>
          <w:rFonts w:hint="eastAsia" w:ascii="仿宋" w:hAnsi="仿宋" w:eastAsia="仿宋" w:cs="仿宋"/>
          <w:color w:val="auto"/>
          <w:sz w:val="32"/>
          <w:szCs w:val="32"/>
        </w:rPr>
        <w:t>万元，支出决算为0万元，完成预算的0%,其中：</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因公出国（境）费支出预算为0万元，支出决算为0万元，决算数与年初预算数持平，主要原因按预算执行，与上年数持平，主要原因本年度未安排因公出国（境）。</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公务接待费支出预算为1.</w:t>
      </w:r>
      <w:r>
        <w:rPr>
          <w:rFonts w:hint="eastAsia" w:ascii="仿宋" w:hAnsi="仿宋" w:eastAsia="仿宋" w:cs="仿宋"/>
          <w:color w:val="auto"/>
          <w:sz w:val="32"/>
          <w:szCs w:val="32"/>
          <w:lang w:val="en-US" w:eastAsia="zh-CN"/>
        </w:rPr>
        <w:t>61</w:t>
      </w:r>
      <w:r>
        <w:rPr>
          <w:rFonts w:hint="eastAsia" w:ascii="仿宋" w:hAnsi="仿宋" w:eastAsia="仿宋" w:cs="仿宋"/>
          <w:color w:val="auto"/>
          <w:sz w:val="32"/>
          <w:szCs w:val="32"/>
        </w:rPr>
        <w:t>万元，支出决算为0万元，完成预算的0%，决算数小于年初预算数的主要原因是严格开支三公经费，与上年相比持平</w:t>
      </w:r>
      <w:r>
        <w:rPr>
          <w:rFonts w:hint="eastAsia" w:ascii="仿宋" w:hAnsi="仿宋" w:eastAsia="仿宋" w:cs="仿宋"/>
          <w:color w:val="auto"/>
          <w:sz w:val="32"/>
          <w:szCs w:val="32"/>
          <w:lang w:eastAsia="zh-CN"/>
        </w:rPr>
        <w:t>，主要原因是厉行节约减少开支。</w:t>
      </w:r>
    </w:p>
    <w:p>
      <w:pPr>
        <w:pStyle w:val="10"/>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公务用车购置费及运行维护费支出预算为</w:t>
      </w:r>
      <w:r>
        <w:rPr>
          <w:rFonts w:hint="eastAsia" w:ascii="仿宋" w:hAnsi="仿宋" w:eastAsia="仿宋" w:cs="仿宋"/>
          <w:color w:val="auto"/>
          <w:sz w:val="32"/>
          <w:szCs w:val="32"/>
          <w:lang w:val="en-US" w:eastAsia="zh-CN"/>
        </w:rPr>
        <w:t>2.84</w:t>
      </w:r>
      <w:r>
        <w:rPr>
          <w:rFonts w:hint="eastAsia" w:ascii="仿宋" w:hAnsi="仿宋" w:eastAsia="仿宋" w:cs="仿宋"/>
          <w:color w:val="auto"/>
          <w:sz w:val="32"/>
          <w:szCs w:val="32"/>
        </w:rPr>
        <w:t>万元，支出决算为0万元，完成预算的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%，决算数与年初预算数持平</w:t>
      </w:r>
      <w:r>
        <w:rPr>
          <w:rFonts w:hint="eastAsia" w:ascii="仿宋" w:hAnsi="仿宋" w:eastAsia="仿宋" w:cs="仿宋"/>
          <w:color w:val="auto"/>
          <w:sz w:val="32"/>
          <w:szCs w:val="32"/>
          <w:lang w:eastAsia="zh-CN"/>
        </w:rPr>
        <w:t>，主要原因是厉行节约减少开支。</w:t>
      </w:r>
    </w:p>
    <w:p>
      <w:pPr>
        <w:keepNext w:val="0"/>
        <w:keepLines w:val="0"/>
        <w:pageBreakBefore w:val="0"/>
        <w:widowControl/>
        <w:kinsoku/>
        <w:wordWrap/>
        <w:overflowPunct/>
        <w:topLinePunct w:val="0"/>
        <w:bidi w:val="0"/>
        <w:snapToGrid/>
        <w:spacing w:beforeAutospacing="0" w:afterAutospacing="0" w:line="600" w:lineRule="exact"/>
        <w:ind w:firstLine="640" w:firstLineChars="200"/>
        <w:textAlignment w:val="auto"/>
        <w:rPr>
          <w:rFonts w:hint="eastAsia" w:ascii="仿宋" w:hAnsi="仿宋" w:eastAsia="仿宋" w:cs="仿宋"/>
          <w:bCs/>
          <w:color w:val="auto"/>
          <w:kern w:val="0"/>
          <w:sz w:val="32"/>
          <w:szCs w:val="32"/>
        </w:rPr>
      </w:pPr>
      <w:r>
        <w:rPr>
          <w:rFonts w:hint="eastAsia" w:ascii="仿宋" w:hAnsi="仿宋" w:eastAsia="仿宋" w:cs="仿宋"/>
          <w:bCs/>
          <w:color w:val="auto"/>
          <w:kern w:val="0"/>
          <w:sz w:val="32"/>
          <w:szCs w:val="32"/>
        </w:rPr>
        <w:t>（二）“三公”经费财政拨款支出决算具体情况说明。</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三公”经费财政拨款支出决算中，公务接待费支出决算0.00万元，因公出国（境）费支出决算0.00万元，公务用车购置费及运行维护费支出决算0.00万元。（由于“三公”经费财政拨款支出决算为0，无法计算百分比）具体情况如下：</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1、因公出国（境）费支出决算为0万元，全年安排因公出国（境）团组0个，累计0人次。</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2、公务接待费支出决算为0万元，全年共接待来访团组0个、来宾0人次。</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3、公务用车购置费及运行维护费支出决算为0万元，其中：公务用车购置费0万元，更新公务用车0辆。公务用车运行维护费0万元，截止2021年12月31日，我单位开支财政拨款的公务用车保有量为0辆。</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b/>
          <w:bCs w:val="0"/>
          <w:color w:val="auto"/>
          <w:kern w:val="0"/>
          <w:sz w:val="32"/>
          <w:szCs w:val="32"/>
        </w:rPr>
      </w:pPr>
      <w:r>
        <w:rPr>
          <w:rFonts w:hint="eastAsia" w:ascii="仿宋" w:hAnsi="仿宋" w:eastAsia="仿宋" w:cs="仿宋"/>
          <w:b/>
          <w:bCs/>
          <w:color w:val="auto"/>
          <w:sz w:val="32"/>
          <w:szCs w:val="32"/>
          <w:lang w:val="en-US" w:eastAsia="zh-CN"/>
        </w:rPr>
        <w:t>八、</w:t>
      </w:r>
      <w:r>
        <w:rPr>
          <w:rFonts w:hint="eastAsia" w:ascii="仿宋" w:hAnsi="仿宋" w:eastAsia="仿宋" w:cs="仿宋"/>
          <w:b/>
          <w:bCs w:val="0"/>
          <w:color w:val="auto"/>
          <w:kern w:val="0"/>
          <w:sz w:val="32"/>
          <w:szCs w:val="32"/>
        </w:rPr>
        <w:t>政府性基金预算收入支出决算情况</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本单位202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年度无政府性基金收支。</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九、国有资本经营预算财政拨款支出决算情况说明</w:t>
      </w:r>
    </w:p>
    <w:p>
      <w:pPr>
        <w:pStyle w:val="5"/>
        <w:keepNext w:val="0"/>
        <w:keepLines w:val="0"/>
        <w:pageBreakBefore w:val="0"/>
        <w:widowControl/>
        <w:numPr>
          <w:ilvl w:val="0"/>
          <w:numId w:val="0"/>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本单位无国有资本经营预算财政拨款支出</w:t>
      </w:r>
    </w:p>
    <w:p>
      <w:pPr>
        <w:pStyle w:val="5"/>
        <w:keepNext w:val="0"/>
        <w:keepLines w:val="0"/>
        <w:pageBreakBefore w:val="0"/>
        <w:widowControl/>
        <w:numPr>
          <w:ilvl w:val="0"/>
          <w:numId w:val="2"/>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机关运行经费支出情况</w:t>
      </w:r>
    </w:p>
    <w:p>
      <w:pPr>
        <w:pStyle w:val="5"/>
        <w:keepNext w:val="0"/>
        <w:keepLines w:val="0"/>
        <w:pageBreakBefore w:val="0"/>
        <w:widowControl/>
        <w:numPr>
          <w:ilvl w:val="0"/>
          <w:numId w:val="0"/>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本部门属非参公事业单位</w:t>
      </w:r>
    </w:p>
    <w:p>
      <w:pPr>
        <w:pStyle w:val="5"/>
        <w:keepNext w:val="0"/>
        <w:keepLines w:val="0"/>
        <w:pageBreakBefore w:val="0"/>
        <w:widowControl/>
        <w:numPr>
          <w:ilvl w:val="0"/>
          <w:numId w:val="0"/>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十一、一般性支出情况说明</w:t>
      </w:r>
    </w:p>
    <w:p>
      <w:pPr>
        <w:pStyle w:val="5"/>
        <w:keepNext w:val="0"/>
        <w:keepLines w:val="0"/>
        <w:pageBreakBefore w:val="0"/>
        <w:widowControl/>
        <w:numPr>
          <w:ilvl w:val="0"/>
          <w:numId w:val="0"/>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2021年本部门开支会议费0万元；开支培训费1.14万元；未举办节庆、赛事等活动。</w:t>
      </w:r>
    </w:p>
    <w:p>
      <w:pPr>
        <w:pStyle w:val="5"/>
        <w:keepNext w:val="0"/>
        <w:keepLines w:val="0"/>
        <w:pageBreakBefore w:val="0"/>
        <w:widowControl/>
        <w:numPr>
          <w:ilvl w:val="0"/>
          <w:numId w:val="0"/>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十二、政府采购支出情况</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本部门202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年度政府采购支出总额5.76万元，其中：政府采购货物支出5.76万元、政府采购工程支出0万元、政府采购服务支出0万元。授予中小企业合同金额5.76万元，占政府采购支出总额的100%。其中：授予小微企业合同金额</w:t>
      </w:r>
      <w:r>
        <w:rPr>
          <w:rFonts w:hint="eastAsia" w:ascii="仿宋" w:hAnsi="仿宋" w:eastAsia="仿宋" w:cs="仿宋"/>
          <w:color w:val="auto"/>
          <w:sz w:val="32"/>
          <w:szCs w:val="32"/>
          <w:lang w:val="en-US" w:eastAsia="zh-CN"/>
        </w:rPr>
        <w:t>5.76</w:t>
      </w:r>
      <w:r>
        <w:rPr>
          <w:rFonts w:hint="eastAsia" w:ascii="仿宋" w:hAnsi="仿宋" w:eastAsia="仿宋" w:cs="仿宋"/>
          <w:color w:val="auto"/>
          <w:sz w:val="32"/>
          <w:szCs w:val="32"/>
        </w:rPr>
        <w:t>万元，占政府采购支出总额的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十三、</w:t>
      </w:r>
      <w:r>
        <w:rPr>
          <w:rFonts w:hint="eastAsia" w:ascii="仿宋" w:hAnsi="仿宋" w:eastAsia="仿宋" w:cs="仿宋"/>
          <w:b/>
          <w:bCs/>
          <w:color w:val="auto"/>
          <w:sz w:val="32"/>
          <w:szCs w:val="32"/>
        </w:rPr>
        <w:t>国有资产占用情况</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年12月31日，本单位共有车辆0辆；单位价值50万元以上通用设备0台（套）；单位价值100万元以上专用设备0台（套）。 </w:t>
      </w:r>
    </w:p>
    <w:p>
      <w:pPr>
        <w:pStyle w:val="5"/>
        <w:keepNext w:val="0"/>
        <w:keepLines w:val="0"/>
        <w:pageBreakBefore w:val="0"/>
        <w:widowControl/>
        <w:numPr>
          <w:ilvl w:val="0"/>
          <w:numId w:val="3"/>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关于2021年度预算绩效情况说明</w:t>
      </w:r>
    </w:p>
    <w:p>
      <w:pPr>
        <w:pStyle w:val="5"/>
        <w:keepNext w:val="0"/>
        <w:keepLines w:val="0"/>
        <w:pageBreakBefore w:val="0"/>
        <w:widowControl/>
        <w:numPr>
          <w:ilvl w:val="0"/>
          <w:numId w:val="0"/>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本年度我单位进一步完善了预算绩效的管理，并根据有关规定要求，结合内部控制制度的建立，完善了202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预算绩效管理工作考核办法，进一步提高工作考核的科学性和有效性。根据预算绩效管理要求，本年度我单位进一步完善了预算绩效的管理，通过设定绩效目标，执行上级主管部门的指示和决定。实行保育和教育相结合的原则，对幼儿实施体、智、德、美诸方面全面发展的教育，促进其身心和谐发展。为家长解除后顾之忧，热忱为家长服务。自评报告见附件。</w:t>
      </w:r>
    </w:p>
    <w:p>
      <w:pPr>
        <w:pStyle w:val="5"/>
        <w:keepNext w:val="0"/>
        <w:keepLines w:val="0"/>
        <w:pageBreakBefore w:val="0"/>
        <w:widowControl/>
        <w:numPr>
          <w:ilvl w:val="0"/>
          <w:numId w:val="0"/>
        </w:numPr>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本单位无重点项目，因此无重点项目绩效报告。</w:t>
      </w:r>
    </w:p>
    <w:p>
      <w:pPr>
        <w:pStyle w:val="10"/>
        <w:keepNext w:val="0"/>
        <w:keepLines w:val="0"/>
        <w:pageBreakBefore w:val="0"/>
        <w:widowControl w:val="0"/>
        <w:kinsoku/>
        <w:wordWrap/>
        <w:overflowPunct/>
        <w:topLinePunct w:val="0"/>
        <w:autoSpaceDE w:val="0"/>
        <w:autoSpaceDN w:val="0"/>
        <w:bidi w:val="0"/>
        <w:snapToGrid/>
        <w:spacing w:beforeAutospacing="0" w:afterAutospacing="0" w:line="600" w:lineRule="exact"/>
        <w:ind w:firstLine="0" w:firstLineChars="0"/>
        <w:jc w:val="center"/>
        <w:textAlignment w:val="auto"/>
        <w:rPr>
          <w:rFonts w:hint="eastAsia" w:ascii="黑体" w:hAnsi="黑体" w:eastAsia="黑体" w:cs="黑体"/>
          <w:color w:val="auto"/>
          <w:kern w:val="0"/>
          <w:sz w:val="36"/>
          <w:szCs w:val="36"/>
        </w:rPr>
      </w:pPr>
      <w:r>
        <w:rPr>
          <w:rFonts w:hint="eastAsia" w:ascii="黑体" w:hAnsi="黑体" w:eastAsia="黑体" w:cs="黑体"/>
          <w:color w:val="auto"/>
          <w:sz w:val="36"/>
          <w:szCs w:val="36"/>
        </w:rPr>
        <w:t>第四部分</w:t>
      </w:r>
      <w:r>
        <w:rPr>
          <w:rFonts w:hint="eastAsia" w:ascii="黑体" w:hAnsi="黑体" w:eastAsia="黑体" w:cs="黑体"/>
          <w:color w:val="auto"/>
          <w:sz w:val="36"/>
          <w:szCs w:val="36"/>
          <w:lang w:val="en-US" w:eastAsia="zh-CN"/>
        </w:rPr>
        <w:t xml:space="preserve"> </w:t>
      </w:r>
      <w:r>
        <w:rPr>
          <w:rFonts w:hint="eastAsia" w:ascii="黑体" w:hAnsi="黑体" w:eastAsia="黑体" w:cs="黑体"/>
          <w:color w:val="auto"/>
          <w:kern w:val="0"/>
          <w:sz w:val="36"/>
          <w:szCs w:val="36"/>
        </w:rPr>
        <w:t>名词解释</w:t>
      </w:r>
    </w:p>
    <w:p>
      <w:pPr>
        <w:keepNext w:val="0"/>
        <w:keepLines w:val="0"/>
        <w:pageBreakBefore w:val="0"/>
        <w:widowControl/>
        <w:kinsoku/>
        <w:wordWrap/>
        <w:overflowPunct/>
        <w:topLinePunct w:val="0"/>
        <w:bidi w:val="0"/>
        <w:snapToGrid/>
        <w:spacing w:beforeAutospacing="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rPr>
      </w:pPr>
    </w:p>
    <w:p>
      <w:pPr>
        <w:pStyle w:val="10"/>
        <w:keepNext w:val="0"/>
        <w:keepLines w:val="0"/>
        <w:pageBreakBefore w:val="0"/>
        <w:widowControl w:val="0"/>
        <w:kinsoku/>
        <w:wordWrap/>
        <w:overflowPunct/>
        <w:topLinePunct w:val="0"/>
        <w:autoSpaceDE w:val="0"/>
        <w:autoSpaceDN w:val="0"/>
        <w:bidi w:val="0"/>
        <w:snapToGrid/>
        <w:spacing w:beforeAutospacing="0" w:afterAutospacing="0" w:line="600" w:lineRule="exact"/>
        <w:ind w:firstLine="0" w:firstLineChars="0"/>
        <w:jc w:val="center"/>
        <w:textAlignment w:val="auto"/>
        <w:rPr>
          <w:rFonts w:hint="eastAsia" w:ascii="黑体" w:hAnsi="黑体" w:eastAsia="黑体" w:cs="黑体"/>
          <w:color w:val="auto"/>
          <w:kern w:val="0"/>
          <w:sz w:val="36"/>
          <w:szCs w:val="36"/>
        </w:rPr>
      </w:pPr>
      <w:r>
        <w:rPr>
          <w:rFonts w:hint="eastAsia" w:ascii="黑体" w:hAnsi="黑体" w:eastAsia="黑体" w:cs="黑体"/>
          <w:color w:val="auto"/>
          <w:sz w:val="36"/>
          <w:szCs w:val="36"/>
        </w:rPr>
        <w:t>第五部分</w:t>
      </w:r>
      <w:r>
        <w:rPr>
          <w:rFonts w:hint="eastAsia" w:ascii="黑体" w:hAnsi="黑体" w:eastAsia="黑体" w:cs="黑体"/>
          <w:color w:val="auto"/>
          <w:kern w:val="0"/>
          <w:sz w:val="36"/>
          <w:szCs w:val="36"/>
        </w:rPr>
        <w:t>附件</w:t>
      </w:r>
    </w:p>
    <w:p>
      <w:pPr>
        <w:keepNext w:val="0"/>
        <w:keepLines w:val="0"/>
        <w:pageBreakBefore w:val="0"/>
        <w:widowControl/>
        <w:kinsoku/>
        <w:wordWrap/>
        <w:overflowPunct/>
        <w:topLinePunct w:val="0"/>
        <w:bidi w:val="0"/>
        <w:snapToGrid/>
        <w:spacing w:beforeAutospacing="0" w:afterAutospacing="0" w:line="600" w:lineRule="exact"/>
        <w:ind w:firstLine="640" w:firstLineChars="200"/>
        <w:jc w:val="left"/>
        <w:textAlignment w:val="auto"/>
        <w:rPr>
          <w:rFonts w:hint="eastAsia" w:ascii="仿宋" w:hAnsi="仿宋" w:eastAsia="仿宋" w:cs="仿宋"/>
          <w:color w:val="auto"/>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3CFA4"/>
    <w:multiLevelType w:val="singleLevel"/>
    <w:tmpl w:val="8E33CFA4"/>
    <w:lvl w:ilvl="0" w:tentative="0">
      <w:start w:val="2"/>
      <w:numFmt w:val="chineseCounting"/>
      <w:suff w:val="nothing"/>
      <w:lvlText w:val="（%1）"/>
      <w:lvlJc w:val="left"/>
      <w:rPr>
        <w:rFonts w:hint="eastAsia" w:cs="Times New Roman"/>
      </w:rPr>
    </w:lvl>
  </w:abstractNum>
  <w:abstractNum w:abstractNumId="1">
    <w:nsid w:val="F87FADA2"/>
    <w:multiLevelType w:val="singleLevel"/>
    <w:tmpl w:val="F87FADA2"/>
    <w:lvl w:ilvl="0" w:tentative="0">
      <w:start w:val="14"/>
      <w:numFmt w:val="chineseCounting"/>
      <w:suff w:val="nothing"/>
      <w:lvlText w:val="%1、"/>
      <w:lvlJc w:val="left"/>
      <w:rPr>
        <w:rFonts w:hint="eastAsia"/>
      </w:rPr>
    </w:lvl>
  </w:abstractNum>
  <w:abstractNum w:abstractNumId="2">
    <w:nsid w:val="FE8CCC0A"/>
    <w:multiLevelType w:val="singleLevel"/>
    <w:tmpl w:val="FE8CCC0A"/>
    <w:lvl w:ilvl="0" w:tentative="0">
      <w:start w:val="10"/>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OWRiOGQ2Yzg0MDliNzY4ZTgxYzY5YjQ1NzM1NGUifQ=="/>
  </w:docVars>
  <w:rsids>
    <w:rsidRoot w:val="004506F9"/>
    <w:rsid w:val="0002229B"/>
    <w:rsid w:val="00024CB6"/>
    <w:rsid w:val="000273BD"/>
    <w:rsid w:val="00034F8B"/>
    <w:rsid w:val="000415B7"/>
    <w:rsid w:val="00047DF6"/>
    <w:rsid w:val="00063B59"/>
    <w:rsid w:val="000658A3"/>
    <w:rsid w:val="00072199"/>
    <w:rsid w:val="00074155"/>
    <w:rsid w:val="0008240F"/>
    <w:rsid w:val="000A3F69"/>
    <w:rsid w:val="000A4E93"/>
    <w:rsid w:val="000A57FB"/>
    <w:rsid w:val="000A7C35"/>
    <w:rsid w:val="000B3BE1"/>
    <w:rsid w:val="000B6F01"/>
    <w:rsid w:val="000C1C35"/>
    <w:rsid w:val="001346F8"/>
    <w:rsid w:val="00137463"/>
    <w:rsid w:val="00152C6D"/>
    <w:rsid w:val="001530A6"/>
    <w:rsid w:val="00154491"/>
    <w:rsid w:val="00157BB7"/>
    <w:rsid w:val="00162D39"/>
    <w:rsid w:val="00171CD8"/>
    <w:rsid w:val="00175D99"/>
    <w:rsid w:val="0018278A"/>
    <w:rsid w:val="00184FC2"/>
    <w:rsid w:val="00196D00"/>
    <w:rsid w:val="001A67DB"/>
    <w:rsid w:val="001B5FF8"/>
    <w:rsid w:val="001C6CE7"/>
    <w:rsid w:val="001D31E9"/>
    <w:rsid w:val="001D51E5"/>
    <w:rsid w:val="001E5B7A"/>
    <w:rsid w:val="001F0C3B"/>
    <w:rsid w:val="001F0D4A"/>
    <w:rsid w:val="00204367"/>
    <w:rsid w:val="00205231"/>
    <w:rsid w:val="0020556F"/>
    <w:rsid w:val="00213A27"/>
    <w:rsid w:val="00214427"/>
    <w:rsid w:val="00233BB4"/>
    <w:rsid w:val="0024264C"/>
    <w:rsid w:val="0024420A"/>
    <w:rsid w:val="00252149"/>
    <w:rsid w:val="00254774"/>
    <w:rsid w:val="002622BE"/>
    <w:rsid w:val="0026441B"/>
    <w:rsid w:val="0026474C"/>
    <w:rsid w:val="00265724"/>
    <w:rsid w:val="0027426B"/>
    <w:rsid w:val="0027483F"/>
    <w:rsid w:val="00297328"/>
    <w:rsid w:val="002A221C"/>
    <w:rsid w:val="002E6C7C"/>
    <w:rsid w:val="003000D9"/>
    <w:rsid w:val="00311D18"/>
    <w:rsid w:val="0031506E"/>
    <w:rsid w:val="00326780"/>
    <w:rsid w:val="0033466F"/>
    <w:rsid w:val="00337B12"/>
    <w:rsid w:val="003479BD"/>
    <w:rsid w:val="003652EB"/>
    <w:rsid w:val="00375FA4"/>
    <w:rsid w:val="003768D5"/>
    <w:rsid w:val="003A1245"/>
    <w:rsid w:val="003B00B7"/>
    <w:rsid w:val="003B0B60"/>
    <w:rsid w:val="003B77DD"/>
    <w:rsid w:val="003D4F64"/>
    <w:rsid w:val="0042519C"/>
    <w:rsid w:val="00431318"/>
    <w:rsid w:val="004320A1"/>
    <w:rsid w:val="00444E68"/>
    <w:rsid w:val="004506F9"/>
    <w:rsid w:val="004533D1"/>
    <w:rsid w:val="004717A2"/>
    <w:rsid w:val="0047312D"/>
    <w:rsid w:val="00491741"/>
    <w:rsid w:val="004A518F"/>
    <w:rsid w:val="004A78D6"/>
    <w:rsid w:val="004D2E9E"/>
    <w:rsid w:val="004E1056"/>
    <w:rsid w:val="00500E5F"/>
    <w:rsid w:val="005122EF"/>
    <w:rsid w:val="00517C33"/>
    <w:rsid w:val="00523644"/>
    <w:rsid w:val="0054069E"/>
    <w:rsid w:val="00551F1A"/>
    <w:rsid w:val="00553CB3"/>
    <w:rsid w:val="0056101B"/>
    <w:rsid w:val="005767CC"/>
    <w:rsid w:val="00590D9F"/>
    <w:rsid w:val="00594E2D"/>
    <w:rsid w:val="00595D26"/>
    <w:rsid w:val="005A02C1"/>
    <w:rsid w:val="005A74E6"/>
    <w:rsid w:val="005D2B19"/>
    <w:rsid w:val="005D4D55"/>
    <w:rsid w:val="005E2CFB"/>
    <w:rsid w:val="005E3DEC"/>
    <w:rsid w:val="006152C5"/>
    <w:rsid w:val="0062378F"/>
    <w:rsid w:val="00626909"/>
    <w:rsid w:val="006321C0"/>
    <w:rsid w:val="00642C13"/>
    <w:rsid w:val="00651EEC"/>
    <w:rsid w:val="00695534"/>
    <w:rsid w:val="006A1560"/>
    <w:rsid w:val="006A351B"/>
    <w:rsid w:val="006A6988"/>
    <w:rsid w:val="006B0422"/>
    <w:rsid w:val="006C1B53"/>
    <w:rsid w:val="006C4EB9"/>
    <w:rsid w:val="006D7730"/>
    <w:rsid w:val="006E5284"/>
    <w:rsid w:val="006F083B"/>
    <w:rsid w:val="006F3EB5"/>
    <w:rsid w:val="006F5EA0"/>
    <w:rsid w:val="00702E34"/>
    <w:rsid w:val="00704395"/>
    <w:rsid w:val="007045AD"/>
    <w:rsid w:val="007157AE"/>
    <w:rsid w:val="00720FF1"/>
    <w:rsid w:val="00756D51"/>
    <w:rsid w:val="00762ED3"/>
    <w:rsid w:val="007A1549"/>
    <w:rsid w:val="007E190A"/>
    <w:rsid w:val="007E40FB"/>
    <w:rsid w:val="00812ED5"/>
    <w:rsid w:val="008277D9"/>
    <w:rsid w:val="008349B1"/>
    <w:rsid w:val="00845B2D"/>
    <w:rsid w:val="00853CB4"/>
    <w:rsid w:val="008A3E8D"/>
    <w:rsid w:val="008C0633"/>
    <w:rsid w:val="008C0BF4"/>
    <w:rsid w:val="008D0332"/>
    <w:rsid w:val="008E0E80"/>
    <w:rsid w:val="0091131F"/>
    <w:rsid w:val="0091556E"/>
    <w:rsid w:val="00917684"/>
    <w:rsid w:val="009237C4"/>
    <w:rsid w:val="009278A7"/>
    <w:rsid w:val="00935434"/>
    <w:rsid w:val="00950252"/>
    <w:rsid w:val="009527EE"/>
    <w:rsid w:val="009555B1"/>
    <w:rsid w:val="00967F5D"/>
    <w:rsid w:val="00973404"/>
    <w:rsid w:val="00992115"/>
    <w:rsid w:val="009A0F95"/>
    <w:rsid w:val="009B3ADF"/>
    <w:rsid w:val="009B606B"/>
    <w:rsid w:val="009C3B52"/>
    <w:rsid w:val="009D786B"/>
    <w:rsid w:val="00A01D6B"/>
    <w:rsid w:val="00A12272"/>
    <w:rsid w:val="00A335EC"/>
    <w:rsid w:val="00A3727C"/>
    <w:rsid w:val="00A42218"/>
    <w:rsid w:val="00A55D9A"/>
    <w:rsid w:val="00A70249"/>
    <w:rsid w:val="00A72A8D"/>
    <w:rsid w:val="00A81667"/>
    <w:rsid w:val="00AA0071"/>
    <w:rsid w:val="00AC1965"/>
    <w:rsid w:val="00AC421F"/>
    <w:rsid w:val="00AE3992"/>
    <w:rsid w:val="00B21FC9"/>
    <w:rsid w:val="00B33BEA"/>
    <w:rsid w:val="00B33D98"/>
    <w:rsid w:val="00B4700D"/>
    <w:rsid w:val="00B57C9F"/>
    <w:rsid w:val="00B6250E"/>
    <w:rsid w:val="00B65F28"/>
    <w:rsid w:val="00B67D62"/>
    <w:rsid w:val="00B74C95"/>
    <w:rsid w:val="00B845B3"/>
    <w:rsid w:val="00B85D8B"/>
    <w:rsid w:val="00B865F5"/>
    <w:rsid w:val="00B96715"/>
    <w:rsid w:val="00BD09C8"/>
    <w:rsid w:val="00BE3674"/>
    <w:rsid w:val="00C27B79"/>
    <w:rsid w:val="00C3049A"/>
    <w:rsid w:val="00C31B1E"/>
    <w:rsid w:val="00C55F04"/>
    <w:rsid w:val="00C77645"/>
    <w:rsid w:val="00C817FC"/>
    <w:rsid w:val="00CA03F5"/>
    <w:rsid w:val="00CC32C6"/>
    <w:rsid w:val="00CE04C3"/>
    <w:rsid w:val="00CE6EC8"/>
    <w:rsid w:val="00CE76A0"/>
    <w:rsid w:val="00CF559C"/>
    <w:rsid w:val="00D05437"/>
    <w:rsid w:val="00D148C6"/>
    <w:rsid w:val="00D43967"/>
    <w:rsid w:val="00D44AFC"/>
    <w:rsid w:val="00D4669B"/>
    <w:rsid w:val="00D746F0"/>
    <w:rsid w:val="00D91AA4"/>
    <w:rsid w:val="00DD06FF"/>
    <w:rsid w:val="00DD2B13"/>
    <w:rsid w:val="00DD5FE9"/>
    <w:rsid w:val="00DD738F"/>
    <w:rsid w:val="00DF5960"/>
    <w:rsid w:val="00E00C7A"/>
    <w:rsid w:val="00E15CAD"/>
    <w:rsid w:val="00E17126"/>
    <w:rsid w:val="00E27285"/>
    <w:rsid w:val="00E3204C"/>
    <w:rsid w:val="00E4646A"/>
    <w:rsid w:val="00E55B68"/>
    <w:rsid w:val="00E57EE2"/>
    <w:rsid w:val="00E64454"/>
    <w:rsid w:val="00E70857"/>
    <w:rsid w:val="00E7262A"/>
    <w:rsid w:val="00E75674"/>
    <w:rsid w:val="00E833FC"/>
    <w:rsid w:val="00EA4995"/>
    <w:rsid w:val="00EC5448"/>
    <w:rsid w:val="00EE763C"/>
    <w:rsid w:val="00EF1A5C"/>
    <w:rsid w:val="00F14FFF"/>
    <w:rsid w:val="00F5036D"/>
    <w:rsid w:val="00F61BC7"/>
    <w:rsid w:val="00F65C9D"/>
    <w:rsid w:val="00F724FA"/>
    <w:rsid w:val="00F74360"/>
    <w:rsid w:val="00FA5D5A"/>
    <w:rsid w:val="00FB462F"/>
    <w:rsid w:val="00FC3E35"/>
    <w:rsid w:val="00FE16FA"/>
    <w:rsid w:val="00FE328A"/>
    <w:rsid w:val="00FF4D94"/>
    <w:rsid w:val="00FF57E7"/>
    <w:rsid w:val="0216281D"/>
    <w:rsid w:val="04AB1290"/>
    <w:rsid w:val="06FF6413"/>
    <w:rsid w:val="08354E1D"/>
    <w:rsid w:val="08443F00"/>
    <w:rsid w:val="08DA5BE8"/>
    <w:rsid w:val="0ABC216B"/>
    <w:rsid w:val="0E0250A3"/>
    <w:rsid w:val="109C2465"/>
    <w:rsid w:val="121A225E"/>
    <w:rsid w:val="17284F4E"/>
    <w:rsid w:val="1B0C2339"/>
    <w:rsid w:val="1EE66043"/>
    <w:rsid w:val="20854920"/>
    <w:rsid w:val="217C241A"/>
    <w:rsid w:val="26BE363C"/>
    <w:rsid w:val="28420576"/>
    <w:rsid w:val="29AE436A"/>
    <w:rsid w:val="2CDD64C4"/>
    <w:rsid w:val="2CFE0EFF"/>
    <w:rsid w:val="2F0E2D4D"/>
    <w:rsid w:val="32C47B2D"/>
    <w:rsid w:val="34562CDC"/>
    <w:rsid w:val="3A3C67FB"/>
    <w:rsid w:val="3CA8213A"/>
    <w:rsid w:val="3D4A2BD7"/>
    <w:rsid w:val="40CC7E49"/>
    <w:rsid w:val="441B7BDF"/>
    <w:rsid w:val="4AD35694"/>
    <w:rsid w:val="4AE86DE3"/>
    <w:rsid w:val="502634E0"/>
    <w:rsid w:val="519108A5"/>
    <w:rsid w:val="533F2EA3"/>
    <w:rsid w:val="5A380B96"/>
    <w:rsid w:val="5D213B63"/>
    <w:rsid w:val="5E5205F6"/>
    <w:rsid w:val="63D4270A"/>
    <w:rsid w:val="662F58D0"/>
    <w:rsid w:val="67064D50"/>
    <w:rsid w:val="686B33C5"/>
    <w:rsid w:val="6970320D"/>
    <w:rsid w:val="6C637DE8"/>
    <w:rsid w:val="73DC608A"/>
    <w:rsid w:val="75456D79"/>
    <w:rsid w:val="75F669BB"/>
    <w:rsid w:val="77147E3D"/>
    <w:rsid w:val="796C0DB6"/>
    <w:rsid w:val="79F27C8B"/>
    <w:rsid w:val="7B767595"/>
    <w:rsid w:val="7C901792"/>
    <w:rsid w:val="7D3732E0"/>
    <w:rsid w:val="7DF562A7"/>
    <w:rsid w:val="7E5C419C"/>
    <w:rsid w:val="7EFE0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4EE2E-87A9-4A3A-A3F1-E85D0991B1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3660</Words>
  <Characters>3975</Characters>
  <Lines>58</Lines>
  <Paragraphs>16</Paragraphs>
  <TotalTime>1</TotalTime>
  <ScaleCrop>false</ScaleCrop>
  <LinksUpToDate>false</LinksUpToDate>
  <CharactersWithSpaces>3978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天晴</cp:lastModifiedBy>
  <cp:lastPrinted>2020-07-15T07:25:00Z</cp:lastPrinted>
  <dcterms:modified xsi:type="dcterms:W3CDTF">2023-10-12T00:25:19Z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597BB38EADA0435DBAF9D1000FE94BAA_13</vt:lpwstr>
  </property>
</Properties>
</file>