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9E4D5">
      <w:pPr>
        <w:jc w:val="center"/>
        <w:rPr>
          <w:rFonts w:ascii="Times New Roman" w:hAnsi="Times New Roman" w:eastAsia="方正小标宋_GBK" w:cs="Times New Roman"/>
          <w:sz w:val="52"/>
          <w:szCs w:val="52"/>
        </w:rPr>
      </w:pPr>
    </w:p>
    <w:p w14:paraId="0A1C60BA">
      <w:pPr>
        <w:jc w:val="center"/>
        <w:rPr>
          <w:rFonts w:ascii="Times New Roman" w:hAnsi="Times New Roman" w:eastAsia="方正小标宋_GBK" w:cs="Times New Roman"/>
          <w:sz w:val="52"/>
          <w:szCs w:val="52"/>
        </w:rPr>
      </w:pPr>
    </w:p>
    <w:p w14:paraId="27F7EC27">
      <w:pPr>
        <w:jc w:val="center"/>
        <w:rPr>
          <w:rFonts w:ascii="Times New Roman" w:hAnsi="Times New Roman" w:eastAsia="方正小标宋_GBK" w:cs="Times New Roman"/>
          <w:sz w:val="52"/>
          <w:szCs w:val="52"/>
        </w:rPr>
      </w:pPr>
      <w:bookmarkStart w:id="0" w:name="_GoBack"/>
      <w:bookmarkEnd w:id="0"/>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2</w:t>
      </w:r>
      <w:r>
        <w:rPr>
          <w:rFonts w:ascii="Times New Roman" w:hAnsi="Times New Roman" w:eastAsia="方正小标宋_GBK" w:cs="Times New Roman"/>
          <w:sz w:val="52"/>
          <w:szCs w:val="52"/>
        </w:rPr>
        <w:t>年度</w:t>
      </w:r>
      <w:r>
        <w:rPr>
          <w:rFonts w:hint="eastAsia" w:ascii="Times New Roman" w:hAnsi="Times New Roman" w:eastAsia="方正小标宋_GBK" w:cs="Times New Roman"/>
          <w:sz w:val="52"/>
          <w:szCs w:val="52"/>
        </w:rPr>
        <w:t>怀化市市委市政府机关幼儿园</w:t>
      </w:r>
      <w:r>
        <w:rPr>
          <w:rFonts w:ascii="Times New Roman" w:hAnsi="Times New Roman" w:eastAsia="方正小标宋_GBK" w:cs="Times New Roman"/>
          <w:sz w:val="52"/>
          <w:szCs w:val="52"/>
        </w:rPr>
        <w:t>整体支出绩效自评报告</w:t>
      </w:r>
    </w:p>
    <w:p w14:paraId="1E431D4C">
      <w:pPr>
        <w:jc w:val="both"/>
        <w:rPr>
          <w:rFonts w:ascii="Times New Roman" w:hAnsi="Times New Roman" w:eastAsia="楷体_GB2312" w:cs="Times New Roman"/>
          <w:b/>
          <w:sz w:val="32"/>
          <w:szCs w:val="32"/>
        </w:rPr>
      </w:pPr>
    </w:p>
    <w:p w14:paraId="0214D9C7">
      <w:pPr>
        <w:jc w:val="center"/>
        <w:rPr>
          <w:rFonts w:ascii="Times New Roman" w:hAnsi="Times New Roman" w:eastAsia="黑体" w:cs="Times New Roman"/>
          <w:sz w:val="32"/>
          <w:szCs w:val="32"/>
        </w:rPr>
      </w:pPr>
    </w:p>
    <w:p w14:paraId="64E12B63">
      <w:pPr>
        <w:jc w:val="center"/>
        <w:rPr>
          <w:rFonts w:ascii="Times New Roman" w:hAnsi="Times New Roman" w:eastAsia="黑体" w:cs="Times New Roman"/>
          <w:sz w:val="32"/>
          <w:szCs w:val="32"/>
        </w:rPr>
      </w:pPr>
    </w:p>
    <w:p w14:paraId="592B4786">
      <w:pPr>
        <w:jc w:val="center"/>
        <w:rPr>
          <w:rFonts w:ascii="Times New Roman" w:hAnsi="Times New Roman" w:eastAsia="黑体" w:cs="Times New Roman"/>
          <w:sz w:val="32"/>
          <w:szCs w:val="32"/>
        </w:rPr>
      </w:pPr>
    </w:p>
    <w:p w14:paraId="5A306529">
      <w:pPr>
        <w:jc w:val="center"/>
        <w:rPr>
          <w:rFonts w:ascii="Times New Roman" w:hAnsi="Times New Roman" w:eastAsia="黑体" w:cs="Times New Roman"/>
          <w:sz w:val="32"/>
          <w:szCs w:val="32"/>
        </w:rPr>
      </w:pPr>
    </w:p>
    <w:p w14:paraId="4EBD12B7">
      <w:pPr>
        <w:jc w:val="center"/>
        <w:rPr>
          <w:rFonts w:ascii="Times New Roman" w:hAnsi="Times New Roman" w:eastAsia="黑体" w:cs="Times New Roman"/>
          <w:sz w:val="32"/>
          <w:szCs w:val="32"/>
        </w:rPr>
      </w:pPr>
    </w:p>
    <w:p w14:paraId="45360EBF">
      <w:pPr>
        <w:jc w:val="center"/>
        <w:rPr>
          <w:rFonts w:ascii="Times New Roman" w:hAnsi="Times New Roman" w:eastAsia="黑体" w:cs="Times New Roman"/>
          <w:sz w:val="32"/>
          <w:szCs w:val="32"/>
        </w:rPr>
      </w:pPr>
    </w:p>
    <w:p w14:paraId="672BB804">
      <w:pPr>
        <w:jc w:val="both"/>
        <w:rPr>
          <w:rFonts w:ascii="Times New Roman" w:hAnsi="Times New Roman" w:eastAsia="黑体" w:cs="Times New Roman"/>
          <w:sz w:val="32"/>
          <w:szCs w:val="32"/>
        </w:rPr>
      </w:pPr>
    </w:p>
    <w:p w14:paraId="344E3BA7">
      <w:pPr>
        <w:jc w:val="center"/>
        <w:rPr>
          <w:rFonts w:ascii="Times New Roman" w:hAnsi="Times New Roman" w:eastAsia="黑体" w:cs="Times New Roman"/>
          <w:sz w:val="32"/>
          <w:szCs w:val="32"/>
        </w:rPr>
      </w:pPr>
    </w:p>
    <w:p w14:paraId="63000173">
      <w:pPr>
        <w:spacing w:line="600" w:lineRule="exact"/>
        <w:ind w:firstLine="1938"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eastAsia" w:ascii="Times New Roman" w:hAnsi="Times New Roman" w:eastAsia="仿宋_GB2312" w:cs="Times New Roman"/>
          <w:sz w:val="32"/>
          <w:szCs w:val="32"/>
          <w:lang w:val="en-US" w:eastAsia="zh-CN"/>
        </w:rPr>
        <w:t>:市委市政府机关幼儿园</w:t>
      </w:r>
    </w:p>
    <w:p w14:paraId="6742AFCB">
      <w:pPr>
        <w:spacing w:line="600" w:lineRule="exact"/>
        <w:ind w:firstLine="3230" w:firstLineChars="10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2023</w:t>
      </w:r>
      <w:r>
        <w:rPr>
          <w:rFonts w:ascii="Times New Roman" w:hAnsi="Times New Roman" w:eastAsia="楷体_GB2312" w:cs="Times New Roman"/>
          <w:sz w:val="32"/>
          <w:szCs w:val="32"/>
        </w:rPr>
        <w:t xml:space="preserve">年 </w:t>
      </w:r>
      <w:r>
        <w:rPr>
          <w:rFonts w:hint="eastAsia" w:ascii="Times New Roman" w:hAnsi="Times New Roman" w:eastAsia="楷体_GB2312" w:cs="Times New Roman"/>
          <w:sz w:val="32"/>
          <w:szCs w:val="32"/>
          <w:lang w:val="en-US" w:eastAsia="zh-CN"/>
        </w:rPr>
        <w:t>7</w:t>
      </w:r>
      <w:r>
        <w:rPr>
          <w:rFonts w:ascii="Times New Roman" w:hAnsi="Times New Roman" w:eastAsia="楷体_GB2312" w:cs="Times New Roman"/>
          <w:sz w:val="32"/>
          <w:szCs w:val="32"/>
        </w:rPr>
        <w:t xml:space="preserve"> 月 </w:t>
      </w:r>
      <w:r>
        <w:rPr>
          <w:rFonts w:hint="eastAsia" w:ascii="Times New Roman" w:hAnsi="Times New Roman" w:eastAsia="楷体_GB2312" w:cs="Times New Roman"/>
          <w:sz w:val="32"/>
          <w:szCs w:val="32"/>
          <w:lang w:val="en-US" w:eastAsia="zh-CN"/>
        </w:rPr>
        <w:t>15</w:t>
      </w:r>
      <w:r>
        <w:rPr>
          <w:rFonts w:ascii="Times New Roman" w:hAnsi="Times New Roman" w:eastAsia="楷体_GB2312" w:cs="Times New Roman"/>
          <w:sz w:val="32"/>
          <w:szCs w:val="32"/>
        </w:rPr>
        <w:t>日</w:t>
      </w:r>
    </w:p>
    <w:p w14:paraId="259DCEDD">
      <w:pPr>
        <w:jc w:val="center"/>
        <w:rPr>
          <w:rFonts w:ascii="Times New Roman" w:hAnsi="Times New Roman" w:eastAsia="黑体" w:cs="Times New Roman"/>
          <w:sz w:val="32"/>
          <w:szCs w:val="32"/>
        </w:rPr>
      </w:pPr>
    </w:p>
    <w:p w14:paraId="53B169E8">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（此页为封面）</w:t>
      </w:r>
    </w:p>
    <w:p w14:paraId="4443E7B1">
      <w:pPr>
        <w:spacing w:line="600" w:lineRule="exact"/>
        <w:jc w:val="center"/>
        <w:rPr>
          <w:rFonts w:hint="eastAsia" w:ascii="方正小标宋_GBK" w:eastAsia="方正小标宋_GBK"/>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怀化市市委市政府机关幼儿园</w:t>
      </w:r>
    </w:p>
    <w:p w14:paraId="0A0EE38A">
      <w:pPr>
        <w:spacing w:line="600" w:lineRule="exact"/>
        <w:jc w:val="center"/>
        <w:rPr>
          <w:rFonts w:hint="eastAsia" w:ascii="方正小标宋_GBK" w:eastAsia="方正小标宋_GBK"/>
          <w:sz w:val="44"/>
          <w:szCs w:val="44"/>
        </w:rPr>
      </w:pPr>
      <w:r>
        <w:rPr>
          <w:rFonts w:hint="eastAsia" w:ascii="方正小标宋_GBK" w:eastAsia="方正小标宋_GBK"/>
          <w:sz w:val="44"/>
          <w:szCs w:val="44"/>
        </w:rPr>
        <w:t>202</w:t>
      </w:r>
      <w:r>
        <w:rPr>
          <w:rFonts w:hint="eastAsia" w:ascii="方正小标宋_GBK" w:eastAsia="方正小标宋_GBK"/>
          <w:sz w:val="44"/>
          <w:szCs w:val="44"/>
          <w:lang w:val="en-US" w:eastAsia="zh-CN"/>
        </w:rPr>
        <w:t>2</w:t>
      </w:r>
      <w:r>
        <w:rPr>
          <w:rFonts w:hint="eastAsia" w:ascii="方正小标宋_GBK" w:eastAsia="方正小标宋_GBK"/>
          <w:sz w:val="44"/>
          <w:szCs w:val="44"/>
        </w:rPr>
        <w:t>年部门整体绩效自评报告</w:t>
      </w:r>
    </w:p>
    <w:p w14:paraId="26C293F7">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一、部门概况</w:t>
      </w:r>
    </w:p>
    <w:p w14:paraId="2AFC3135">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（一）部门基本情况</w:t>
      </w:r>
    </w:p>
    <w:p w14:paraId="676E1138">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1、在职人员情况</w:t>
      </w:r>
    </w:p>
    <w:p w14:paraId="5AD20278">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怀化市委市政府机关幼儿园编制27人（事业编制）202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年12月在编在职（22人），退休人员16人。</w:t>
      </w:r>
    </w:p>
    <w:p w14:paraId="632B4463">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2、机构设置</w:t>
      </w:r>
    </w:p>
    <w:p w14:paraId="06104E06">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怀化市委市政府机关幼儿园是隶属怀化机关事务管理局二级单位，主要职责是贯彻国家的教育方针，按照保育及教育相结，全园分小、中、大五个班，内设园长室、教研室、办公室、财务室、资料室、保健室及炊事班。</w:t>
      </w:r>
    </w:p>
    <w:p w14:paraId="5E747227">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3、主要职能</w:t>
      </w:r>
    </w:p>
    <w:p w14:paraId="4F3A8888">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合的原则，遵循幼儿身心发展特点和规律，为孩子的德、智、体、美全面发展奠定基础。，促进幼儿身心和谐发展。为家长提供科学育儿指导。</w:t>
      </w:r>
    </w:p>
    <w:p w14:paraId="16DDEAA0">
      <w:pPr>
        <w:ind w:firstLine="646"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rPr>
        <w:t>4、重点工作计划：</w:t>
      </w:r>
      <w:r>
        <w:rPr>
          <w:rFonts w:hint="eastAsia" w:ascii="仿宋_GB2312" w:hAnsi="仿宋_GB2312" w:eastAsia="仿宋_GB2312" w:cs="仿宋_GB2312"/>
          <w:color w:val="000000"/>
          <w:sz w:val="32"/>
          <w:szCs w:val="32"/>
          <w:shd w:val="clear" w:color="auto" w:fill="FFFFFF"/>
        </w:rPr>
        <w:t>1、加强对员工的正确价值观引导，通过典型实例提高全体员工的安全防范意识和遵纪守法观念。2、</w:t>
      </w:r>
      <w:r>
        <w:rPr>
          <w:rFonts w:hint="eastAsia" w:ascii="仿宋_GB2312" w:hAnsi="仿宋_GB2312" w:eastAsia="仿宋_GB2312" w:cs="仿宋_GB2312"/>
          <w:color w:val="333333"/>
          <w:sz w:val="32"/>
          <w:szCs w:val="32"/>
          <w:shd w:val="clear" w:color="auto" w:fill="FFFFFF"/>
        </w:rPr>
        <w:t>强化师德活动，助力教师专业成长，进一步加强教师职业道德教育，不断增强职业责任感和危机感。全体教职员工要确立服务意识，营造和谐顺畅的工作环境。全体教师一定要转变观念，强化全员服务的意识。学校要服务于社会和家长，教职员工要服务于学生，教师的一切工作要服务于教学质量的提升和学校良好形象的塑造。3、养成教育悉心抓，校园活动精心搞。一是要组织开展社会主义核心较直观宣传教育，从小进行爱国主义教育活动。4、用好现有教学资源，抓课堂教学，向课堂要质量，要求全体教师发挥电教平台的作用，进一步提升学校整体教学质量;教研室要不定期组织常规落实情况检查。5、建立健全安全工作机制，成立学校安全工作领导小组。健全安全各种制度及防范应急预案，</w:t>
      </w:r>
      <w:r>
        <w:rPr>
          <w:rFonts w:hint="eastAsia" w:ascii="仿宋_GB2312" w:hAnsi="仿宋_GB2312" w:eastAsia="仿宋_GB2312" w:cs="仿宋_GB2312"/>
          <w:color w:val="333333"/>
          <w:sz w:val="32"/>
          <w:szCs w:val="32"/>
          <w:shd w:val="clear" w:color="auto" w:fill="FFFFFF"/>
          <w:lang w:eastAsia="zh-CN"/>
        </w:rPr>
        <w:t>特别是要做好全园的疫情防控，</w:t>
      </w:r>
      <w:r>
        <w:rPr>
          <w:rFonts w:hint="eastAsia" w:ascii="仿宋_GB2312" w:hAnsi="仿宋_GB2312" w:eastAsia="仿宋_GB2312" w:cs="仿宋_GB2312"/>
          <w:color w:val="333333"/>
          <w:sz w:val="32"/>
          <w:szCs w:val="32"/>
          <w:shd w:val="clear" w:color="auto" w:fill="FFFFFF"/>
        </w:rPr>
        <w:t>做到对隐患的排查与整改及时到位。</w:t>
      </w:r>
    </w:p>
    <w:p w14:paraId="6FC6D6FB">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（二）部门整体支出规模、使用方向和主要内容、涉及范围等。</w:t>
      </w:r>
    </w:p>
    <w:p w14:paraId="60EFB003">
      <w:pPr>
        <w:spacing w:line="600" w:lineRule="exact"/>
        <w:ind w:firstLine="646"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部门财政资金收入情况：202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年全年收入4</w:t>
      </w:r>
      <w:r>
        <w:rPr>
          <w:rFonts w:hint="eastAsia" w:ascii="仿宋_GB2312" w:hAnsi="仿宋_GB2312" w:eastAsia="仿宋_GB2312" w:cs="仿宋_GB2312"/>
          <w:sz w:val="32"/>
          <w:szCs w:val="32"/>
          <w:lang w:val="en-US" w:eastAsia="zh-CN"/>
        </w:rPr>
        <w:t>85.30</w:t>
      </w:r>
      <w:r>
        <w:rPr>
          <w:rFonts w:hint="eastAsia" w:ascii="仿宋_GB2312" w:hAnsi="仿宋_GB2312" w:eastAsia="仿宋_GB2312" w:cs="仿宋_GB2312"/>
          <w:sz w:val="32"/>
          <w:szCs w:val="32"/>
        </w:rPr>
        <w:t>万元，其中：一般公共预算财政拨款收入为4</w:t>
      </w:r>
      <w:r>
        <w:rPr>
          <w:rFonts w:hint="eastAsia" w:ascii="仿宋_GB2312" w:hAnsi="仿宋_GB2312" w:eastAsia="仿宋_GB2312" w:cs="仿宋_GB2312"/>
          <w:sz w:val="32"/>
          <w:szCs w:val="32"/>
          <w:lang w:val="en-US" w:eastAsia="zh-CN"/>
        </w:rPr>
        <w:t>85.30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shd w:val="clear" w:color="auto" w:fill="FFFFFF"/>
        </w:rPr>
        <w:t>占预算收入的</w:t>
      </w:r>
      <w:r>
        <w:rPr>
          <w:rFonts w:hint="eastAsia" w:ascii="仿宋_GB2312" w:hAnsi="仿宋_GB2312" w:eastAsia="仿宋_GB2312" w:cs="仿宋_GB2312"/>
          <w:color w:val="000000"/>
          <w:sz w:val="32"/>
          <w:szCs w:val="32"/>
          <w:shd w:val="clear" w:color="auto" w:fill="FFFFFF"/>
          <w:lang w:val="en-US" w:eastAsia="zh-CN"/>
        </w:rPr>
        <w:t>100</w:t>
      </w:r>
      <w:r>
        <w:rPr>
          <w:rFonts w:hint="eastAsia" w:ascii="仿宋_GB2312" w:hAnsi="仿宋_GB2312" w:eastAsia="仿宋_GB2312" w:cs="仿宋_GB2312"/>
          <w:color w:val="000000"/>
          <w:sz w:val="32"/>
          <w:szCs w:val="32"/>
          <w:shd w:val="clear" w:color="auto" w:fill="FFFFFF"/>
        </w:rPr>
        <w:t>%。</w:t>
      </w:r>
    </w:p>
    <w:p w14:paraId="46824223">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z w:val="32"/>
          <w:szCs w:val="32"/>
        </w:rPr>
        <w:t>部门财政资金支出情况：202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年支出4</w:t>
      </w:r>
      <w:r>
        <w:rPr>
          <w:rFonts w:hint="eastAsia" w:ascii="仿宋_GB2312" w:hAnsi="仿宋_GB2312" w:eastAsia="仿宋_GB2312" w:cs="仿宋_GB2312"/>
          <w:sz w:val="32"/>
          <w:szCs w:val="32"/>
          <w:lang w:val="en-US" w:eastAsia="zh-CN"/>
        </w:rPr>
        <w:t>85.30</w:t>
      </w:r>
      <w:r>
        <w:rPr>
          <w:rFonts w:hint="eastAsia" w:ascii="仿宋_GB2312" w:hAnsi="仿宋_GB2312" w:eastAsia="仿宋_GB2312" w:cs="仿宋_GB2312"/>
          <w:sz w:val="32"/>
          <w:szCs w:val="32"/>
        </w:rPr>
        <w:t>万元，其中</w:t>
      </w:r>
      <w:r>
        <w:rPr>
          <w:rFonts w:hint="eastAsia" w:ascii="仿宋_GB2312" w:hAnsi="仿宋_GB2312" w:eastAsia="仿宋_GB2312" w:cs="仿宋_GB2312"/>
          <w:color w:val="000000"/>
          <w:sz w:val="32"/>
          <w:szCs w:val="32"/>
          <w:shd w:val="clear" w:color="auto" w:fill="FFFFFF"/>
        </w:rPr>
        <w:t>使用内容为人员支出和日常公用支出，其中：工资福利支出为</w:t>
      </w:r>
      <w:r>
        <w:rPr>
          <w:rFonts w:hint="eastAsia" w:ascii="仿宋_GB2312" w:hAnsi="仿宋_GB2312" w:eastAsia="仿宋_GB2312" w:cs="仿宋_GB2312"/>
          <w:color w:val="000000"/>
          <w:sz w:val="32"/>
          <w:szCs w:val="32"/>
          <w:shd w:val="clear" w:color="auto" w:fill="FFFFFF"/>
          <w:lang w:val="en-US" w:eastAsia="zh-CN"/>
        </w:rPr>
        <w:t>385.6</w:t>
      </w:r>
      <w:r>
        <w:rPr>
          <w:rFonts w:hint="eastAsia" w:ascii="仿宋_GB2312" w:hAnsi="仿宋_GB2312" w:eastAsia="仿宋_GB2312" w:cs="仿宋_GB2312"/>
          <w:color w:val="000000"/>
          <w:sz w:val="32"/>
          <w:szCs w:val="32"/>
          <w:shd w:val="clear" w:color="auto" w:fill="FFFFFF"/>
        </w:rPr>
        <w:t>万元，占支出预算的</w:t>
      </w:r>
      <w:r>
        <w:rPr>
          <w:rFonts w:hint="eastAsia" w:ascii="仿宋_GB2312" w:hAnsi="仿宋_GB2312" w:eastAsia="仿宋_GB2312" w:cs="仿宋_GB2312"/>
          <w:color w:val="000000"/>
          <w:sz w:val="32"/>
          <w:szCs w:val="32"/>
          <w:shd w:val="clear" w:color="auto" w:fill="FFFFFF"/>
          <w:lang w:val="en-US" w:eastAsia="zh-CN"/>
        </w:rPr>
        <w:t>79.46</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eastAsia="zh-CN"/>
        </w:rPr>
        <w:t>商品和服务支出为</w:t>
      </w:r>
      <w:r>
        <w:rPr>
          <w:rFonts w:hint="eastAsia" w:ascii="仿宋_GB2312" w:hAnsi="仿宋_GB2312" w:eastAsia="仿宋_GB2312" w:cs="仿宋_GB2312"/>
          <w:color w:val="000000"/>
          <w:sz w:val="32"/>
          <w:szCs w:val="32"/>
          <w:shd w:val="clear" w:color="auto" w:fill="FFFFFF"/>
          <w:lang w:val="en-US" w:eastAsia="zh-CN"/>
        </w:rPr>
        <w:t>62.15</w:t>
      </w:r>
      <w:r>
        <w:rPr>
          <w:rFonts w:hint="eastAsia" w:ascii="仿宋_GB2312" w:hAnsi="仿宋_GB2312" w:eastAsia="仿宋_GB2312" w:cs="仿宋_GB2312"/>
          <w:color w:val="000000"/>
          <w:sz w:val="32"/>
          <w:szCs w:val="32"/>
          <w:shd w:val="clear" w:color="auto" w:fill="FFFFFF"/>
        </w:rPr>
        <w:t>万元，占支出预算的</w:t>
      </w:r>
      <w:r>
        <w:rPr>
          <w:rFonts w:hint="eastAsia" w:ascii="仿宋_GB2312" w:hAnsi="仿宋_GB2312" w:eastAsia="仿宋_GB2312" w:cs="仿宋_GB2312"/>
          <w:color w:val="000000"/>
          <w:sz w:val="32"/>
          <w:szCs w:val="32"/>
          <w:shd w:val="clear" w:color="auto" w:fill="FFFFFF"/>
          <w:lang w:val="en-US" w:eastAsia="zh-CN"/>
        </w:rPr>
        <w:t>12.81</w:t>
      </w:r>
      <w:r>
        <w:rPr>
          <w:rFonts w:hint="eastAsia" w:ascii="仿宋_GB2312" w:hAnsi="仿宋_GB2312" w:eastAsia="仿宋_GB2312" w:cs="仿宋_GB2312"/>
          <w:color w:val="000000"/>
          <w:sz w:val="32"/>
          <w:szCs w:val="32"/>
          <w:shd w:val="clear" w:color="auto" w:fill="FFFFFF"/>
        </w:rPr>
        <w:t>%；对个人和家庭的补助</w:t>
      </w:r>
      <w:r>
        <w:rPr>
          <w:rFonts w:hint="eastAsia" w:ascii="仿宋_GB2312" w:hAnsi="仿宋_GB2312" w:eastAsia="仿宋_GB2312" w:cs="仿宋_GB2312"/>
          <w:color w:val="000000"/>
          <w:sz w:val="32"/>
          <w:szCs w:val="32"/>
          <w:shd w:val="clear" w:color="auto" w:fill="FFFFFF"/>
          <w:lang w:val="en-US" w:eastAsia="zh-CN"/>
        </w:rPr>
        <w:t>37.36</w:t>
      </w:r>
      <w:r>
        <w:rPr>
          <w:rFonts w:hint="eastAsia" w:ascii="仿宋_GB2312" w:hAnsi="仿宋_GB2312" w:eastAsia="仿宋_GB2312" w:cs="仿宋_GB2312"/>
          <w:color w:val="000000"/>
          <w:sz w:val="32"/>
          <w:szCs w:val="32"/>
          <w:shd w:val="clear" w:color="auto" w:fill="FFFFFF"/>
        </w:rPr>
        <w:t>万元，占支出预算的</w:t>
      </w:r>
      <w:r>
        <w:rPr>
          <w:rFonts w:hint="eastAsia" w:ascii="仿宋_GB2312" w:hAnsi="仿宋_GB2312" w:eastAsia="仿宋_GB2312" w:cs="仿宋_GB2312"/>
          <w:color w:val="000000"/>
          <w:sz w:val="32"/>
          <w:szCs w:val="32"/>
          <w:shd w:val="clear" w:color="auto" w:fill="FFFFFF"/>
          <w:lang w:val="en-US" w:eastAsia="zh-CN"/>
        </w:rPr>
        <w:t>7.69</w:t>
      </w:r>
      <w:r>
        <w:rPr>
          <w:rFonts w:hint="eastAsia" w:ascii="仿宋_GB2312" w:hAnsi="仿宋_GB2312" w:eastAsia="仿宋_GB2312" w:cs="仿宋_GB2312"/>
          <w:color w:val="000000"/>
          <w:sz w:val="32"/>
          <w:szCs w:val="32"/>
          <w:shd w:val="clear" w:color="auto" w:fill="FFFFFF"/>
        </w:rPr>
        <w:t>%；其他资本性支出</w:t>
      </w:r>
      <w:r>
        <w:rPr>
          <w:rFonts w:hint="eastAsia" w:ascii="仿宋_GB2312" w:hAnsi="仿宋_GB2312" w:eastAsia="仿宋_GB2312" w:cs="仿宋_GB2312"/>
          <w:color w:val="000000"/>
          <w:sz w:val="32"/>
          <w:szCs w:val="32"/>
          <w:shd w:val="clear" w:color="auto" w:fill="FFFFFF"/>
          <w:lang w:val="en-US" w:eastAsia="zh-CN"/>
        </w:rPr>
        <w:t>0.19</w:t>
      </w:r>
      <w:r>
        <w:rPr>
          <w:rFonts w:hint="eastAsia" w:ascii="仿宋_GB2312" w:hAnsi="仿宋_GB2312" w:eastAsia="仿宋_GB2312" w:cs="仿宋_GB2312"/>
          <w:color w:val="000000"/>
          <w:sz w:val="32"/>
          <w:szCs w:val="32"/>
          <w:shd w:val="clear" w:color="auto" w:fill="FFFFFF"/>
        </w:rPr>
        <w:t>万元，占支出预算的</w:t>
      </w:r>
      <w:r>
        <w:rPr>
          <w:rFonts w:hint="eastAsia" w:ascii="仿宋_GB2312" w:hAnsi="仿宋_GB2312" w:eastAsia="仿宋_GB2312" w:cs="仿宋_GB2312"/>
          <w:color w:val="000000"/>
          <w:sz w:val="32"/>
          <w:szCs w:val="32"/>
          <w:shd w:val="clear" w:color="auto" w:fill="FFFFFF"/>
          <w:lang w:val="en-US" w:eastAsia="zh-CN"/>
        </w:rPr>
        <w:t>0.04</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sz w:val="32"/>
          <w:szCs w:val="32"/>
        </w:rPr>
        <w:t>年末结转和结余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7F6783DD">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二、部门整体支出管理及使用情况</w:t>
      </w:r>
    </w:p>
    <w:p w14:paraId="2A5316E2">
      <w:pPr>
        <w:widowControl/>
        <w:shd w:val="clear" w:color="auto" w:fill="FFFFFF"/>
        <w:spacing w:line="600" w:lineRule="atLeast"/>
        <w:ind w:firstLine="643"/>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（一）基本支出</w:t>
      </w:r>
    </w:p>
    <w:p w14:paraId="119F64C5">
      <w:pPr>
        <w:widowControl/>
        <w:spacing w:line="600" w:lineRule="atLeast"/>
        <w:ind w:firstLine="643"/>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我校基本支出的范围和主要用途包括人员经费、日常运行公用经费。202</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年基本支出为</w:t>
      </w:r>
      <w:r>
        <w:rPr>
          <w:rFonts w:hint="eastAsia" w:ascii="仿宋_GB2312" w:hAnsi="仿宋_GB2312" w:eastAsia="仿宋_GB2312" w:cs="仿宋_GB2312"/>
          <w:color w:val="000000"/>
          <w:sz w:val="32"/>
          <w:szCs w:val="32"/>
          <w:shd w:val="clear" w:color="auto" w:fill="FFFFFF"/>
          <w:lang w:val="en-US" w:eastAsia="zh-CN"/>
        </w:rPr>
        <w:t>485.30</w:t>
      </w:r>
      <w:r>
        <w:rPr>
          <w:rFonts w:hint="eastAsia" w:ascii="仿宋_GB2312" w:hAnsi="仿宋_GB2312" w:eastAsia="仿宋_GB2312" w:cs="仿宋_GB2312"/>
          <w:color w:val="000000"/>
          <w:sz w:val="32"/>
          <w:szCs w:val="32"/>
          <w:shd w:val="clear" w:color="auto" w:fill="FFFFFF"/>
        </w:rPr>
        <w:t>万元。其中：人员经费支</w:t>
      </w:r>
      <w:r>
        <w:rPr>
          <w:rFonts w:hint="eastAsia" w:ascii="仿宋_GB2312" w:hAnsi="仿宋_GB2312" w:eastAsia="仿宋_GB2312" w:cs="仿宋_GB2312"/>
          <w:color w:val="000000"/>
          <w:sz w:val="32"/>
          <w:szCs w:val="32"/>
          <w:shd w:val="clear" w:color="auto" w:fill="FFFFFF"/>
          <w:lang w:val="en-US" w:eastAsia="zh-CN"/>
        </w:rPr>
        <w:t>422.97</w:t>
      </w:r>
      <w:r>
        <w:rPr>
          <w:rFonts w:hint="eastAsia" w:ascii="仿宋_GB2312" w:hAnsi="仿宋_GB2312" w:eastAsia="仿宋_GB2312" w:cs="仿宋_GB2312"/>
          <w:color w:val="000000"/>
          <w:sz w:val="32"/>
          <w:szCs w:val="32"/>
          <w:shd w:val="clear" w:color="auto" w:fill="FFFFFF"/>
        </w:rPr>
        <w:t>万元，占基本支出的</w:t>
      </w:r>
      <w:r>
        <w:rPr>
          <w:rFonts w:hint="eastAsia" w:ascii="仿宋_GB2312" w:hAnsi="仿宋_GB2312" w:eastAsia="仿宋_GB2312" w:cs="仿宋_GB2312"/>
          <w:color w:val="000000"/>
          <w:sz w:val="32"/>
          <w:szCs w:val="32"/>
          <w:shd w:val="clear" w:color="auto" w:fill="FFFFFF"/>
          <w:lang w:val="en-US" w:eastAsia="zh-CN"/>
        </w:rPr>
        <w:t>87.16</w:t>
      </w:r>
      <w:r>
        <w:rPr>
          <w:rFonts w:hint="eastAsia" w:ascii="仿宋_GB2312" w:hAnsi="仿宋_GB2312" w:eastAsia="仿宋_GB2312" w:cs="仿宋_GB2312"/>
          <w:color w:val="000000"/>
          <w:sz w:val="32"/>
          <w:szCs w:val="32"/>
          <w:shd w:val="clear" w:color="auto" w:fill="FFFFFF"/>
        </w:rPr>
        <w:t>%，其中工资福利支出</w:t>
      </w:r>
      <w:r>
        <w:rPr>
          <w:rFonts w:hint="eastAsia" w:ascii="仿宋_GB2312" w:hAnsi="仿宋_GB2312" w:eastAsia="仿宋_GB2312" w:cs="仿宋_GB2312"/>
          <w:color w:val="000000"/>
          <w:sz w:val="32"/>
          <w:szCs w:val="32"/>
          <w:shd w:val="clear" w:color="auto" w:fill="FFFFFF"/>
          <w:lang w:val="en-US" w:eastAsia="zh-CN"/>
        </w:rPr>
        <w:t>385.61</w:t>
      </w:r>
      <w:r>
        <w:rPr>
          <w:rFonts w:hint="eastAsia" w:ascii="仿宋_GB2312" w:hAnsi="仿宋_GB2312" w:eastAsia="仿宋_GB2312" w:cs="仿宋_GB2312"/>
          <w:color w:val="000000"/>
          <w:sz w:val="32"/>
          <w:szCs w:val="32"/>
          <w:shd w:val="clear" w:color="auto" w:fill="FFFFFF"/>
        </w:rPr>
        <w:t>元、对个人和家庭的补助支出</w:t>
      </w:r>
      <w:r>
        <w:rPr>
          <w:rFonts w:hint="eastAsia" w:ascii="仿宋_GB2312" w:hAnsi="仿宋_GB2312" w:eastAsia="仿宋_GB2312" w:cs="仿宋_GB2312"/>
          <w:color w:val="000000"/>
          <w:sz w:val="32"/>
          <w:szCs w:val="32"/>
          <w:shd w:val="clear" w:color="auto" w:fill="FFFFFF"/>
          <w:lang w:val="en-US" w:eastAsia="zh-CN"/>
        </w:rPr>
        <w:t>37.36</w:t>
      </w:r>
      <w:r>
        <w:rPr>
          <w:rFonts w:hint="eastAsia" w:ascii="仿宋_GB2312" w:hAnsi="仿宋_GB2312" w:eastAsia="仿宋_GB2312" w:cs="仿宋_GB2312"/>
          <w:color w:val="000000"/>
          <w:sz w:val="32"/>
          <w:szCs w:val="32"/>
          <w:shd w:val="clear" w:color="auto" w:fill="FFFFFF"/>
        </w:rPr>
        <w:t>万元，用于根据国家规定安排的工资性支出，及对个人和家庭补助等人员经费支出。日常公用经费</w:t>
      </w:r>
      <w:r>
        <w:rPr>
          <w:rFonts w:hint="eastAsia" w:ascii="仿宋_GB2312" w:hAnsi="仿宋_GB2312" w:eastAsia="仿宋_GB2312" w:cs="仿宋_GB2312"/>
          <w:color w:val="000000"/>
          <w:sz w:val="32"/>
          <w:szCs w:val="32"/>
          <w:shd w:val="clear" w:color="auto" w:fill="FFFFFF"/>
          <w:lang w:val="en-US" w:eastAsia="zh-CN"/>
        </w:rPr>
        <w:t>62.15</w:t>
      </w:r>
      <w:r>
        <w:rPr>
          <w:rFonts w:hint="eastAsia" w:ascii="仿宋_GB2312" w:hAnsi="仿宋_GB2312" w:eastAsia="仿宋_GB2312" w:cs="仿宋_GB2312"/>
          <w:color w:val="000000"/>
          <w:sz w:val="32"/>
          <w:szCs w:val="32"/>
          <w:shd w:val="clear" w:color="auto" w:fill="FFFFFF"/>
        </w:rPr>
        <w:t>万元，占基本支出的</w:t>
      </w:r>
      <w:r>
        <w:rPr>
          <w:rFonts w:hint="eastAsia" w:ascii="仿宋_GB2312" w:hAnsi="仿宋_GB2312" w:eastAsia="仿宋_GB2312" w:cs="仿宋_GB2312"/>
          <w:color w:val="000000"/>
          <w:sz w:val="32"/>
          <w:szCs w:val="32"/>
          <w:shd w:val="clear" w:color="auto" w:fill="FFFFFF"/>
          <w:lang w:val="en-US" w:eastAsia="zh-CN"/>
        </w:rPr>
        <w:t>12.81</w:t>
      </w:r>
      <w:r>
        <w:rPr>
          <w:rFonts w:hint="eastAsia" w:ascii="仿宋_GB2312" w:hAnsi="仿宋_GB2312" w:eastAsia="仿宋_GB2312" w:cs="仿宋_GB2312"/>
          <w:color w:val="000000"/>
          <w:sz w:val="32"/>
          <w:szCs w:val="32"/>
          <w:shd w:val="clear" w:color="auto" w:fill="FFFFFF"/>
        </w:rPr>
        <w:t>%，用于按国家规定开支标准安排的保障我校正常运转的办公费、印刷费、电费、水费、电费、邮电费、物业管理费、差旅费、维护费、租赁费、培训费、公务接待费、专用材料费、劳务费、福利费、公务用车运行维护费、其他交通费、其他商品和服务支出。</w:t>
      </w:r>
    </w:p>
    <w:p w14:paraId="611C5CCD">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color w:val="000000"/>
          <w:sz w:val="32"/>
          <w:szCs w:val="32"/>
          <w:shd w:val="clear" w:color="auto" w:fill="FFFFFF"/>
        </w:rPr>
        <w:t>我校202</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年度“三公”经费预算</w:t>
      </w:r>
      <w:r>
        <w:rPr>
          <w:rFonts w:hint="eastAsia" w:ascii="仿宋_GB2312" w:hAnsi="仿宋_GB2312" w:eastAsia="仿宋_GB2312" w:cs="仿宋_GB2312"/>
          <w:color w:val="000000"/>
          <w:sz w:val="32"/>
          <w:szCs w:val="32"/>
          <w:shd w:val="clear" w:color="auto" w:fill="FFFFFF"/>
          <w:lang w:val="en-US" w:eastAsia="zh-CN"/>
        </w:rPr>
        <w:t>4.45</w:t>
      </w:r>
      <w:r>
        <w:rPr>
          <w:rFonts w:hint="eastAsia" w:ascii="仿宋_GB2312" w:hAnsi="仿宋_GB2312" w:eastAsia="仿宋_GB2312" w:cs="仿宋_GB2312"/>
          <w:color w:val="000000"/>
          <w:sz w:val="32"/>
          <w:szCs w:val="32"/>
          <w:shd w:val="clear" w:color="auto" w:fill="FFFFFF"/>
        </w:rPr>
        <w:t>万元，实际支出0万元，其中：公务接待支出0万元；公务运行支出0万元。主要原因是202</w:t>
      </w:r>
      <w:r>
        <w:rPr>
          <w:rFonts w:hint="eastAsia" w:ascii="仿宋_GB2312" w:hAnsi="仿宋_GB2312" w:eastAsia="仿宋_GB2312" w:cs="仿宋_GB2312"/>
          <w:color w:val="000000"/>
          <w:sz w:val="32"/>
          <w:szCs w:val="32"/>
          <w:shd w:val="clear" w:color="auto" w:fill="FFFFFF"/>
          <w:lang w:val="en-US" w:eastAsia="zh-CN"/>
        </w:rPr>
        <w:t>2</w:t>
      </w:r>
      <w:r>
        <w:rPr>
          <w:rFonts w:hint="eastAsia" w:ascii="仿宋_GB2312" w:hAnsi="仿宋_GB2312" w:eastAsia="仿宋_GB2312" w:cs="仿宋_GB2312"/>
          <w:color w:val="000000"/>
          <w:sz w:val="32"/>
          <w:szCs w:val="32"/>
          <w:shd w:val="clear" w:color="auto" w:fill="FFFFFF"/>
        </w:rPr>
        <w:t>年未发生公务接待费、公务用车购置及运行费、因公出国费用，“三公”经费</w:t>
      </w:r>
      <w:r>
        <w:rPr>
          <w:rFonts w:hint="eastAsia" w:ascii="仿宋_GB2312" w:hAnsi="仿宋_GB2312" w:eastAsia="仿宋_GB2312" w:cs="仿宋_GB2312"/>
          <w:sz w:val="32"/>
          <w:szCs w:val="32"/>
        </w:rPr>
        <w:t>严格控制在年初预算内</w:t>
      </w:r>
      <w:r>
        <w:rPr>
          <w:rFonts w:hint="eastAsia" w:ascii="仿宋_GB2312" w:hAnsi="仿宋_GB2312" w:eastAsia="仿宋_GB2312" w:cs="仿宋_GB2312"/>
          <w:sz w:val="32"/>
          <w:szCs w:val="32"/>
          <w:lang w:eastAsia="zh-CN"/>
        </w:rPr>
        <w:t>。</w:t>
      </w:r>
    </w:p>
    <w:p w14:paraId="3174D1E8">
      <w:pPr>
        <w:widowControl/>
        <w:shd w:val="clear" w:color="auto" w:fill="FFFFFF"/>
        <w:spacing w:line="600" w:lineRule="atLeast"/>
        <w:ind w:firstLine="643"/>
        <w:rPr>
          <w:rFonts w:hint="eastAsia" w:ascii="仿宋_GB2312" w:hAnsi="仿宋_GB2312" w:eastAsia="仿宋_GB2312" w:cs="仿宋_GB2312"/>
          <w:b/>
          <w:spacing w:val="-2"/>
          <w:sz w:val="32"/>
          <w:szCs w:val="32"/>
          <w:lang w:val="en-US" w:eastAsia="zh-CN"/>
        </w:rPr>
      </w:pPr>
      <w:r>
        <w:rPr>
          <w:rFonts w:hint="eastAsia" w:ascii="仿宋_GB2312" w:hAnsi="仿宋_GB2312" w:eastAsia="仿宋_GB2312" w:cs="仿宋_GB2312"/>
          <w:b/>
          <w:spacing w:val="-2"/>
          <w:sz w:val="32"/>
          <w:szCs w:val="32"/>
        </w:rPr>
        <w:t>（二）专项支出</w:t>
      </w:r>
      <w:r>
        <w:rPr>
          <w:rFonts w:hint="eastAsia" w:ascii="仿宋_GB2312" w:hAnsi="仿宋_GB2312" w:eastAsia="仿宋_GB2312" w:cs="仿宋_GB2312"/>
          <w:b/>
          <w:spacing w:val="-2"/>
          <w:sz w:val="32"/>
          <w:szCs w:val="32"/>
          <w:lang w:val="en-US" w:eastAsia="zh-CN"/>
        </w:rPr>
        <w:t xml:space="preserve"> 单位未发生专项支出。</w:t>
      </w:r>
    </w:p>
    <w:p w14:paraId="7DAA7A5C">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三、部门专项组织实施情况</w:t>
      </w:r>
    </w:p>
    <w:p w14:paraId="1802ED1F">
      <w:pPr>
        <w:widowControl/>
        <w:shd w:val="clear" w:color="auto" w:fill="FFFFFF"/>
        <w:spacing w:line="600" w:lineRule="atLeast"/>
        <w:ind w:firstLine="640"/>
        <w:rPr>
          <w:rFonts w:hint="eastAsia" w:ascii="仿宋_GB2312" w:hAnsi="仿宋_GB2312" w:eastAsia="仿宋_GB2312" w:cs="仿宋_GB2312"/>
          <w:spacing w:val="-2"/>
          <w:sz w:val="32"/>
          <w:szCs w:val="32"/>
          <w:lang w:eastAsia="zh-CN"/>
        </w:rPr>
      </w:pPr>
      <w:r>
        <w:rPr>
          <w:rFonts w:hint="eastAsia" w:ascii="仿宋_GB2312" w:hAnsi="仿宋_GB2312" w:eastAsia="仿宋_GB2312" w:cs="仿宋_GB2312"/>
          <w:spacing w:val="-2"/>
          <w:sz w:val="32"/>
          <w:szCs w:val="32"/>
          <w:lang w:eastAsia="zh-CN"/>
        </w:rPr>
        <w:t>本年度无专项支出。</w:t>
      </w:r>
    </w:p>
    <w:p w14:paraId="3B9CF0D9">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四、资产管理情况</w:t>
      </w:r>
    </w:p>
    <w:p w14:paraId="761D16A7">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我校严格按照财务管理的相关要求，建立了《固定资产管理办法》、《货币资金管理、应收款和无形资产》和《政府采购预算》及《政府采购管理办法》等固定资产和办公用品使用、审批、稽核的内部管理规范。</w:t>
      </w:r>
    </w:p>
    <w:p w14:paraId="365B08BB">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资产分为流动资产和固定资产，具体包括：财政应返还额度、其他应收款、固定资产。固定资产、办公家具和用品严格按照内部控制规范、《资产管理办法》、《政府采购预算》、《政府采购管理办法》 进行配置和处置。</w:t>
      </w:r>
    </w:p>
    <w:p w14:paraId="2726CED3">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五、部门整体支出绩效情况</w:t>
      </w:r>
    </w:p>
    <w:p w14:paraId="23FA5C68">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lang w:eastAsia="zh-CN"/>
        </w:rPr>
        <w:t>2022年</w:t>
      </w:r>
      <w:r>
        <w:rPr>
          <w:rFonts w:hint="eastAsia" w:ascii="仿宋_GB2312" w:hAnsi="仿宋_GB2312" w:eastAsia="仿宋_GB2312" w:cs="仿宋_GB2312"/>
          <w:color w:val="000000"/>
          <w:sz w:val="32"/>
          <w:szCs w:val="32"/>
          <w:shd w:val="clear" w:color="auto" w:fill="FFFFFF"/>
        </w:rPr>
        <w:t>，根据我校年初工作规划和重点性工作，围绕市委、市政府的发展蓝图，积极履职，强化管理，较好的完成了年度工作目标。通过加强预算收支管理，不断建立健全内部管理制度，梳理经济业务流程，部门整体支出管理情况得到提升。根据</w:t>
      </w:r>
      <w:r>
        <w:rPr>
          <w:rFonts w:hint="eastAsia" w:ascii="仿宋_GB2312" w:hAnsi="仿宋_GB2312" w:eastAsia="仿宋_GB2312" w:cs="仿宋_GB2312"/>
          <w:color w:val="000000"/>
          <w:sz w:val="32"/>
          <w:szCs w:val="32"/>
          <w:shd w:val="clear" w:color="auto" w:fill="FFFFFF"/>
          <w:lang w:eastAsia="zh-CN"/>
        </w:rPr>
        <w:t>2022年度</w:t>
      </w:r>
      <w:r>
        <w:rPr>
          <w:rFonts w:hint="eastAsia" w:ascii="仿宋_GB2312" w:hAnsi="仿宋_GB2312" w:eastAsia="仿宋_GB2312" w:cs="仿宋_GB2312"/>
          <w:color w:val="000000"/>
          <w:sz w:val="32"/>
          <w:szCs w:val="32"/>
          <w:shd w:val="clear" w:color="auto" w:fill="FFFFFF"/>
        </w:rPr>
        <w:t>部门整体支出状况的概述和分析，部门整体支出绩效情况如下：</w:t>
      </w:r>
    </w:p>
    <w:p w14:paraId="54E56D32">
      <w:pPr>
        <w:widowControl/>
        <w:spacing w:line="560" w:lineRule="exact"/>
        <w:ind w:firstLine="646" w:firstLineChars="200"/>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（一）经济效益评价</w:t>
      </w:r>
    </w:p>
    <w:p w14:paraId="373D99F7">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 本年预算配置控制较好。财政供养人员控制在预算编制以内，编制内在职人员控</w:t>
      </w:r>
      <w:r>
        <w:rPr>
          <w:rFonts w:hint="eastAsia" w:ascii="仿宋_GB2312" w:hAnsi="仿宋_GB2312" w:eastAsia="仿宋_GB2312" w:cs="仿宋_GB2312"/>
          <w:color w:val="000000"/>
          <w:sz w:val="32"/>
          <w:szCs w:val="32"/>
          <w:highlight w:val="none"/>
          <w:shd w:val="clear" w:color="auto" w:fill="FFFFFF"/>
        </w:rPr>
        <w:t>制率81.48%，小于100%；“三公”经费预算为4.</w:t>
      </w:r>
      <w:r>
        <w:rPr>
          <w:rFonts w:hint="eastAsia" w:ascii="仿宋_GB2312" w:hAnsi="仿宋_GB2312" w:eastAsia="仿宋_GB2312" w:cs="仿宋_GB2312"/>
          <w:color w:val="000000"/>
          <w:sz w:val="32"/>
          <w:szCs w:val="32"/>
          <w:highlight w:val="none"/>
          <w:shd w:val="clear" w:color="auto" w:fill="FFFFFF"/>
          <w:lang w:val="en-US" w:eastAsia="zh-CN"/>
        </w:rPr>
        <w:t>45</w:t>
      </w:r>
      <w:r>
        <w:rPr>
          <w:rFonts w:hint="eastAsia" w:ascii="仿宋_GB2312" w:hAnsi="仿宋_GB2312" w:eastAsia="仿宋_GB2312" w:cs="仿宋_GB2312"/>
          <w:color w:val="000000"/>
          <w:sz w:val="32"/>
          <w:szCs w:val="32"/>
          <w:highlight w:val="none"/>
          <w:shd w:val="clear" w:color="auto" w:fill="FFFFFF"/>
        </w:rPr>
        <w:t>万元，支出额为0，严格控制在年初预</w:t>
      </w:r>
      <w:r>
        <w:rPr>
          <w:rFonts w:hint="eastAsia" w:ascii="仿宋_GB2312" w:hAnsi="仿宋_GB2312" w:eastAsia="仿宋_GB2312" w:cs="仿宋_GB2312"/>
          <w:color w:val="000000"/>
          <w:sz w:val="32"/>
          <w:szCs w:val="32"/>
          <w:shd w:val="clear" w:color="auto" w:fill="FFFFFF"/>
        </w:rPr>
        <w:t>算数内。</w:t>
      </w:r>
    </w:p>
    <w:p w14:paraId="0753A061">
      <w:pPr>
        <w:spacing w:line="600" w:lineRule="exact"/>
        <w:ind w:firstLine="64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 预算执行方面。支出总额控制在预算总额以内，除政策性工资预算的追加外，本年部门预算未进行预算相关事项的调整；不存在截留或滞留专项资金情况；投入进度正常；“三公”经费</w:t>
      </w:r>
      <w:r>
        <w:rPr>
          <w:rFonts w:hint="eastAsia" w:ascii="仿宋_GB2312" w:hAnsi="仿宋_GB2312" w:eastAsia="仿宋_GB2312" w:cs="仿宋_GB2312"/>
          <w:sz w:val="32"/>
          <w:szCs w:val="32"/>
        </w:rPr>
        <w:t>严格控制在年初预算内</w:t>
      </w:r>
      <w:r>
        <w:rPr>
          <w:rFonts w:hint="eastAsia" w:ascii="仿宋_GB2312" w:hAnsi="仿宋_GB2312" w:eastAsia="仿宋_GB2312" w:cs="仿宋_GB2312"/>
          <w:color w:val="000000"/>
          <w:sz w:val="32"/>
          <w:szCs w:val="32"/>
          <w:shd w:val="clear" w:color="auto" w:fill="FFFFFF"/>
        </w:rPr>
        <w:t>，未超本年预算和上年决算支出。</w:t>
      </w:r>
    </w:p>
    <w:p w14:paraId="060E8059">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预算管理方面，完善了《预决算管理办法》，制度执行总体较为有效，仍需进一步强化；资金使用管理需进一步加强。</w:t>
      </w:r>
    </w:p>
    <w:p w14:paraId="3E374640">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收入管理方面，加强了《收入管理办法》的执行。</w:t>
      </w:r>
    </w:p>
    <w:p w14:paraId="37F8FAEC">
      <w:pPr>
        <w:widowControl/>
        <w:spacing w:line="600" w:lineRule="atLeast"/>
        <w:ind w:firstLine="625"/>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资产管理方面，完善了《固定资产管理办法》、《货币资金、应收款和无形资产管理办法》、《资产清查办法》等资产管理制度，定期进行了盘点和资产清理，总体执行较好。</w:t>
      </w:r>
    </w:p>
    <w:p w14:paraId="3EB7366A">
      <w:pPr>
        <w:widowControl/>
        <w:shd w:val="clear" w:color="auto" w:fill="FFFFFF"/>
        <w:spacing w:line="600" w:lineRule="atLeast"/>
        <w:ind w:firstLine="64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根据部门整体支出绩效评价指标体系，我校</w:t>
      </w:r>
      <w:r>
        <w:rPr>
          <w:rFonts w:hint="eastAsia" w:ascii="仿宋_GB2312" w:hAnsi="仿宋_GB2312" w:eastAsia="仿宋_GB2312" w:cs="仿宋_GB2312"/>
          <w:color w:val="000000"/>
          <w:sz w:val="32"/>
          <w:szCs w:val="32"/>
          <w:shd w:val="clear" w:color="auto" w:fill="FFFFFF"/>
          <w:lang w:eastAsia="zh-CN"/>
        </w:rPr>
        <w:t>2022年度</w:t>
      </w:r>
      <w:r>
        <w:rPr>
          <w:rFonts w:hint="eastAsia" w:ascii="仿宋_GB2312" w:hAnsi="仿宋_GB2312" w:eastAsia="仿宋_GB2312" w:cs="仿宋_GB2312"/>
          <w:color w:val="000000"/>
          <w:sz w:val="32"/>
          <w:szCs w:val="32"/>
          <w:shd w:val="clear" w:color="auto" w:fill="FFFFFF"/>
        </w:rPr>
        <w:t>评价得分为 8</w:t>
      </w:r>
      <w:r>
        <w:rPr>
          <w:rFonts w:hint="eastAsia" w:ascii="仿宋_GB2312" w:hAnsi="仿宋_GB2312" w:eastAsia="仿宋_GB2312" w:cs="仿宋_GB2312"/>
          <w:color w:val="000000"/>
          <w:sz w:val="32"/>
          <w:szCs w:val="32"/>
          <w:shd w:val="clear" w:color="auto" w:fill="FFFFFF"/>
          <w:lang w:val="en-US" w:eastAsia="zh-CN"/>
        </w:rPr>
        <w:t>1</w:t>
      </w:r>
      <w:r>
        <w:rPr>
          <w:rFonts w:hint="eastAsia" w:ascii="仿宋_GB2312" w:hAnsi="仿宋_GB2312" w:eastAsia="仿宋_GB2312" w:cs="仿宋_GB2312"/>
          <w:color w:val="000000"/>
          <w:sz w:val="32"/>
          <w:szCs w:val="32"/>
          <w:shd w:val="clear" w:color="auto" w:fill="FFFFFF"/>
        </w:rPr>
        <w:t xml:space="preserve"> 分。</w:t>
      </w:r>
    </w:p>
    <w:p w14:paraId="21DB22B4">
      <w:pPr>
        <w:widowControl/>
        <w:spacing w:line="560" w:lineRule="exact"/>
        <w:ind w:firstLine="646" w:firstLineChars="200"/>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（二）效率性评价和有效性评价</w:t>
      </w:r>
    </w:p>
    <w:p w14:paraId="12BA2656">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年来，在局党组的领导下，在全体教职工的努力下，我园认真贯彻《幼儿园教育指导纲要》精神，围绕各项教育工作的要求，坚持以办人民满意教育、创一流平安和谐幼儿园、以让每一位孩子健康、快乐地成长的办园宗旨，促进每个幼儿富有个性的发展，全面提高了幼儿园的保教质量。下面我将一年来的工作向大家做个汇报：</w:t>
      </w:r>
    </w:p>
    <w:p w14:paraId="0379B953">
      <w:pPr>
        <w:widowControl/>
        <w:shd w:val="clear" w:color="auto" w:fill="FFFFFF"/>
        <w:spacing w:line="600" w:lineRule="atLeast"/>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一、园务管理：落实制度，明确职责</w:t>
      </w:r>
    </w:p>
    <w:p w14:paraId="087DAC72">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为了使幼儿园管理工作逐步向规范化方向迈进，我们严格按照管理制度汇编，做到分工明确，责任到人。在实际工作中严格照章办事。通过落实制度，明确职责，提高了教职工的工作责任感，促进了我园各项工作有序、有效地开展。</w:t>
      </w:r>
    </w:p>
    <w:p w14:paraId="0B35E7D4">
      <w:pPr>
        <w:widowControl/>
        <w:shd w:val="clear" w:color="auto" w:fill="FFFFFF"/>
        <w:spacing w:line="600" w:lineRule="atLeast"/>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二、教师培养：加强学习，提高素质</w:t>
      </w:r>
    </w:p>
    <w:p w14:paraId="51EC96A7">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为了提高教师的素质，我们通过多种形式对教师进行培训。强化培训学习,注重自身建设,不断提升教师素质.全园积极参加上级和教育部门举办的学习培训活动，坚持每周召开班长会，每月教职工集中学习，帮助教师不断改造自己的主观世界，做到敬业、爱业、精业、创业，教书育人，为人师表。                                                三、教育教学：注重细节，提升质量</w:t>
      </w:r>
    </w:p>
    <w:p w14:paraId="6A178EB5">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是各班能认真制订教学计划，在制定周、半日活动时合理安排各方面的教育内容，根据孩子的年龄特点把领域活动与主题活动有机结合，相互渗透，有效地防止在教学工作的主观性和随意性。（二）是定期检查教师备课、幼儿成长册、教养笔记等。落实一日教学常规，加大对一日生活各个环节的监督和调控。以抽查听课为载体，在听完每节课后与教师及时交流，并进行点评纠正。   （三）是各班都创设了有利于引发幼儿互动的环境。在走廊、楼梯、班级主题墙、家长园地等环境的创设，做到美观新颖，突出主题。根据孩子年龄特点，力求做到生活化、趣味化、艺术化和儿童化，让孩子主动参与到环境中来，从中受到教育。幼儿的一日生活之中，贯穿于游戏、教育活动之中，并以多种形式进行整合，结合本园、本班幼儿的实际情况，进行教育教学.</w:t>
      </w:r>
    </w:p>
    <w:p w14:paraId="7E2DFA98">
      <w:pPr>
        <w:widowControl/>
        <w:shd w:val="clear" w:color="auto" w:fill="FFFFFF"/>
        <w:spacing w:line="600" w:lineRule="atLeast"/>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四、卫生保健：落实安全，严控防疫，细化保育。</w:t>
      </w:r>
    </w:p>
    <w:p w14:paraId="19A95F98">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我园制定《药品管理制度》、《班级安全管理制度》、《幼儿接送制度》、《幼儿意外伤害事故处理》、《消防设备检查制度》等安全卫生保健制度，促使安全卫生保健工作有序、科学地开展，为幼儿提供有利于健康成长的环境。(一)细化制度，提高安全管理力度，细化各项安全工作责任。每年度与每位教职工依据自身的工作签订安全目标责任书，做到人人有责,人人都是安全员。(二)细化工作，规划保育工作程序，在已有制度的基础上进一步细化幼儿在园一日生活各环节的管理细则，包括对教师的具体工作、对保育员的具体要求、对食堂工作人员的要求，让每位工作人员明确工作程序，规范地开展幼儿一日生活各环节的保育工作。</w:t>
      </w:r>
    </w:p>
    <w:p w14:paraId="3432C0A1">
      <w:pPr>
        <w:widowControl/>
        <w:shd w:val="clear" w:color="auto" w:fill="FFFFFF"/>
        <w:spacing w:line="600" w:lineRule="atLeast"/>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五、家长工作：家园合作，有序开展</w:t>
      </w:r>
    </w:p>
    <w:p w14:paraId="3124B135">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纲要》中提出：家庭是幼儿园重要的合作伙伴。本着这种理念，把做好家长工作作为我园的工作重点之一。每学期开始要求老师们制定好家长工作计划，有目的有计划地开展各项家长活动。我们的家长工作以多种形式开展着，在每年一次的家长开放日活动中，家长对老师的满意度还是很高的，相信我们的家长会一直理解、支持我们的工作。</w:t>
      </w:r>
    </w:p>
    <w:p w14:paraId="11F137FF">
      <w:pPr>
        <w:widowControl/>
        <w:shd w:val="clear" w:color="auto" w:fill="FFFFFF"/>
        <w:spacing w:line="600" w:lineRule="atLeast"/>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六、思考与展望</w:t>
      </w:r>
    </w:p>
    <w:p w14:paraId="6A0A6F1A">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以上是对我园本年度工作的总结， 有收获也有不足,我们将在以后的日子里，不忘初心、牢记使命、团结一致、共同努力，争取办家长满意,幼儿开心的优质幼儿园</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 xml:space="preserve">                                                                                                      </w:t>
      </w:r>
    </w:p>
    <w:p w14:paraId="3CA27857">
      <w:pPr>
        <w:widowControl/>
        <w:spacing w:line="560" w:lineRule="exact"/>
        <w:ind w:firstLine="646" w:firstLineChars="200"/>
        <w:outlineLvl w:val="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（三）社会公众满意度评价</w:t>
      </w:r>
    </w:p>
    <w:p w14:paraId="3C2B7643">
      <w:pPr>
        <w:widowControl/>
        <w:spacing w:line="600" w:lineRule="atLeast"/>
        <w:ind w:firstLine="625"/>
        <w:rPr>
          <w:rFonts w:hint="eastAsia" w:ascii="仿宋_GB2312" w:hAnsi="仿宋_GB2312" w:eastAsia="仿宋_GB2312" w:cs="仿宋_GB2312"/>
          <w:spacing w:val="-2"/>
          <w:sz w:val="32"/>
          <w:szCs w:val="32"/>
        </w:rPr>
      </w:pPr>
      <w:r>
        <w:rPr>
          <w:rFonts w:hint="eastAsia" w:ascii="仿宋_GB2312" w:hAnsi="仿宋_GB2312" w:eastAsia="仿宋_GB2312" w:cs="仿宋_GB2312"/>
          <w:color w:val="000000"/>
          <w:sz w:val="32"/>
          <w:szCs w:val="32"/>
          <w:shd w:val="clear" w:color="auto" w:fill="FFFFFF"/>
          <w:lang w:eastAsia="zh-CN"/>
        </w:rPr>
        <w:t>2022年</w:t>
      </w:r>
      <w:r>
        <w:rPr>
          <w:rFonts w:hint="eastAsia" w:ascii="仿宋_GB2312" w:hAnsi="仿宋_GB2312" w:eastAsia="仿宋_GB2312" w:cs="仿宋_GB2312"/>
          <w:color w:val="000000"/>
          <w:sz w:val="32"/>
          <w:szCs w:val="32"/>
          <w:shd w:val="clear" w:color="auto" w:fill="FFFFFF"/>
        </w:rPr>
        <w:t>，我校干部职工在党组的正确领导下，认真贯彻落实党的方针政策，勤奋工作，</w:t>
      </w:r>
      <w:r>
        <w:rPr>
          <w:rFonts w:hint="eastAsia" w:ascii="仿宋_GB2312" w:hAnsi="仿宋_GB2312" w:eastAsia="仿宋_GB2312" w:cs="仿宋_GB2312"/>
          <w:sz w:val="32"/>
          <w:szCs w:val="32"/>
          <w:shd w:val="clear" w:color="auto" w:fill="FFFFFF"/>
        </w:rPr>
        <w:t>创先争优，以一切为了孩子的办园理念. 社会公众满意度约为</w:t>
      </w:r>
      <w:r>
        <w:rPr>
          <w:rFonts w:hint="eastAsia" w:ascii="仿宋_GB2312" w:hAnsi="仿宋_GB2312" w:eastAsia="仿宋_GB2312" w:cs="仿宋_GB2312"/>
          <w:color w:val="000000"/>
          <w:sz w:val="32"/>
          <w:szCs w:val="32"/>
          <w:shd w:val="clear" w:color="auto" w:fill="FFFFFF"/>
        </w:rPr>
        <w:t>95%</w:t>
      </w:r>
      <w:r>
        <w:rPr>
          <w:rFonts w:hint="eastAsia" w:ascii="仿宋_GB2312" w:hAnsi="仿宋_GB2312" w:eastAsia="仿宋_GB2312" w:cs="仿宋_GB2312"/>
          <w:sz w:val="32"/>
          <w:szCs w:val="32"/>
          <w:shd w:val="clear" w:color="auto" w:fill="FFFFFF"/>
        </w:rPr>
        <w:t xml:space="preserve"> ，得到了广大家长的认可。</w:t>
      </w:r>
    </w:p>
    <w:p w14:paraId="56FCC7FA">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六、存在的主要问题</w:t>
      </w:r>
    </w:p>
    <w:p w14:paraId="611EB6FE">
      <w:pPr>
        <w:widowControl/>
        <w:spacing w:line="600" w:lineRule="atLeast"/>
        <w:ind w:firstLine="625"/>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1、预算批复滞后，客观上造成了年底突击花钱。</w:t>
      </w:r>
    </w:p>
    <w:p w14:paraId="6D9B14E9">
      <w:pPr>
        <w:widowControl/>
        <w:spacing w:line="600" w:lineRule="atLeast"/>
        <w:ind w:firstLine="625"/>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2、有些资金拨款不及时，造成当年的资金没有办法在当年支付。</w:t>
      </w:r>
    </w:p>
    <w:p w14:paraId="7D6833E8">
      <w:pPr>
        <w:widowControl/>
        <w:spacing w:line="600" w:lineRule="atLeast"/>
        <w:ind w:firstLine="625"/>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3、通过非税部门管理的资金（事业收入或财政预算拨款）拨款进度较慢，影响预算的支出完成。</w:t>
      </w:r>
    </w:p>
    <w:p w14:paraId="19CFFAB7">
      <w:pPr>
        <w:widowControl/>
        <w:spacing w:line="600" w:lineRule="atLeast"/>
        <w:ind w:firstLine="625"/>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4、预算收入的编制不够精准，造成收入和支出产生比较大的差异。</w:t>
      </w:r>
    </w:p>
    <w:p w14:paraId="04EB4436">
      <w:pPr>
        <w:widowControl/>
        <w:shd w:val="clear" w:color="auto" w:fill="FFFFFF"/>
        <w:spacing w:line="600" w:lineRule="atLeast"/>
        <w:ind w:firstLine="640"/>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七、改进措施和有关建议</w:t>
      </w:r>
    </w:p>
    <w:p w14:paraId="05AE0E03">
      <w:pPr>
        <w:widowControl/>
        <w:shd w:val="clear" w:color="auto" w:fill="FFFFFF"/>
        <w:spacing w:line="600" w:lineRule="atLeast"/>
        <w:ind w:firstLine="640"/>
        <w:rPr>
          <w:rFonts w:hint="eastAsia"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对存在的问题提出切实可行的改进措施和有关建议等。</w:t>
      </w:r>
    </w:p>
    <w:p w14:paraId="0AB7ABF5"/>
    <w:p w14:paraId="4273E8A7">
      <w:pPr>
        <w:spacing w:line="560" w:lineRule="exact"/>
        <w:rPr>
          <w:rFonts w:hint="eastAsia" w:ascii="黑体" w:hAnsi="宋体" w:eastAsia="黑体" w:cs="宋体"/>
          <w:kern w:val="0"/>
          <w:sz w:val="32"/>
          <w:szCs w:val="32"/>
        </w:rPr>
      </w:pPr>
      <w:r>
        <w:rPr>
          <w:rFonts w:hint="eastAsia" w:ascii="黑体" w:hAnsi="宋体" w:eastAsia="黑体" w:cs="宋体"/>
          <w:kern w:val="0"/>
          <w:sz w:val="32"/>
          <w:szCs w:val="32"/>
        </w:rPr>
        <w:br w:type="page"/>
      </w:r>
      <w:r>
        <w:rPr>
          <w:rFonts w:hint="eastAsia" w:ascii="黑体" w:hAnsi="宋体" w:eastAsia="黑体" w:cs="宋体"/>
          <w:kern w:val="0"/>
          <w:sz w:val="32"/>
          <w:szCs w:val="32"/>
        </w:rPr>
        <w:t>附件</w:t>
      </w:r>
      <w:r>
        <w:rPr>
          <w:rFonts w:hint="eastAsia" w:ascii="黑体" w:hAnsi="宋体" w:eastAsia="黑体" w:cs="宋体"/>
          <w:kern w:val="0"/>
          <w:sz w:val="32"/>
          <w:szCs w:val="32"/>
          <w:lang w:val="en-US" w:eastAsia="zh-CN"/>
        </w:rPr>
        <w:t>1</w:t>
      </w:r>
    </w:p>
    <w:p w14:paraId="1D054429">
      <w:pPr>
        <w:spacing w:line="560" w:lineRule="exact"/>
        <w:jc w:val="center"/>
        <w:rPr>
          <w:rFonts w:ascii="宋体" w:hAnsi="宋体" w:cs="宋体"/>
          <w:kern w:val="0"/>
          <w:sz w:val="24"/>
        </w:rPr>
      </w:pPr>
      <w:r>
        <w:rPr>
          <w:rFonts w:hint="eastAsia" w:ascii="方正小标宋_GBK" w:hAnsi="宋体" w:eastAsia="方正小标宋_GBK" w:cs="宋体"/>
          <w:kern w:val="0"/>
          <w:sz w:val="36"/>
          <w:szCs w:val="36"/>
        </w:rPr>
        <w:t>部门整体支出绩效评价</w:t>
      </w:r>
      <w:r>
        <w:rPr>
          <w:rFonts w:hint="eastAsia" w:ascii="方正小标宋_GBK" w:hAnsi="宋体" w:eastAsia="方正小标宋_GBK" w:cs="宋体"/>
          <w:kern w:val="0"/>
          <w:sz w:val="36"/>
          <w:szCs w:val="36"/>
          <w:lang w:eastAsia="zh-CN"/>
        </w:rPr>
        <w:t>共性</w:t>
      </w:r>
      <w:r>
        <w:rPr>
          <w:rFonts w:hint="eastAsia" w:ascii="方正小标宋_GBK" w:hAnsi="宋体" w:eastAsia="方正小标宋_GBK" w:cs="宋体"/>
          <w:kern w:val="0"/>
          <w:sz w:val="36"/>
          <w:szCs w:val="36"/>
        </w:rPr>
        <w:t>指标表</w:t>
      </w:r>
    </w:p>
    <w:tbl>
      <w:tblPr>
        <w:tblStyle w:val="6"/>
        <w:tblW w:w="0" w:type="auto"/>
        <w:jc w:val="center"/>
        <w:tblLayout w:type="fixed"/>
        <w:tblCellMar>
          <w:top w:w="0" w:type="dxa"/>
          <w:left w:w="108" w:type="dxa"/>
          <w:bottom w:w="0" w:type="dxa"/>
          <w:right w:w="108" w:type="dxa"/>
        </w:tblCellMar>
      </w:tblPr>
      <w:tblGrid>
        <w:gridCol w:w="518"/>
        <w:gridCol w:w="470"/>
        <w:gridCol w:w="623"/>
        <w:gridCol w:w="416"/>
        <w:gridCol w:w="1015"/>
        <w:gridCol w:w="416"/>
        <w:gridCol w:w="3016"/>
        <w:gridCol w:w="3489"/>
        <w:gridCol w:w="637"/>
      </w:tblGrid>
      <w:tr w14:paraId="622C8224">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noWrap w:val="0"/>
            <w:vAlign w:val="center"/>
          </w:tcPr>
          <w:p w14:paraId="1CB3BAF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一级指标</w:t>
            </w:r>
          </w:p>
        </w:tc>
        <w:tc>
          <w:tcPr>
            <w:tcW w:w="470" w:type="dxa"/>
            <w:tcBorders>
              <w:top w:val="single" w:color="auto" w:sz="4" w:space="0"/>
              <w:left w:val="nil"/>
              <w:bottom w:val="single" w:color="auto" w:sz="4" w:space="0"/>
              <w:right w:val="single" w:color="auto" w:sz="4" w:space="0"/>
            </w:tcBorders>
            <w:noWrap w:val="0"/>
            <w:vAlign w:val="center"/>
          </w:tcPr>
          <w:p w14:paraId="15BF341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623" w:type="dxa"/>
            <w:tcBorders>
              <w:top w:val="single" w:color="auto" w:sz="4" w:space="0"/>
              <w:left w:val="nil"/>
              <w:bottom w:val="single" w:color="auto" w:sz="4" w:space="0"/>
              <w:right w:val="single" w:color="auto" w:sz="4" w:space="0"/>
            </w:tcBorders>
            <w:noWrap w:val="0"/>
            <w:vAlign w:val="center"/>
          </w:tcPr>
          <w:p w14:paraId="06C1C43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二级指标</w:t>
            </w:r>
          </w:p>
        </w:tc>
        <w:tc>
          <w:tcPr>
            <w:tcW w:w="416" w:type="dxa"/>
            <w:tcBorders>
              <w:top w:val="single" w:color="auto" w:sz="4" w:space="0"/>
              <w:left w:val="nil"/>
              <w:bottom w:val="single" w:color="auto" w:sz="4" w:space="0"/>
              <w:right w:val="single" w:color="auto" w:sz="4" w:space="0"/>
            </w:tcBorders>
            <w:noWrap w:val="0"/>
            <w:vAlign w:val="center"/>
          </w:tcPr>
          <w:p w14:paraId="1C8DA34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1015" w:type="dxa"/>
            <w:tcBorders>
              <w:top w:val="single" w:color="auto" w:sz="4" w:space="0"/>
              <w:left w:val="nil"/>
              <w:bottom w:val="single" w:color="auto" w:sz="4" w:space="0"/>
              <w:right w:val="single" w:color="auto" w:sz="4" w:space="0"/>
            </w:tcBorders>
            <w:noWrap w:val="0"/>
            <w:vAlign w:val="center"/>
          </w:tcPr>
          <w:p w14:paraId="06E0493E">
            <w:pPr>
              <w:widowControl/>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三级</w:t>
            </w:r>
          </w:p>
          <w:p w14:paraId="5119E8D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w:t>
            </w:r>
          </w:p>
        </w:tc>
        <w:tc>
          <w:tcPr>
            <w:tcW w:w="416" w:type="dxa"/>
            <w:tcBorders>
              <w:top w:val="single" w:color="auto" w:sz="4" w:space="0"/>
              <w:left w:val="nil"/>
              <w:bottom w:val="single" w:color="auto" w:sz="4" w:space="0"/>
              <w:right w:val="single" w:color="auto" w:sz="4" w:space="0"/>
            </w:tcBorders>
            <w:noWrap w:val="0"/>
            <w:vAlign w:val="center"/>
          </w:tcPr>
          <w:p w14:paraId="385E4FC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分值</w:t>
            </w:r>
          </w:p>
        </w:tc>
        <w:tc>
          <w:tcPr>
            <w:tcW w:w="3016" w:type="dxa"/>
            <w:tcBorders>
              <w:top w:val="single" w:color="auto" w:sz="4" w:space="0"/>
              <w:left w:val="nil"/>
              <w:bottom w:val="single" w:color="auto" w:sz="4" w:space="0"/>
              <w:right w:val="single" w:color="auto" w:sz="4" w:space="0"/>
            </w:tcBorders>
            <w:noWrap w:val="0"/>
            <w:vAlign w:val="center"/>
          </w:tcPr>
          <w:p w14:paraId="4A22A61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评价标准</w:t>
            </w:r>
          </w:p>
        </w:tc>
        <w:tc>
          <w:tcPr>
            <w:tcW w:w="3489" w:type="dxa"/>
            <w:tcBorders>
              <w:top w:val="single" w:color="auto" w:sz="4" w:space="0"/>
              <w:left w:val="nil"/>
              <w:bottom w:val="single" w:color="auto" w:sz="4" w:space="0"/>
              <w:right w:val="single" w:color="auto" w:sz="4" w:space="0"/>
            </w:tcBorders>
            <w:noWrap w:val="0"/>
            <w:vAlign w:val="center"/>
          </w:tcPr>
          <w:p w14:paraId="414179C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指标说明</w:t>
            </w:r>
          </w:p>
        </w:tc>
        <w:tc>
          <w:tcPr>
            <w:tcW w:w="637" w:type="dxa"/>
            <w:tcBorders>
              <w:top w:val="single" w:color="auto" w:sz="4" w:space="0"/>
              <w:left w:val="nil"/>
              <w:bottom w:val="single" w:color="auto" w:sz="4" w:space="0"/>
              <w:right w:val="single" w:color="auto" w:sz="4" w:space="0"/>
            </w:tcBorders>
            <w:noWrap w:val="0"/>
            <w:vAlign w:val="center"/>
          </w:tcPr>
          <w:p w14:paraId="0A43D52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得分</w:t>
            </w:r>
          </w:p>
        </w:tc>
      </w:tr>
      <w:tr w14:paraId="758B0E21">
        <w:tblPrEx>
          <w:tblCellMar>
            <w:top w:w="0" w:type="dxa"/>
            <w:left w:w="108" w:type="dxa"/>
            <w:bottom w:w="0" w:type="dxa"/>
            <w:right w:w="108" w:type="dxa"/>
          </w:tblCellMar>
        </w:tblPrEx>
        <w:trPr>
          <w:trHeight w:val="1814" w:hRule="atLeast"/>
          <w:jc w:val="center"/>
        </w:trPr>
        <w:tc>
          <w:tcPr>
            <w:tcW w:w="518" w:type="dxa"/>
            <w:vMerge w:val="restart"/>
            <w:tcBorders>
              <w:top w:val="nil"/>
              <w:left w:val="single" w:color="auto" w:sz="4" w:space="0"/>
              <w:bottom w:val="single" w:color="auto" w:sz="4" w:space="0"/>
              <w:right w:val="single" w:color="auto" w:sz="4" w:space="0"/>
            </w:tcBorders>
            <w:noWrap w:val="0"/>
            <w:vAlign w:val="center"/>
          </w:tcPr>
          <w:p w14:paraId="6062AE71">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投入</w:t>
            </w:r>
          </w:p>
        </w:tc>
        <w:tc>
          <w:tcPr>
            <w:tcW w:w="470" w:type="dxa"/>
            <w:vMerge w:val="restart"/>
            <w:tcBorders>
              <w:top w:val="nil"/>
              <w:left w:val="single" w:color="auto" w:sz="4" w:space="0"/>
              <w:bottom w:val="single" w:color="000000" w:sz="4" w:space="0"/>
              <w:right w:val="single" w:color="auto" w:sz="4" w:space="0"/>
            </w:tcBorders>
            <w:noWrap w:val="0"/>
            <w:vAlign w:val="center"/>
          </w:tcPr>
          <w:p w14:paraId="7A34F1A0">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4E4BBD6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预算配置</w:t>
            </w:r>
          </w:p>
        </w:tc>
        <w:tc>
          <w:tcPr>
            <w:tcW w:w="416" w:type="dxa"/>
            <w:vMerge w:val="restart"/>
            <w:tcBorders>
              <w:top w:val="nil"/>
              <w:left w:val="single" w:color="auto" w:sz="4" w:space="0"/>
              <w:bottom w:val="single" w:color="000000" w:sz="4" w:space="0"/>
              <w:right w:val="single" w:color="auto" w:sz="4" w:space="0"/>
            </w:tcBorders>
            <w:noWrap w:val="0"/>
            <w:vAlign w:val="center"/>
          </w:tcPr>
          <w:p w14:paraId="25AC14A2">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1</w:t>
            </w:r>
            <w:r>
              <w:rPr>
                <w:rFonts w:hint="eastAsia" w:ascii="仿宋_GB2312" w:hAnsi="宋体" w:eastAsia="仿宋_GB2312" w:cs="宋体"/>
                <w:kern w:val="0"/>
                <w:sz w:val="20"/>
                <w:szCs w:val="20"/>
                <w:lang w:val="en-US" w:eastAsia="zh-CN"/>
              </w:rPr>
              <w:t>0</w:t>
            </w:r>
          </w:p>
        </w:tc>
        <w:tc>
          <w:tcPr>
            <w:tcW w:w="1015" w:type="dxa"/>
            <w:tcBorders>
              <w:top w:val="nil"/>
              <w:left w:val="nil"/>
              <w:bottom w:val="single" w:color="auto" w:sz="4" w:space="0"/>
              <w:right w:val="single" w:color="auto" w:sz="4" w:space="0"/>
            </w:tcBorders>
            <w:noWrap w:val="0"/>
            <w:vAlign w:val="center"/>
          </w:tcPr>
          <w:p w14:paraId="4BAB791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在职人员控制率</w:t>
            </w:r>
          </w:p>
        </w:tc>
        <w:tc>
          <w:tcPr>
            <w:tcW w:w="416" w:type="dxa"/>
            <w:tcBorders>
              <w:top w:val="nil"/>
              <w:left w:val="nil"/>
              <w:bottom w:val="single" w:color="auto" w:sz="4" w:space="0"/>
              <w:right w:val="single" w:color="auto" w:sz="4" w:space="0"/>
            </w:tcBorders>
            <w:noWrap w:val="0"/>
            <w:vAlign w:val="center"/>
          </w:tcPr>
          <w:p w14:paraId="031A552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nil"/>
              <w:right w:val="nil"/>
            </w:tcBorders>
            <w:noWrap w:val="0"/>
            <w:vAlign w:val="center"/>
          </w:tcPr>
          <w:p w14:paraId="1D5D118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以100%为标准。在职人员控制率</w:t>
            </w:r>
            <w:r>
              <w:rPr>
                <w:rFonts w:hint="eastAsia" w:ascii="宋体" w:hAnsi="宋体" w:cs="宋体"/>
                <w:kern w:val="0"/>
                <w:sz w:val="20"/>
                <w:szCs w:val="20"/>
              </w:rPr>
              <w:t>≦</w:t>
            </w:r>
            <w:r>
              <w:rPr>
                <w:rFonts w:hint="eastAsia" w:ascii="仿宋_GB2312" w:hAnsi="宋体" w:eastAsia="仿宋_GB2312" w:cs="宋体"/>
                <w:kern w:val="0"/>
                <w:sz w:val="20"/>
                <w:szCs w:val="20"/>
              </w:rPr>
              <w:t>100%，计5分；每超过一个百分点扣0.5分，扣完为止。</w:t>
            </w:r>
          </w:p>
        </w:tc>
        <w:tc>
          <w:tcPr>
            <w:tcW w:w="3489" w:type="dxa"/>
            <w:tcBorders>
              <w:top w:val="nil"/>
              <w:left w:val="single" w:color="auto" w:sz="4" w:space="0"/>
              <w:bottom w:val="single" w:color="auto" w:sz="4" w:space="0"/>
              <w:right w:val="single" w:color="auto" w:sz="4" w:space="0"/>
            </w:tcBorders>
            <w:noWrap w:val="0"/>
            <w:vAlign w:val="center"/>
          </w:tcPr>
          <w:p w14:paraId="121ED5BA">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在职人员控制率=（</w:t>
            </w:r>
            <w:r>
              <w:rPr>
                <w:rFonts w:hint="eastAsia" w:ascii="仿宋_GB2312" w:hAnsi="宋体" w:eastAsia="仿宋_GB2312" w:cs="宋体"/>
                <w:kern w:val="0"/>
                <w:sz w:val="20"/>
                <w:szCs w:val="20"/>
                <w:lang w:val="en-US" w:eastAsia="zh-CN"/>
              </w:rPr>
              <w:t>22</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27</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=81.48%</w:t>
            </w:r>
          </w:p>
        </w:tc>
        <w:tc>
          <w:tcPr>
            <w:tcW w:w="637" w:type="dxa"/>
            <w:tcBorders>
              <w:top w:val="nil"/>
              <w:left w:val="nil"/>
              <w:bottom w:val="single" w:color="auto" w:sz="4" w:space="0"/>
              <w:right w:val="single" w:color="auto" w:sz="4" w:space="0"/>
            </w:tcBorders>
            <w:noWrap w:val="0"/>
            <w:vAlign w:val="center"/>
          </w:tcPr>
          <w:p w14:paraId="25805812">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117CB5C2">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5C056EFF">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4EDF16F1">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247294DC">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58A5F67">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55C971E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p>
        </w:tc>
        <w:tc>
          <w:tcPr>
            <w:tcW w:w="416" w:type="dxa"/>
            <w:tcBorders>
              <w:top w:val="nil"/>
              <w:left w:val="nil"/>
              <w:bottom w:val="single" w:color="auto" w:sz="4" w:space="0"/>
              <w:right w:val="single" w:color="auto" w:sz="4" w:space="0"/>
            </w:tcBorders>
            <w:noWrap w:val="0"/>
            <w:vAlign w:val="center"/>
          </w:tcPr>
          <w:p w14:paraId="48E92471">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5</w:t>
            </w:r>
          </w:p>
        </w:tc>
        <w:tc>
          <w:tcPr>
            <w:tcW w:w="3016" w:type="dxa"/>
            <w:tcBorders>
              <w:top w:val="single" w:color="auto" w:sz="4" w:space="0"/>
              <w:left w:val="nil"/>
              <w:bottom w:val="single" w:color="auto" w:sz="4" w:space="0"/>
              <w:right w:val="single" w:color="auto" w:sz="4" w:space="0"/>
            </w:tcBorders>
            <w:noWrap w:val="0"/>
            <w:vAlign w:val="center"/>
          </w:tcPr>
          <w:p w14:paraId="0670709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“三公经费”变动率</w:t>
            </w:r>
            <w:r>
              <w:rPr>
                <w:rFonts w:hint="eastAsia" w:ascii="宋体" w:hAnsi="宋体" w:cs="宋体"/>
                <w:kern w:val="0"/>
                <w:sz w:val="20"/>
                <w:szCs w:val="20"/>
              </w:rPr>
              <w:t>≦</w:t>
            </w:r>
            <w:r>
              <w:rPr>
                <w:rFonts w:hint="eastAsia" w:ascii="仿宋_GB2312" w:hAnsi="宋体" w:eastAsia="仿宋_GB2312" w:cs="宋体"/>
                <w:kern w:val="0"/>
                <w:sz w:val="20"/>
                <w:szCs w:val="20"/>
              </w:rPr>
              <w:t>0,计</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分；“三公经费”＞0，每超过一个百分点扣0.</w:t>
            </w:r>
            <w:r>
              <w:rPr>
                <w:rFonts w:hint="eastAsia" w:ascii="仿宋_GB2312" w:hAnsi="宋体" w:eastAsia="仿宋_GB2312" w:cs="宋体"/>
                <w:kern w:val="0"/>
                <w:sz w:val="20"/>
                <w:szCs w:val="20"/>
                <w:lang w:val="en-US" w:eastAsia="zh-CN"/>
              </w:rPr>
              <w:t>5</w:t>
            </w:r>
            <w:r>
              <w:rPr>
                <w:rFonts w:hint="eastAsia" w:ascii="仿宋_GB2312" w:hAnsi="宋体" w:eastAsia="仿宋_GB2312" w:cs="宋体"/>
                <w:kern w:val="0"/>
                <w:sz w:val="20"/>
                <w:szCs w:val="20"/>
              </w:rPr>
              <w:t>分，扣完为止。</w:t>
            </w:r>
          </w:p>
        </w:tc>
        <w:tc>
          <w:tcPr>
            <w:tcW w:w="3489" w:type="dxa"/>
            <w:tcBorders>
              <w:top w:val="nil"/>
              <w:left w:val="nil"/>
              <w:bottom w:val="single" w:color="auto" w:sz="4" w:space="0"/>
              <w:right w:val="single" w:color="auto" w:sz="4" w:space="0"/>
            </w:tcBorders>
            <w:noWrap w:val="0"/>
            <w:vAlign w:val="center"/>
          </w:tcPr>
          <w:p w14:paraId="0F248537">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“三公经费”变动率=[（</w:t>
            </w:r>
            <w:r>
              <w:rPr>
                <w:rFonts w:hint="eastAsia" w:ascii="仿宋_GB2312" w:hAnsi="宋体" w:eastAsia="仿宋_GB2312" w:cs="宋体"/>
                <w:kern w:val="0"/>
                <w:sz w:val="20"/>
                <w:szCs w:val="20"/>
                <w:lang w:val="en-US" w:eastAsia="zh-CN"/>
              </w:rPr>
              <w:t>4.45</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4.44</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=0.23%</w:t>
            </w:r>
          </w:p>
        </w:tc>
        <w:tc>
          <w:tcPr>
            <w:tcW w:w="637" w:type="dxa"/>
            <w:tcBorders>
              <w:top w:val="nil"/>
              <w:left w:val="nil"/>
              <w:bottom w:val="single" w:color="auto" w:sz="4" w:space="0"/>
              <w:right w:val="single" w:color="auto" w:sz="4" w:space="0"/>
            </w:tcBorders>
            <w:noWrap w:val="0"/>
            <w:vAlign w:val="center"/>
          </w:tcPr>
          <w:p w14:paraId="566A6CDB">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28F3D91A">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52D9DC1F">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nil"/>
              <w:left w:val="single" w:color="auto" w:sz="4" w:space="0"/>
              <w:bottom w:val="single" w:color="000000" w:sz="4" w:space="0"/>
              <w:right w:val="single" w:color="auto" w:sz="4" w:space="0"/>
            </w:tcBorders>
            <w:noWrap w:val="0"/>
            <w:vAlign w:val="center"/>
          </w:tcPr>
          <w:p w14:paraId="6B507922">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single" w:color="auto" w:sz="4" w:space="0"/>
              <w:bottom w:val="single" w:color="000000" w:sz="4" w:space="0"/>
              <w:right w:val="single" w:color="auto" w:sz="4" w:space="0"/>
            </w:tcBorders>
            <w:noWrap w:val="0"/>
            <w:vAlign w:val="center"/>
          </w:tcPr>
          <w:p w14:paraId="1DDB5370">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预算执行</w:t>
            </w:r>
          </w:p>
        </w:tc>
        <w:tc>
          <w:tcPr>
            <w:tcW w:w="416" w:type="dxa"/>
            <w:vMerge w:val="restart"/>
            <w:tcBorders>
              <w:top w:val="nil"/>
              <w:left w:val="single" w:color="auto" w:sz="4" w:space="0"/>
              <w:bottom w:val="single" w:color="000000" w:sz="4" w:space="0"/>
              <w:right w:val="single" w:color="auto" w:sz="4" w:space="0"/>
            </w:tcBorders>
            <w:noWrap w:val="0"/>
            <w:vAlign w:val="center"/>
          </w:tcPr>
          <w:p w14:paraId="0ADA604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015" w:type="dxa"/>
            <w:tcBorders>
              <w:top w:val="nil"/>
              <w:left w:val="nil"/>
              <w:bottom w:val="single" w:color="auto" w:sz="4" w:space="0"/>
              <w:right w:val="single" w:color="auto" w:sz="4" w:space="0"/>
            </w:tcBorders>
            <w:noWrap w:val="0"/>
            <w:vAlign w:val="center"/>
          </w:tcPr>
          <w:p w14:paraId="0D65966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预算完成率</w:t>
            </w:r>
          </w:p>
        </w:tc>
        <w:tc>
          <w:tcPr>
            <w:tcW w:w="416" w:type="dxa"/>
            <w:tcBorders>
              <w:top w:val="nil"/>
              <w:left w:val="nil"/>
              <w:bottom w:val="single" w:color="auto" w:sz="4" w:space="0"/>
              <w:right w:val="single" w:color="auto" w:sz="4" w:space="0"/>
            </w:tcBorders>
            <w:noWrap w:val="0"/>
            <w:vAlign w:val="center"/>
          </w:tcPr>
          <w:p w14:paraId="1E578CB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3CAFA54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100%计满分，每低于5%扣2分，扣完为止。</w:t>
            </w:r>
          </w:p>
        </w:tc>
        <w:tc>
          <w:tcPr>
            <w:tcW w:w="3489" w:type="dxa"/>
            <w:tcBorders>
              <w:top w:val="nil"/>
              <w:left w:val="nil"/>
              <w:bottom w:val="single" w:color="auto" w:sz="4" w:space="0"/>
              <w:right w:val="single" w:color="auto" w:sz="4" w:space="0"/>
            </w:tcBorders>
            <w:noWrap w:val="0"/>
            <w:vAlign w:val="center"/>
          </w:tcPr>
          <w:p w14:paraId="1071A7E1">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预算完成率=（</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=100%</w:t>
            </w:r>
          </w:p>
        </w:tc>
        <w:tc>
          <w:tcPr>
            <w:tcW w:w="637" w:type="dxa"/>
            <w:tcBorders>
              <w:top w:val="nil"/>
              <w:left w:val="nil"/>
              <w:bottom w:val="single" w:color="auto" w:sz="4" w:space="0"/>
              <w:right w:val="single" w:color="auto" w:sz="4" w:space="0"/>
            </w:tcBorders>
            <w:noWrap w:val="0"/>
            <w:vAlign w:val="center"/>
          </w:tcPr>
          <w:p w14:paraId="41585AF5">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74AC9C26">
        <w:tblPrEx>
          <w:tblCellMar>
            <w:top w:w="0" w:type="dxa"/>
            <w:left w:w="108" w:type="dxa"/>
            <w:bottom w:w="0" w:type="dxa"/>
            <w:right w:w="108" w:type="dxa"/>
          </w:tblCellMar>
        </w:tblPrEx>
        <w:trPr>
          <w:trHeight w:val="12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61C67801">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46E30654">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6321DDDB">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1F1CAFA6">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189142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w:t>
            </w:r>
          </w:p>
        </w:tc>
        <w:tc>
          <w:tcPr>
            <w:tcW w:w="416" w:type="dxa"/>
            <w:tcBorders>
              <w:top w:val="nil"/>
              <w:left w:val="nil"/>
              <w:bottom w:val="single" w:color="auto" w:sz="4" w:space="0"/>
              <w:right w:val="single" w:color="auto" w:sz="4" w:space="0"/>
            </w:tcBorders>
            <w:noWrap w:val="0"/>
            <w:vAlign w:val="center"/>
          </w:tcPr>
          <w:p w14:paraId="1AB6309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51E55B4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预算控制率=0，计5分；0-10%（含），计4分；10-20%（含），计3分；20-30%（含），计2分；大于30%不得分。</w:t>
            </w:r>
          </w:p>
        </w:tc>
        <w:tc>
          <w:tcPr>
            <w:tcW w:w="3489" w:type="dxa"/>
            <w:tcBorders>
              <w:top w:val="nil"/>
              <w:left w:val="nil"/>
              <w:bottom w:val="single" w:color="auto" w:sz="4" w:space="0"/>
              <w:right w:val="single" w:color="auto" w:sz="4" w:space="0"/>
            </w:tcBorders>
            <w:noWrap w:val="0"/>
            <w:vAlign w:val="center"/>
          </w:tcPr>
          <w:p w14:paraId="47409234">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rPr>
              <w:t>预算控制率=（</w:t>
            </w:r>
            <w:r>
              <w:rPr>
                <w:rFonts w:hint="eastAsia" w:ascii="仿宋_GB2312" w:hAnsi="宋体" w:eastAsia="仿宋_GB2312" w:cs="宋体"/>
                <w:kern w:val="0"/>
                <w:sz w:val="20"/>
                <w:szCs w:val="20"/>
                <w:lang w:val="en-US" w:eastAsia="zh-CN"/>
              </w:rPr>
              <w:t>131.94</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353.36</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lang w:val="en-US" w:eastAsia="zh-CN"/>
              </w:rPr>
              <w:t>=37.34%</w:t>
            </w:r>
          </w:p>
        </w:tc>
        <w:tc>
          <w:tcPr>
            <w:tcW w:w="637" w:type="dxa"/>
            <w:tcBorders>
              <w:top w:val="nil"/>
              <w:left w:val="nil"/>
              <w:bottom w:val="single" w:color="auto" w:sz="4" w:space="0"/>
              <w:right w:val="single" w:color="auto" w:sz="4" w:space="0"/>
            </w:tcBorders>
            <w:noWrap w:val="0"/>
            <w:vAlign w:val="center"/>
          </w:tcPr>
          <w:p w14:paraId="4E4E983C">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0</w:t>
            </w:r>
          </w:p>
        </w:tc>
      </w:tr>
      <w:tr w14:paraId="6F2404B3">
        <w:tblPrEx>
          <w:tblCellMar>
            <w:top w:w="0" w:type="dxa"/>
            <w:left w:w="108" w:type="dxa"/>
            <w:bottom w:w="0" w:type="dxa"/>
            <w:right w:w="108" w:type="dxa"/>
          </w:tblCellMar>
        </w:tblPrEx>
        <w:trPr>
          <w:trHeight w:val="1160"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FD3A815">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5C72CE9">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2C9E8C41">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38A6E23A">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49414B1F">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新建楼堂馆所面积控制率</w:t>
            </w:r>
          </w:p>
        </w:tc>
        <w:tc>
          <w:tcPr>
            <w:tcW w:w="416" w:type="dxa"/>
            <w:tcBorders>
              <w:top w:val="nil"/>
              <w:left w:val="nil"/>
              <w:bottom w:val="single" w:color="auto" w:sz="4" w:space="0"/>
              <w:right w:val="single" w:color="auto" w:sz="4" w:space="0"/>
            </w:tcBorders>
            <w:noWrap w:val="0"/>
            <w:vAlign w:val="center"/>
          </w:tcPr>
          <w:p w14:paraId="3CEA1282">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37BAC75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100%以下（含）计满分，每超出5%扣2分，扣完为止。没有楼堂馆所项目的部门按满分计算。</w:t>
            </w:r>
          </w:p>
        </w:tc>
        <w:tc>
          <w:tcPr>
            <w:tcW w:w="3489" w:type="dxa"/>
            <w:tcBorders>
              <w:top w:val="nil"/>
              <w:left w:val="nil"/>
              <w:bottom w:val="single" w:color="auto" w:sz="4" w:space="0"/>
              <w:right w:val="single" w:color="auto" w:sz="4" w:space="0"/>
            </w:tcBorders>
            <w:noWrap w:val="0"/>
            <w:vAlign w:val="center"/>
          </w:tcPr>
          <w:p w14:paraId="2543F038">
            <w:pPr>
              <w:widowControl/>
              <w:jc w:val="lef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2022年度单位无楼堂会所建设项目</w:t>
            </w:r>
          </w:p>
        </w:tc>
        <w:tc>
          <w:tcPr>
            <w:tcW w:w="637" w:type="dxa"/>
            <w:tcBorders>
              <w:top w:val="nil"/>
              <w:left w:val="nil"/>
              <w:bottom w:val="single" w:color="auto" w:sz="4" w:space="0"/>
              <w:right w:val="single" w:color="auto" w:sz="4" w:space="0"/>
            </w:tcBorders>
            <w:noWrap w:val="0"/>
            <w:vAlign w:val="center"/>
          </w:tcPr>
          <w:p w14:paraId="166E0CD8">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097483C8">
        <w:tblPrEx>
          <w:tblCellMar>
            <w:top w:w="0" w:type="dxa"/>
            <w:left w:w="108" w:type="dxa"/>
            <w:bottom w:w="0" w:type="dxa"/>
            <w:right w:w="108" w:type="dxa"/>
          </w:tblCellMar>
        </w:tblPrEx>
        <w:trPr>
          <w:trHeight w:val="154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780DC576">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6711257E">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435F8164">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5514BB18">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52429F8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新建楼堂馆所投资概算控制率</w:t>
            </w:r>
          </w:p>
        </w:tc>
        <w:tc>
          <w:tcPr>
            <w:tcW w:w="416" w:type="dxa"/>
            <w:tcBorders>
              <w:top w:val="nil"/>
              <w:left w:val="nil"/>
              <w:bottom w:val="single" w:color="auto" w:sz="4" w:space="0"/>
              <w:right w:val="single" w:color="auto" w:sz="4" w:space="0"/>
            </w:tcBorders>
            <w:noWrap w:val="0"/>
            <w:vAlign w:val="center"/>
          </w:tcPr>
          <w:p w14:paraId="3B90120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0FAB401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100%以下（含）计满分，每超出5%扣2分，扣完为止。</w:t>
            </w:r>
          </w:p>
        </w:tc>
        <w:tc>
          <w:tcPr>
            <w:tcW w:w="3489" w:type="dxa"/>
            <w:tcBorders>
              <w:top w:val="nil"/>
              <w:left w:val="nil"/>
              <w:bottom w:val="single" w:color="auto" w:sz="4" w:space="0"/>
              <w:right w:val="single" w:color="auto" w:sz="4" w:space="0"/>
            </w:tcBorders>
            <w:noWrap w:val="0"/>
            <w:vAlign w:val="center"/>
          </w:tcPr>
          <w:p w14:paraId="00857C8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2022年度单位无楼堂会所建设项目</w:t>
            </w:r>
          </w:p>
        </w:tc>
        <w:tc>
          <w:tcPr>
            <w:tcW w:w="637" w:type="dxa"/>
            <w:tcBorders>
              <w:top w:val="nil"/>
              <w:left w:val="nil"/>
              <w:bottom w:val="single" w:color="auto" w:sz="4" w:space="0"/>
              <w:right w:val="single" w:color="auto" w:sz="4" w:space="0"/>
            </w:tcBorders>
            <w:noWrap w:val="0"/>
            <w:vAlign w:val="center"/>
          </w:tcPr>
          <w:p w14:paraId="468F1B30">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5</w:t>
            </w:r>
          </w:p>
        </w:tc>
      </w:tr>
      <w:tr w14:paraId="2549AD85">
        <w:tblPrEx>
          <w:tblCellMar>
            <w:top w:w="0" w:type="dxa"/>
            <w:left w:w="108" w:type="dxa"/>
            <w:bottom w:w="0" w:type="dxa"/>
            <w:right w:w="108" w:type="dxa"/>
          </w:tblCellMar>
        </w:tblPrEx>
        <w:trPr>
          <w:trHeight w:val="1562"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62239FA4">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BD82FE6">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69561A73">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restart"/>
            <w:tcBorders>
              <w:top w:val="nil"/>
              <w:left w:val="single" w:color="auto" w:sz="4" w:space="0"/>
              <w:bottom w:val="single" w:color="000000" w:sz="4" w:space="0"/>
              <w:right w:val="single" w:color="auto" w:sz="4" w:space="0"/>
            </w:tcBorders>
            <w:noWrap w:val="0"/>
            <w:vAlign w:val="center"/>
          </w:tcPr>
          <w:p w14:paraId="3672A1D0">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40</w:t>
            </w:r>
          </w:p>
        </w:tc>
        <w:tc>
          <w:tcPr>
            <w:tcW w:w="1015" w:type="dxa"/>
            <w:tcBorders>
              <w:top w:val="nil"/>
              <w:left w:val="nil"/>
              <w:bottom w:val="single" w:color="auto" w:sz="4" w:space="0"/>
              <w:right w:val="single" w:color="auto" w:sz="4" w:space="0"/>
            </w:tcBorders>
            <w:noWrap w:val="0"/>
            <w:vAlign w:val="center"/>
          </w:tcPr>
          <w:p w14:paraId="726FCF4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p>
        </w:tc>
        <w:tc>
          <w:tcPr>
            <w:tcW w:w="416" w:type="dxa"/>
            <w:tcBorders>
              <w:top w:val="nil"/>
              <w:left w:val="nil"/>
              <w:bottom w:val="single" w:color="auto" w:sz="4" w:space="0"/>
              <w:right w:val="single" w:color="auto" w:sz="4" w:space="0"/>
            </w:tcBorders>
            <w:noWrap w:val="0"/>
            <w:vAlign w:val="center"/>
          </w:tcPr>
          <w:p w14:paraId="620D923A">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5928C66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18A6437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公用经费控制率=（</w:t>
            </w:r>
            <w:r>
              <w:rPr>
                <w:rFonts w:hint="eastAsia" w:ascii="仿宋_GB2312" w:hAnsi="宋体" w:eastAsia="仿宋_GB2312" w:cs="宋体"/>
                <w:kern w:val="0"/>
                <w:sz w:val="20"/>
                <w:szCs w:val="20"/>
                <w:lang w:val="en-US" w:eastAsia="zh-CN"/>
              </w:rPr>
              <w:t>62.15</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11</w:t>
            </w:r>
            <w:r>
              <w:rPr>
                <w:rFonts w:hint="eastAsia" w:ascii="仿宋_GB2312" w:hAnsi="宋体" w:eastAsia="仿宋_GB2312" w:cs="宋体"/>
                <w:kern w:val="0"/>
                <w:sz w:val="20"/>
                <w:szCs w:val="20"/>
              </w:rPr>
              <w:t>）×100%。</w:t>
            </w:r>
            <w:r>
              <w:rPr>
                <w:rFonts w:hint="eastAsia" w:ascii="仿宋_GB2312" w:hAnsi="宋体" w:eastAsia="仿宋_GB2312" w:cs="宋体"/>
                <w:kern w:val="0"/>
                <w:sz w:val="20"/>
                <w:szCs w:val="20"/>
              </w:rPr>
              <w:br w:type="textWrapping"/>
            </w:r>
          </w:p>
        </w:tc>
        <w:tc>
          <w:tcPr>
            <w:tcW w:w="637" w:type="dxa"/>
            <w:tcBorders>
              <w:top w:val="nil"/>
              <w:left w:val="nil"/>
              <w:bottom w:val="single" w:color="auto" w:sz="4" w:space="0"/>
              <w:right w:val="single" w:color="auto" w:sz="4" w:space="0"/>
            </w:tcBorders>
            <w:noWrap w:val="0"/>
            <w:vAlign w:val="center"/>
          </w:tcPr>
          <w:p w14:paraId="49D29A70">
            <w:pPr>
              <w:widowControl/>
              <w:jc w:val="center"/>
              <w:rPr>
                <w:rFonts w:ascii="宋体" w:hAnsi="宋体" w:cs="宋体"/>
                <w:kern w:val="0"/>
                <w:sz w:val="24"/>
              </w:rPr>
            </w:pPr>
            <w:r>
              <w:rPr>
                <w:rFonts w:hint="eastAsia" w:ascii="宋体" w:hAnsi="宋体" w:cs="宋体"/>
                <w:kern w:val="0"/>
                <w:sz w:val="24"/>
                <w:lang w:val="en-US" w:eastAsia="zh-CN"/>
              </w:rPr>
              <w:t>0</w:t>
            </w:r>
          </w:p>
        </w:tc>
      </w:tr>
      <w:tr w14:paraId="0B85068B">
        <w:tblPrEx>
          <w:tblCellMar>
            <w:top w:w="0" w:type="dxa"/>
            <w:left w:w="108" w:type="dxa"/>
            <w:bottom w:w="0" w:type="dxa"/>
            <w:right w:w="108" w:type="dxa"/>
          </w:tblCellMar>
        </w:tblPrEx>
        <w:trPr>
          <w:trHeight w:val="1073" w:hRule="atLeast"/>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463D99D9">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656AC83D">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182A3CBC">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0EE2DBD5">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16DCD06D">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p>
        </w:tc>
        <w:tc>
          <w:tcPr>
            <w:tcW w:w="416" w:type="dxa"/>
            <w:tcBorders>
              <w:top w:val="nil"/>
              <w:left w:val="nil"/>
              <w:bottom w:val="single" w:color="auto" w:sz="4" w:space="0"/>
              <w:right w:val="single" w:color="auto" w:sz="4" w:space="0"/>
            </w:tcBorders>
            <w:noWrap w:val="0"/>
            <w:vAlign w:val="center"/>
          </w:tcPr>
          <w:p w14:paraId="3F529E80">
            <w:pPr>
              <w:widowControl/>
              <w:jc w:val="center"/>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val="en-US" w:eastAsia="zh-CN"/>
              </w:rPr>
              <w:t>7</w:t>
            </w:r>
          </w:p>
        </w:tc>
        <w:tc>
          <w:tcPr>
            <w:tcW w:w="3016" w:type="dxa"/>
            <w:tcBorders>
              <w:top w:val="nil"/>
              <w:left w:val="nil"/>
              <w:bottom w:val="single" w:color="auto" w:sz="4" w:space="0"/>
              <w:right w:val="single" w:color="auto" w:sz="4" w:space="0"/>
            </w:tcBorders>
            <w:noWrap w:val="0"/>
            <w:vAlign w:val="center"/>
          </w:tcPr>
          <w:p w14:paraId="6C1E5FC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100%以下（含）计满分，每超出1%扣1分，扣完为止。</w:t>
            </w:r>
          </w:p>
        </w:tc>
        <w:tc>
          <w:tcPr>
            <w:tcW w:w="3489" w:type="dxa"/>
            <w:tcBorders>
              <w:top w:val="nil"/>
              <w:left w:val="nil"/>
              <w:bottom w:val="single" w:color="auto" w:sz="4" w:space="0"/>
              <w:right w:val="single" w:color="auto" w:sz="4" w:space="0"/>
            </w:tcBorders>
            <w:noWrap w:val="0"/>
            <w:vAlign w:val="center"/>
          </w:tcPr>
          <w:p w14:paraId="27C9013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“三公经费”控制率-（</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4.45</w:t>
            </w:r>
            <w:r>
              <w:rPr>
                <w:rFonts w:hint="eastAsia" w:ascii="仿宋_GB2312" w:hAnsi="宋体" w:eastAsia="仿宋_GB2312" w:cs="宋体"/>
                <w:kern w:val="0"/>
                <w:sz w:val="20"/>
                <w:szCs w:val="20"/>
              </w:rPr>
              <w:t>）×100%。</w:t>
            </w:r>
          </w:p>
        </w:tc>
        <w:tc>
          <w:tcPr>
            <w:tcW w:w="637" w:type="dxa"/>
            <w:tcBorders>
              <w:top w:val="nil"/>
              <w:left w:val="nil"/>
              <w:bottom w:val="single" w:color="auto" w:sz="4" w:space="0"/>
              <w:right w:val="single" w:color="auto" w:sz="4" w:space="0"/>
            </w:tcBorders>
            <w:noWrap w:val="0"/>
            <w:vAlign w:val="center"/>
          </w:tcPr>
          <w:p w14:paraId="0B291AB6">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14:paraId="58046D3F">
        <w:tblPrEx>
          <w:tblCellMar>
            <w:top w:w="0" w:type="dxa"/>
            <w:left w:w="108" w:type="dxa"/>
            <w:bottom w:w="0" w:type="dxa"/>
            <w:right w:w="108" w:type="dxa"/>
          </w:tblCellMar>
        </w:tblPrEx>
        <w:trPr>
          <w:trHeight w:val="918" w:hRule="atLeast"/>
          <w:jc w:val="center"/>
        </w:trPr>
        <w:tc>
          <w:tcPr>
            <w:tcW w:w="518" w:type="dxa"/>
            <w:vMerge w:val="continue"/>
            <w:tcBorders>
              <w:top w:val="nil"/>
              <w:left w:val="single" w:color="auto" w:sz="4" w:space="0"/>
              <w:bottom w:val="single" w:color="auto" w:sz="4" w:space="0"/>
              <w:right w:val="single" w:color="auto" w:sz="4" w:space="0"/>
            </w:tcBorders>
            <w:noWrap w:val="0"/>
            <w:vAlign w:val="center"/>
          </w:tcPr>
          <w:p w14:paraId="068B3DCC">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auto" w:sz="4" w:space="0"/>
              <w:right w:val="single" w:color="auto" w:sz="4" w:space="0"/>
            </w:tcBorders>
            <w:noWrap w:val="0"/>
            <w:vAlign w:val="center"/>
          </w:tcPr>
          <w:p w14:paraId="0C1160CD">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2C957077">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4B665963">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4B8AF2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p>
        </w:tc>
        <w:tc>
          <w:tcPr>
            <w:tcW w:w="416" w:type="dxa"/>
            <w:tcBorders>
              <w:top w:val="nil"/>
              <w:left w:val="nil"/>
              <w:bottom w:val="single" w:color="auto" w:sz="4" w:space="0"/>
              <w:right w:val="single" w:color="auto" w:sz="4" w:space="0"/>
            </w:tcBorders>
            <w:noWrap w:val="0"/>
            <w:vAlign w:val="center"/>
          </w:tcPr>
          <w:p w14:paraId="656F015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540AFD0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100%计满分，每超过（降低）5%扣2分。扣完为止。</w:t>
            </w:r>
          </w:p>
        </w:tc>
        <w:tc>
          <w:tcPr>
            <w:tcW w:w="3489" w:type="dxa"/>
            <w:tcBorders>
              <w:top w:val="nil"/>
              <w:left w:val="nil"/>
              <w:bottom w:val="single" w:color="auto" w:sz="4" w:space="0"/>
              <w:right w:val="single" w:color="auto" w:sz="4" w:space="0"/>
            </w:tcBorders>
            <w:noWrap w:val="0"/>
            <w:vAlign w:val="center"/>
          </w:tcPr>
          <w:p w14:paraId="128DC53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政府采购执行率=（</w:t>
            </w:r>
            <w:r>
              <w:rPr>
                <w:rFonts w:hint="eastAsia" w:ascii="仿宋_GB2312" w:hAnsi="宋体" w:eastAsia="仿宋_GB2312" w:cs="宋体"/>
                <w:kern w:val="0"/>
                <w:sz w:val="20"/>
                <w:szCs w:val="20"/>
                <w:lang w:val="en-US" w:eastAsia="zh-CN"/>
              </w:rPr>
              <w:t>0.19</w:t>
            </w:r>
            <w:r>
              <w:rPr>
                <w:rFonts w:hint="eastAsia" w:ascii="仿宋_GB2312" w:hAnsi="宋体" w:eastAsia="仿宋_GB2312" w:cs="宋体"/>
                <w:kern w:val="0"/>
                <w:sz w:val="20"/>
                <w:szCs w:val="20"/>
              </w:rPr>
              <w:t>/</w:t>
            </w:r>
            <w:r>
              <w:rPr>
                <w:rFonts w:hint="eastAsia" w:ascii="仿宋_GB2312" w:hAnsi="宋体" w:eastAsia="仿宋_GB2312" w:cs="宋体"/>
                <w:kern w:val="0"/>
                <w:sz w:val="20"/>
                <w:szCs w:val="20"/>
                <w:lang w:val="en-US" w:eastAsia="zh-CN"/>
              </w:rPr>
              <w:t>0</w:t>
            </w:r>
            <w:r>
              <w:rPr>
                <w:rFonts w:hint="eastAsia" w:ascii="仿宋_GB2312" w:hAnsi="宋体" w:eastAsia="仿宋_GB2312" w:cs="宋体"/>
                <w:kern w:val="0"/>
                <w:sz w:val="20"/>
                <w:szCs w:val="20"/>
              </w:rPr>
              <w:t>）×100%</w:t>
            </w:r>
          </w:p>
        </w:tc>
        <w:tc>
          <w:tcPr>
            <w:tcW w:w="637" w:type="dxa"/>
            <w:tcBorders>
              <w:top w:val="nil"/>
              <w:left w:val="nil"/>
              <w:bottom w:val="single" w:color="auto" w:sz="4" w:space="0"/>
              <w:right w:val="single" w:color="auto" w:sz="4" w:space="0"/>
            </w:tcBorders>
            <w:noWrap w:val="0"/>
            <w:vAlign w:val="center"/>
          </w:tcPr>
          <w:p w14:paraId="55A38E30">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0</w:t>
            </w:r>
          </w:p>
        </w:tc>
      </w:tr>
      <w:tr w14:paraId="38D58F33">
        <w:tblPrEx>
          <w:tblCellMar>
            <w:top w:w="0" w:type="dxa"/>
            <w:left w:w="108" w:type="dxa"/>
            <w:bottom w:w="0" w:type="dxa"/>
            <w:right w:w="108" w:type="dxa"/>
          </w:tblCellMar>
        </w:tblPrEx>
        <w:trPr>
          <w:jc w:val="center"/>
        </w:trPr>
        <w:tc>
          <w:tcPr>
            <w:tcW w:w="518" w:type="dxa"/>
            <w:vMerge w:val="restart"/>
            <w:tcBorders>
              <w:top w:val="single" w:color="auto" w:sz="4" w:space="0"/>
              <w:left w:val="single" w:color="auto" w:sz="4" w:space="0"/>
              <w:bottom w:val="single" w:color="000000" w:sz="4" w:space="0"/>
              <w:right w:val="single" w:color="auto" w:sz="4" w:space="0"/>
            </w:tcBorders>
            <w:noWrap w:val="0"/>
            <w:vAlign w:val="center"/>
          </w:tcPr>
          <w:p w14:paraId="77BAA176">
            <w:pPr>
              <w:jc w:val="left"/>
              <w:rPr>
                <w:rFonts w:ascii="仿宋_GB2312" w:hAnsi="宋体" w:eastAsia="仿宋_GB2312" w:cs="宋体"/>
                <w:kern w:val="0"/>
                <w:sz w:val="20"/>
                <w:szCs w:val="20"/>
              </w:rPr>
            </w:pPr>
            <w:r>
              <w:rPr>
                <w:rFonts w:hint="eastAsia" w:ascii="仿宋_GB2312" w:hAnsi="宋体" w:eastAsia="仿宋_GB2312" w:cs="宋体"/>
                <w:kern w:val="0"/>
                <w:sz w:val="20"/>
                <w:szCs w:val="20"/>
              </w:rPr>
              <w:t>过                                                                                                                                       程</w:t>
            </w:r>
          </w:p>
        </w:tc>
        <w:tc>
          <w:tcPr>
            <w:tcW w:w="470" w:type="dxa"/>
            <w:vMerge w:val="restart"/>
            <w:tcBorders>
              <w:top w:val="single" w:color="auto" w:sz="4" w:space="0"/>
              <w:left w:val="single" w:color="auto" w:sz="4" w:space="0"/>
              <w:bottom w:val="single" w:color="000000" w:sz="4" w:space="0"/>
              <w:right w:val="single" w:color="auto" w:sz="4" w:space="0"/>
            </w:tcBorders>
            <w:noWrap w:val="0"/>
            <w:vAlign w:val="center"/>
          </w:tcPr>
          <w:p w14:paraId="599BC785">
            <w:pPr>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6</w:t>
            </w:r>
            <w:r>
              <w:rPr>
                <w:rFonts w:hint="eastAsia" w:ascii="仿宋_GB2312" w:hAnsi="宋体" w:eastAsia="仿宋_GB2312" w:cs="宋体"/>
                <w:kern w:val="0"/>
                <w:sz w:val="20"/>
                <w:szCs w:val="20"/>
                <w:lang w:val="en-US" w:eastAsia="zh-CN"/>
              </w:rPr>
              <w:t>0</w:t>
            </w:r>
          </w:p>
        </w:tc>
        <w:tc>
          <w:tcPr>
            <w:tcW w:w="623" w:type="dxa"/>
            <w:vMerge w:val="restart"/>
            <w:tcBorders>
              <w:top w:val="nil"/>
              <w:left w:val="nil"/>
              <w:bottom w:val="single" w:color="auto" w:sz="4" w:space="0"/>
              <w:right w:val="single" w:color="auto" w:sz="4" w:space="0"/>
            </w:tcBorders>
            <w:noWrap w:val="0"/>
            <w:vAlign w:val="center"/>
          </w:tcPr>
          <w:p w14:paraId="26465AB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预算管理</w:t>
            </w:r>
          </w:p>
        </w:tc>
        <w:tc>
          <w:tcPr>
            <w:tcW w:w="416" w:type="dxa"/>
            <w:vMerge w:val="continue"/>
            <w:tcBorders>
              <w:top w:val="nil"/>
              <w:left w:val="single" w:color="auto" w:sz="4" w:space="0"/>
              <w:bottom w:val="single" w:color="000000" w:sz="4" w:space="0"/>
              <w:right w:val="single" w:color="auto" w:sz="4" w:space="0"/>
            </w:tcBorders>
            <w:noWrap w:val="0"/>
            <w:vAlign w:val="center"/>
          </w:tcPr>
          <w:p w14:paraId="287CAB06">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487CA4F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管理制度健全性</w:t>
            </w:r>
          </w:p>
        </w:tc>
        <w:tc>
          <w:tcPr>
            <w:tcW w:w="416" w:type="dxa"/>
            <w:tcBorders>
              <w:top w:val="nil"/>
              <w:left w:val="nil"/>
              <w:bottom w:val="single" w:color="auto" w:sz="4" w:space="0"/>
              <w:right w:val="single" w:color="auto" w:sz="4" w:space="0"/>
            </w:tcBorders>
            <w:noWrap w:val="0"/>
            <w:vAlign w:val="center"/>
          </w:tcPr>
          <w:p w14:paraId="03509A8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30625B4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①有内部财务管理制度、会计核算制度等管理制度，2分；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②有本部门厉行节约制度,2分；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③相关管理制度合法、合规、完整，2分；④相关管理制度得到有效执行，2分。</w:t>
            </w:r>
          </w:p>
        </w:tc>
        <w:tc>
          <w:tcPr>
            <w:tcW w:w="3489" w:type="dxa"/>
            <w:tcBorders>
              <w:top w:val="nil"/>
              <w:left w:val="nil"/>
              <w:bottom w:val="single" w:color="auto" w:sz="4" w:space="0"/>
              <w:right w:val="single" w:color="auto" w:sz="4" w:space="0"/>
            </w:tcBorders>
            <w:noWrap w:val="0"/>
            <w:vAlign w:val="center"/>
          </w:tcPr>
          <w:p w14:paraId="3FBF696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r>
              <w:rPr>
                <w:rFonts w:hint="eastAsia" w:ascii="仿宋_GB2312" w:hAnsi="宋体" w:eastAsia="仿宋_GB2312" w:cs="宋体"/>
                <w:kern w:val="0"/>
                <w:sz w:val="20"/>
                <w:szCs w:val="20"/>
                <w:lang w:val="en-US" w:eastAsia="zh-CN"/>
              </w:rPr>
              <w:t>制定了预算管理、资产管理、合同管理等制度，完善政府采购制度</w:t>
            </w:r>
          </w:p>
        </w:tc>
        <w:tc>
          <w:tcPr>
            <w:tcW w:w="637" w:type="dxa"/>
            <w:tcBorders>
              <w:top w:val="nil"/>
              <w:left w:val="nil"/>
              <w:bottom w:val="single" w:color="auto" w:sz="4" w:space="0"/>
              <w:right w:val="single" w:color="auto" w:sz="4" w:space="0"/>
            </w:tcBorders>
            <w:noWrap w:val="0"/>
            <w:vAlign w:val="center"/>
          </w:tcPr>
          <w:p w14:paraId="6C736CCC">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466D1188">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34678B3A">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5209568E">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265F8B63">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54ADE1B6">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4061900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资金使用合规性</w:t>
            </w:r>
          </w:p>
        </w:tc>
        <w:tc>
          <w:tcPr>
            <w:tcW w:w="416" w:type="dxa"/>
            <w:tcBorders>
              <w:top w:val="nil"/>
              <w:left w:val="nil"/>
              <w:bottom w:val="single" w:color="auto" w:sz="4" w:space="0"/>
              <w:right w:val="single" w:color="auto" w:sz="4" w:space="0"/>
            </w:tcBorders>
            <w:noWrap w:val="0"/>
            <w:vAlign w:val="center"/>
          </w:tcPr>
          <w:p w14:paraId="0ACCC02C">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21A59506">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以上情况每出现一例不符合要求的扣1分，扣完为止。</w:t>
            </w:r>
          </w:p>
        </w:tc>
        <w:tc>
          <w:tcPr>
            <w:tcW w:w="3489" w:type="dxa"/>
            <w:tcBorders>
              <w:top w:val="nil"/>
              <w:left w:val="nil"/>
              <w:bottom w:val="single" w:color="auto" w:sz="4" w:space="0"/>
              <w:right w:val="single" w:color="auto" w:sz="4" w:space="0"/>
            </w:tcBorders>
            <w:noWrap w:val="0"/>
            <w:vAlign w:val="center"/>
          </w:tcPr>
          <w:p w14:paraId="5BDFB833">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r>
              <w:rPr>
                <w:rFonts w:hint="eastAsia" w:ascii="仿宋_GB2312" w:hAnsi="宋体" w:eastAsia="仿宋_GB2312" w:cs="宋体"/>
                <w:kern w:val="0"/>
                <w:sz w:val="20"/>
                <w:szCs w:val="20"/>
                <w:lang w:val="en-US" w:eastAsia="zh-CN"/>
              </w:rPr>
              <w:t>本年资金严格按照预算要求支付。</w:t>
            </w:r>
          </w:p>
        </w:tc>
        <w:tc>
          <w:tcPr>
            <w:tcW w:w="637" w:type="dxa"/>
            <w:tcBorders>
              <w:top w:val="nil"/>
              <w:left w:val="nil"/>
              <w:bottom w:val="single" w:color="auto" w:sz="4" w:space="0"/>
              <w:right w:val="single" w:color="auto" w:sz="4" w:space="0"/>
            </w:tcBorders>
            <w:noWrap w:val="0"/>
            <w:vAlign w:val="center"/>
          </w:tcPr>
          <w:p w14:paraId="45BD8D2A">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05C24178">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56F3CD5D">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442B782">
            <w:pPr>
              <w:widowControl/>
              <w:jc w:val="left"/>
              <w:rPr>
                <w:rFonts w:ascii="仿宋_GB2312" w:hAnsi="宋体" w:eastAsia="仿宋_GB2312" w:cs="宋体"/>
                <w:kern w:val="0"/>
                <w:sz w:val="20"/>
                <w:szCs w:val="20"/>
              </w:rPr>
            </w:pPr>
          </w:p>
        </w:tc>
        <w:tc>
          <w:tcPr>
            <w:tcW w:w="623" w:type="dxa"/>
            <w:vMerge w:val="continue"/>
            <w:tcBorders>
              <w:top w:val="nil"/>
              <w:left w:val="nil"/>
              <w:bottom w:val="single" w:color="auto" w:sz="4" w:space="0"/>
              <w:right w:val="single" w:color="auto" w:sz="4" w:space="0"/>
            </w:tcBorders>
            <w:noWrap w:val="0"/>
            <w:vAlign w:val="center"/>
          </w:tcPr>
          <w:p w14:paraId="0E521F62">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2CEDEED8">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3F0CCDF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预决算信息公开性</w:t>
            </w:r>
          </w:p>
        </w:tc>
        <w:tc>
          <w:tcPr>
            <w:tcW w:w="416" w:type="dxa"/>
            <w:tcBorders>
              <w:top w:val="nil"/>
              <w:left w:val="nil"/>
              <w:bottom w:val="single" w:color="auto" w:sz="4" w:space="0"/>
              <w:right w:val="single" w:color="auto" w:sz="4" w:space="0"/>
            </w:tcBorders>
            <w:noWrap w:val="0"/>
            <w:vAlign w:val="center"/>
          </w:tcPr>
          <w:p w14:paraId="07CF97C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3016" w:type="dxa"/>
            <w:tcBorders>
              <w:top w:val="nil"/>
              <w:left w:val="nil"/>
              <w:bottom w:val="single" w:color="auto" w:sz="4" w:space="0"/>
              <w:right w:val="single" w:color="auto" w:sz="4" w:space="0"/>
            </w:tcBorders>
            <w:noWrap w:val="0"/>
            <w:vAlign w:val="center"/>
          </w:tcPr>
          <w:p w14:paraId="5781A36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489" w:type="dxa"/>
            <w:tcBorders>
              <w:top w:val="nil"/>
              <w:left w:val="nil"/>
              <w:bottom w:val="single" w:color="auto" w:sz="4" w:space="0"/>
              <w:right w:val="single" w:color="auto" w:sz="4" w:space="0"/>
            </w:tcBorders>
            <w:noWrap w:val="0"/>
            <w:vAlign w:val="center"/>
          </w:tcPr>
          <w:p w14:paraId="2DEFCFF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预决算信息是指与部门预算、执行、决算、监督、绩效等管理相关的信息。</w:t>
            </w:r>
            <w:r>
              <w:rPr>
                <w:rFonts w:hint="eastAsia" w:ascii="仿宋_GB2312" w:hAnsi="宋体" w:eastAsia="仿宋_GB2312" w:cs="宋体"/>
                <w:color w:val="auto"/>
                <w:kern w:val="0"/>
                <w:sz w:val="20"/>
                <w:szCs w:val="20"/>
                <w:lang w:val="en-US" w:eastAsia="zh-CN"/>
              </w:rPr>
              <w:t>按要求公开预、决算，</w:t>
            </w:r>
            <w:r>
              <w:rPr>
                <w:rFonts w:hint="eastAsia" w:ascii="仿宋_GB2312" w:hAnsi="宋体" w:eastAsia="仿宋_GB2312" w:cs="宋体"/>
                <w:color w:val="auto"/>
                <w:kern w:val="0"/>
                <w:sz w:val="20"/>
                <w:szCs w:val="20"/>
              </w:rPr>
              <w:t>且基础数据信息和会计信息资料真实、完整、准确</w:t>
            </w:r>
          </w:p>
        </w:tc>
        <w:tc>
          <w:tcPr>
            <w:tcW w:w="637" w:type="dxa"/>
            <w:tcBorders>
              <w:top w:val="nil"/>
              <w:left w:val="nil"/>
              <w:bottom w:val="single" w:color="auto" w:sz="4" w:space="0"/>
              <w:right w:val="single" w:color="auto" w:sz="4" w:space="0"/>
            </w:tcBorders>
            <w:noWrap w:val="0"/>
            <w:vAlign w:val="center"/>
          </w:tcPr>
          <w:p w14:paraId="484154CA">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5</w:t>
            </w:r>
          </w:p>
        </w:tc>
      </w:tr>
      <w:tr w14:paraId="6AD5DFE2">
        <w:tblPrEx>
          <w:tblCellMar>
            <w:top w:w="0" w:type="dxa"/>
            <w:left w:w="108" w:type="dxa"/>
            <w:bottom w:w="0" w:type="dxa"/>
            <w:right w:w="108" w:type="dxa"/>
          </w:tblCellMar>
        </w:tblPrEx>
        <w:trPr>
          <w:jc w:val="center"/>
        </w:trPr>
        <w:tc>
          <w:tcPr>
            <w:tcW w:w="518" w:type="dxa"/>
            <w:vMerge w:val="restart"/>
            <w:tcBorders>
              <w:top w:val="nil"/>
              <w:left w:val="single" w:color="auto" w:sz="4" w:space="0"/>
              <w:bottom w:val="single" w:color="000000" w:sz="4" w:space="0"/>
              <w:right w:val="single" w:color="auto" w:sz="4" w:space="0"/>
            </w:tcBorders>
            <w:noWrap w:val="0"/>
            <w:vAlign w:val="center"/>
          </w:tcPr>
          <w:p w14:paraId="46C4616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产出及效率</w:t>
            </w:r>
          </w:p>
        </w:tc>
        <w:tc>
          <w:tcPr>
            <w:tcW w:w="470" w:type="dxa"/>
            <w:vMerge w:val="restart"/>
            <w:tcBorders>
              <w:top w:val="nil"/>
              <w:left w:val="single" w:color="auto" w:sz="4" w:space="0"/>
              <w:bottom w:val="single" w:color="000000" w:sz="4" w:space="0"/>
              <w:right w:val="single" w:color="auto" w:sz="4" w:space="0"/>
            </w:tcBorders>
            <w:noWrap w:val="0"/>
            <w:vAlign w:val="center"/>
          </w:tcPr>
          <w:p w14:paraId="4589C9EA">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30</w:t>
            </w:r>
          </w:p>
        </w:tc>
        <w:tc>
          <w:tcPr>
            <w:tcW w:w="623" w:type="dxa"/>
            <w:tcBorders>
              <w:top w:val="nil"/>
              <w:left w:val="nil"/>
              <w:bottom w:val="single" w:color="auto" w:sz="4" w:space="0"/>
              <w:right w:val="single" w:color="auto" w:sz="4" w:space="0"/>
            </w:tcBorders>
            <w:noWrap w:val="0"/>
            <w:vAlign w:val="center"/>
          </w:tcPr>
          <w:p w14:paraId="4E7AB34E">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职责履行</w:t>
            </w:r>
          </w:p>
        </w:tc>
        <w:tc>
          <w:tcPr>
            <w:tcW w:w="416" w:type="dxa"/>
            <w:tcBorders>
              <w:top w:val="nil"/>
              <w:left w:val="nil"/>
              <w:bottom w:val="single" w:color="auto" w:sz="4" w:space="0"/>
              <w:right w:val="single" w:color="auto" w:sz="4" w:space="0"/>
            </w:tcBorders>
            <w:noWrap w:val="0"/>
            <w:vAlign w:val="center"/>
          </w:tcPr>
          <w:p w14:paraId="73EF89C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015" w:type="dxa"/>
            <w:tcBorders>
              <w:top w:val="nil"/>
              <w:left w:val="nil"/>
              <w:bottom w:val="nil"/>
              <w:right w:val="single" w:color="auto" w:sz="4" w:space="0"/>
            </w:tcBorders>
            <w:noWrap w:val="0"/>
            <w:vAlign w:val="center"/>
          </w:tcPr>
          <w:p w14:paraId="46CBCE7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重点工作实际完成率</w:t>
            </w:r>
          </w:p>
        </w:tc>
        <w:tc>
          <w:tcPr>
            <w:tcW w:w="416" w:type="dxa"/>
            <w:tcBorders>
              <w:top w:val="nil"/>
              <w:left w:val="nil"/>
              <w:bottom w:val="single" w:color="auto" w:sz="4" w:space="0"/>
              <w:right w:val="single" w:color="auto" w:sz="4" w:space="0"/>
            </w:tcBorders>
            <w:noWrap w:val="0"/>
            <w:vAlign w:val="center"/>
          </w:tcPr>
          <w:p w14:paraId="2EBD273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3016" w:type="dxa"/>
            <w:tcBorders>
              <w:top w:val="nil"/>
              <w:left w:val="nil"/>
              <w:bottom w:val="single" w:color="auto" w:sz="4" w:space="0"/>
              <w:right w:val="single" w:color="auto" w:sz="4" w:space="0"/>
            </w:tcBorders>
            <w:noWrap w:val="0"/>
            <w:vAlign w:val="center"/>
          </w:tcPr>
          <w:p w14:paraId="319DB30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根据绩效办</w:t>
            </w:r>
            <w:r>
              <w:rPr>
                <w:rFonts w:hint="eastAsia" w:ascii="仿宋_GB2312" w:hAnsi="宋体" w:eastAsia="仿宋_GB2312" w:cs="宋体"/>
                <w:kern w:val="0"/>
                <w:sz w:val="20"/>
                <w:szCs w:val="20"/>
                <w:lang w:eastAsia="zh-CN"/>
              </w:rPr>
              <w:t>2022年</w:t>
            </w:r>
            <w:r>
              <w:rPr>
                <w:rFonts w:hint="eastAsia" w:ascii="仿宋_GB2312" w:hAnsi="宋体" w:eastAsia="仿宋_GB2312" w:cs="宋体"/>
                <w:kern w:val="0"/>
                <w:sz w:val="20"/>
                <w:szCs w:val="20"/>
              </w:rPr>
              <w:t>对各部门为民办实事和部门重点工程与重点工作考核分数折算。</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该项得分=（绩效办对应部分考核得分/</w:t>
            </w:r>
            <w:r>
              <w:rPr>
                <w:rFonts w:hint="eastAsia" w:ascii="仿宋_GB2312" w:hAnsi="宋体" w:eastAsia="仿宋_GB2312" w:cs="宋体"/>
                <w:kern w:val="0"/>
                <w:sz w:val="20"/>
                <w:szCs w:val="20"/>
                <w:lang w:eastAsia="zh-CN"/>
              </w:rPr>
              <w:t>该部分总分</w:t>
            </w:r>
            <w:r>
              <w:rPr>
                <w:rFonts w:hint="eastAsia" w:ascii="仿宋_GB2312" w:hAnsi="宋体" w:eastAsia="仿宋_GB2312" w:cs="宋体"/>
                <w:kern w:val="0"/>
                <w:sz w:val="20"/>
                <w:szCs w:val="20"/>
              </w:rPr>
              <w:t>）*8</w:t>
            </w:r>
          </w:p>
        </w:tc>
        <w:tc>
          <w:tcPr>
            <w:tcW w:w="3489" w:type="dxa"/>
            <w:tcBorders>
              <w:top w:val="nil"/>
              <w:left w:val="nil"/>
              <w:bottom w:val="single" w:color="auto" w:sz="4" w:space="0"/>
              <w:right w:val="single" w:color="auto" w:sz="4" w:space="0"/>
            </w:tcBorders>
            <w:noWrap w:val="0"/>
            <w:vAlign w:val="center"/>
          </w:tcPr>
          <w:p w14:paraId="797C156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637" w:type="dxa"/>
            <w:tcBorders>
              <w:top w:val="nil"/>
              <w:left w:val="nil"/>
              <w:bottom w:val="single" w:color="auto" w:sz="4" w:space="0"/>
              <w:right w:val="single" w:color="auto" w:sz="4" w:space="0"/>
            </w:tcBorders>
            <w:noWrap w:val="0"/>
            <w:vAlign w:val="center"/>
          </w:tcPr>
          <w:p w14:paraId="343AF240">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8</w:t>
            </w:r>
          </w:p>
        </w:tc>
      </w:tr>
      <w:tr w14:paraId="2226271A">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5B968E1E">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012E3AE9">
            <w:pPr>
              <w:widowControl/>
              <w:jc w:val="left"/>
              <w:rPr>
                <w:rFonts w:ascii="仿宋_GB2312" w:hAnsi="宋体" w:eastAsia="仿宋_GB2312" w:cs="宋体"/>
                <w:kern w:val="0"/>
                <w:sz w:val="20"/>
                <w:szCs w:val="20"/>
              </w:rPr>
            </w:pPr>
          </w:p>
        </w:tc>
        <w:tc>
          <w:tcPr>
            <w:tcW w:w="623" w:type="dxa"/>
            <w:vMerge w:val="restart"/>
            <w:tcBorders>
              <w:top w:val="nil"/>
              <w:left w:val="single" w:color="auto" w:sz="4" w:space="0"/>
              <w:bottom w:val="single" w:color="000000" w:sz="4" w:space="0"/>
              <w:right w:val="single" w:color="auto" w:sz="4" w:space="0"/>
            </w:tcBorders>
            <w:noWrap w:val="0"/>
            <w:vAlign w:val="center"/>
          </w:tcPr>
          <w:p w14:paraId="381E354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履职 效益</w:t>
            </w:r>
          </w:p>
        </w:tc>
        <w:tc>
          <w:tcPr>
            <w:tcW w:w="416" w:type="dxa"/>
            <w:vMerge w:val="restart"/>
            <w:tcBorders>
              <w:top w:val="nil"/>
              <w:left w:val="single" w:color="auto" w:sz="4" w:space="0"/>
              <w:bottom w:val="single" w:color="000000" w:sz="4" w:space="0"/>
              <w:right w:val="single" w:color="auto" w:sz="4" w:space="0"/>
            </w:tcBorders>
            <w:noWrap w:val="0"/>
            <w:vAlign w:val="center"/>
          </w:tcPr>
          <w:p w14:paraId="17FBD148">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1015" w:type="dxa"/>
            <w:tcBorders>
              <w:top w:val="single" w:color="auto" w:sz="4" w:space="0"/>
              <w:left w:val="nil"/>
              <w:bottom w:val="single" w:color="auto" w:sz="4" w:space="0"/>
              <w:right w:val="single" w:color="auto" w:sz="4" w:space="0"/>
            </w:tcBorders>
            <w:noWrap w:val="0"/>
            <w:vAlign w:val="center"/>
          </w:tcPr>
          <w:p w14:paraId="4B3FC64B">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经济效益</w:t>
            </w:r>
          </w:p>
        </w:tc>
        <w:tc>
          <w:tcPr>
            <w:tcW w:w="416" w:type="dxa"/>
            <w:vMerge w:val="restart"/>
            <w:tcBorders>
              <w:top w:val="nil"/>
              <w:left w:val="single" w:color="auto" w:sz="4" w:space="0"/>
              <w:bottom w:val="nil"/>
              <w:right w:val="single" w:color="auto" w:sz="4" w:space="0"/>
            </w:tcBorders>
            <w:noWrap w:val="0"/>
            <w:vAlign w:val="center"/>
          </w:tcPr>
          <w:p w14:paraId="0EDE29A6">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10</w:t>
            </w:r>
          </w:p>
        </w:tc>
        <w:tc>
          <w:tcPr>
            <w:tcW w:w="6505" w:type="dxa"/>
            <w:gridSpan w:val="2"/>
            <w:vMerge w:val="restart"/>
            <w:tcBorders>
              <w:top w:val="single" w:color="auto" w:sz="4" w:space="0"/>
              <w:left w:val="single" w:color="auto" w:sz="4" w:space="0"/>
              <w:bottom w:val="nil"/>
              <w:right w:val="single" w:color="000000" w:sz="4" w:space="0"/>
            </w:tcBorders>
            <w:noWrap w:val="0"/>
            <w:vAlign w:val="center"/>
          </w:tcPr>
          <w:p w14:paraId="654927E8">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此两项指标为设置部门整体支出绩效评价指标时必须考虑的共性要素，可根据部门实际情况有选择的进行设置，并将其细化为相应的个性化指标。</w:t>
            </w:r>
          </w:p>
        </w:tc>
        <w:tc>
          <w:tcPr>
            <w:tcW w:w="637" w:type="dxa"/>
            <w:vMerge w:val="restart"/>
            <w:tcBorders>
              <w:top w:val="nil"/>
              <w:left w:val="nil"/>
              <w:right w:val="single" w:color="auto" w:sz="4" w:space="0"/>
            </w:tcBorders>
            <w:noWrap w:val="0"/>
            <w:vAlign w:val="center"/>
          </w:tcPr>
          <w:p w14:paraId="003939E8">
            <w:pPr>
              <w:widowControl/>
              <w:jc w:val="left"/>
              <w:rPr>
                <w:rFonts w:hint="eastAsia" w:ascii="宋体" w:hAnsi="宋体" w:eastAsia="宋体" w:cs="宋体"/>
                <w:kern w:val="0"/>
                <w:sz w:val="24"/>
                <w:lang w:val="en-US" w:eastAsia="zh-CN"/>
              </w:rPr>
            </w:pPr>
            <w:r>
              <w:rPr>
                <w:rFonts w:hint="eastAsia" w:ascii="仿宋_GB2312" w:hAnsi="宋体" w:eastAsia="仿宋_GB2312" w:cs="宋体"/>
                <w:kern w:val="0"/>
                <w:sz w:val="20"/>
                <w:szCs w:val="20"/>
                <w:lang w:val="en-US" w:eastAsia="zh-CN"/>
              </w:rPr>
              <w:t>　</w:t>
            </w:r>
            <w:r>
              <w:rPr>
                <w:rFonts w:hint="eastAsia" w:ascii="宋体" w:hAnsi="宋体" w:eastAsia="宋体" w:cs="宋体"/>
                <w:kern w:val="0"/>
                <w:sz w:val="24"/>
                <w:lang w:val="en-US" w:eastAsia="zh-CN"/>
              </w:rPr>
              <w:t>10</w:t>
            </w:r>
          </w:p>
          <w:p w14:paraId="35514B0C">
            <w:pPr>
              <w:widowControl/>
              <w:jc w:val="left"/>
              <w:rPr>
                <w:rFonts w:hint="default" w:ascii="宋体" w:hAnsi="宋体" w:eastAsia="宋体" w:cs="宋体"/>
                <w:kern w:val="0"/>
                <w:sz w:val="24"/>
                <w:lang w:val="en-US" w:eastAsia="zh-CN"/>
              </w:rPr>
            </w:pPr>
          </w:p>
          <w:p w14:paraId="4E227042">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　</w:t>
            </w:r>
          </w:p>
        </w:tc>
      </w:tr>
      <w:tr w14:paraId="660945CF">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3D623E93">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68A2F7C9">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438ABFA8">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7FC47F0A">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7F66BB66">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社会效益</w:t>
            </w:r>
          </w:p>
        </w:tc>
        <w:tc>
          <w:tcPr>
            <w:tcW w:w="416" w:type="dxa"/>
            <w:vMerge w:val="continue"/>
            <w:tcBorders>
              <w:top w:val="nil"/>
              <w:left w:val="single" w:color="auto" w:sz="4" w:space="0"/>
              <w:bottom w:val="nil"/>
              <w:right w:val="single" w:color="auto" w:sz="4" w:space="0"/>
            </w:tcBorders>
            <w:noWrap w:val="0"/>
            <w:vAlign w:val="center"/>
          </w:tcPr>
          <w:p w14:paraId="5B5C9198">
            <w:pPr>
              <w:widowControl/>
              <w:jc w:val="left"/>
              <w:rPr>
                <w:rFonts w:ascii="仿宋_GB2312" w:hAnsi="宋体" w:eastAsia="仿宋_GB2312" w:cs="宋体"/>
                <w:kern w:val="0"/>
                <w:sz w:val="20"/>
                <w:szCs w:val="20"/>
              </w:rPr>
            </w:pPr>
          </w:p>
        </w:tc>
        <w:tc>
          <w:tcPr>
            <w:tcW w:w="6505" w:type="dxa"/>
            <w:gridSpan w:val="2"/>
            <w:vMerge w:val="continue"/>
            <w:tcBorders>
              <w:top w:val="single" w:color="auto" w:sz="4" w:space="0"/>
              <w:left w:val="single" w:color="auto" w:sz="4" w:space="0"/>
              <w:bottom w:val="nil"/>
              <w:right w:val="single" w:color="000000" w:sz="4" w:space="0"/>
            </w:tcBorders>
            <w:noWrap w:val="0"/>
            <w:vAlign w:val="center"/>
          </w:tcPr>
          <w:p w14:paraId="6519B015">
            <w:pPr>
              <w:widowControl/>
              <w:jc w:val="left"/>
              <w:rPr>
                <w:rFonts w:ascii="仿宋_GB2312" w:hAnsi="宋体" w:eastAsia="仿宋_GB2312" w:cs="宋体"/>
                <w:kern w:val="0"/>
                <w:sz w:val="20"/>
                <w:szCs w:val="20"/>
              </w:rPr>
            </w:pPr>
          </w:p>
        </w:tc>
        <w:tc>
          <w:tcPr>
            <w:tcW w:w="637" w:type="dxa"/>
            <w:vMerge w:val="continue"/>
            <w:tcBorders>
              <w:left w:val="nil"/>
              <w:bottom w:val="nil"/>
              <w:right w:val="single" w:color="auto" w:sz="4" w:space="0"/>
            </w:tcBorders>
            <w:noWrap w:val="0"/>
            <w:vAlign w:val="center"/>
          </w:tcPr>
          <w:p w14:paraId="44C3B29A">
            <w:pPr>
              <w:widowControl/>
              <w:jc w:val="left"/>
              <w:rPr>
                <w:rFonts w:ascii="宋体" w:hAnsi="宋体" w:cs="宋体"/>
                <w:kern w:val="0"/>
                <w:sz w:val="24"/>
              </w:rPr>
            </w:pPr>
          </w:p>
        </w:tc>
      </w:tr>
      <w:tr w14:paraId="66DEF9F8">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1FADD91E">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7793245B">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2F4E51BB">
            <w:pPr>
              <w:widowControl/>
              <w:jc w:val="left"/>
              <w:rPr>
                <w:rFonts w:ascii="仿宋_GB2312" w:hAnsi="宋体" w:eastAsia="仿宋_GB2312" w:cs="宋体"/>
                <w:kern w:val="0"/>
                <w:sz w:val="20"/>
                <w:szCs w:val="20"/>
              </w:rPr>
            </w:pPr>
          </w:p>
        </w:tc>
        <w:tc>
          <w:tcPr>
            <w:tcW w:w="416" w:type="dxa"/>
            <w:vMerge w:val="restart"/>
            <w:tcBorders>
              <w:top w:val="nil"/>
              <w:left w:val="single" w:color="auto" w:sz="4" w:space="0"/>
              <w:bottom w:val="single" w:color="000000" w:sz="4" w:space="0"/>
              <w:right w:val="single" w:color="auto" w:sz="4" w:space="0"/>
            </w:tcBorders>
            <w:noWrap w:val="0"/>
            <w:vAlign w:val="center"/>
          </w:tcPr>
          <w:p w14:paraId="7F295BB7">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015" w:type="dxa"/>
            <w:tcBorders>
              <w:top w:val="nil"/>
              <w:left w:val="nil"/>
              <w:bottom w:val="single" w:color="auto" w:sz="4" w:space="0"/>
              <w:right w:val="single" w:color="auto" w:sz="4" w:space="0"/>
            </w:tcBorders>
            <w:noWrap w:val="0"/>
            <w:vAlign w:val="center"/>
          </w:tcPr>
          <w:p w14:paraId="3FB8DF4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行政效能</w:t>
            </w:r>
          </w:p>
        </w:tc>
        <w:tc>
          <w:tcPr>
            <w:tcW w:w="416" w:type="dxa"/>
            <w:tcBorders>
              <w:top w:val="single" w:color="auto" w:sz="4" w:space="0"/>
              <w:left w:val="nil"/>
              <w:bottom w:val="single" w:color="auto" w:sz="4" w:space="0"/>
              <w:right w:val="single" w:color="auto" w:sz="4" w:space="0"/>
            </w:tcBorders>
            <w:noWrap w:val="0"/>
            <w:vAlign w:val="center"/>
          </w:tcPr>
          <w:p w14:paraId="1605F9CD">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single" w:color="auto" w:sz="4" w:space="0"/>
              <w:left w:val="nil"/>
              <w:bottom w:val="single" w:color="auto" w:sz="4" w:space="0"/>
              <w:right w:val="single" w:color="auto" w:sz="4" w:space="0"/>
            </w:tcBorders>
            <w:noWrap w:val="0"/>
            <w:vAlign w:val="center"/>
          </w:tcPr>
          <w:p w14:paraId="3C37B81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促进部门改进文风会风，加强经费及资产管理，推动网上办事，提高行政效率，降低行政成本效果较好的计6分；一般3分；无效果或者效果不明显0分。</w:t>
            </w:r>
          </w:p>
        </w:tc>
        <w:tc>
          <w:tcPr>
            <w:tcW w:w="3489" w:type="dxa"/>
            <w:tcBorders>
              <w:top w:val="single" w:color="auto" w:sz="4" w:space="0"/>
              <w:left w:val="nil"/>
              <w:bottom w:val="single" w:color="auto" w:sz="4" w:space="0"/>
              <w:right w:val="single" w:color="auto" w:sz="4" w:space="0"/>
            </w:tcBorders>
            <w:noWrap w:val="0"/>
            <w:vAlign w:val="center"/>
          </w:tcPr>
          <w:p w14:paraId="5EA7515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根据部门自评材料评定。</w:t>
            </w:r>
          </w:p>
        </w:tc>
        <w:tc>
          <w:tcPr>
            <w:tcW w:w="637" w:type="dxa"/>
            <w:tcBorders>
              <w:top w:val="single" w:color="auto" w:sz="4" w:space="0"/>
              <w:left w:val="nil"/>
              <w:bottom w:val="single" w:color="auto" w:sz="4" w:space="0"/>
              <w:right w:val="single" w:color="auto" w:sz="4" w:space="0"/>
            </w:tcBorders>
            <w:noWrap w:val="0"/>
            <w:vAlign w:val="center"/>
          </w:tcPr>
          <w:p w14:paraId="3A5CF4A7">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r w14:paraId="6D9718FA">
        <w:tblPrEx>
          <w:tblCellMar>
            <w:top w:w="0" w:type="dxa"/>
            <w:left w:w="108" w:type="dxa"/>
            <w:bottom w:w="0" w:type="dxa"/>
            <w:right w:w="108" w:type="dxa"/>
          </w:tblCellMar>
        </w:tblPrEx>
        <w:trPr>
          <w:jc w:val="center"/>
        </w:trPr>
        <w:tc>
          <w:tcPr>
            <w:tcW w:w="518" w:type="dxa"/>
            <w:vMerge w:val="continue"/>
            <w:tcBorders>
              <w:top w:val="nil"/>
              <w:left w:val="single" w:color="auto" w:sz="4" w:space="0"/>
              <w:bottom w:val="single" w:color="000000" w:sz="4" w:space="0"/>
              <w:right w:val="single" w:color="auto" w:sz="4" w:space="0"/>
            </w:tcBorders>
            <w:noWrap w:val="0"/>
            <w:vAlign w:val="center"/>
          </w:tcPr>
          <w:p w14:paraId="6CDC0954">
            <w:pPr>
              <w:widowControl/>
              <w:jc w:val="left"/>
              <w:rPr>
                <w:rFonts w:ascii="仿宋_GB2312" w:hAnsi="宋体" w:eastAsia="仿宋_GB2312" w:cs="宋体"/>
                <w:kern w:val="0"/>
                <w:sz w:val="20"/>
                <w:szCs w:val="20"/>
              </w:rPr>
            </w:pPr>
          </w:p>
        </w:tc>
        <w:tc>
          <w:tcPr>
            <w:tcW w:w="470" w:type="dxa"/>
            <w:vMerge w:val="continue"/>
            <w:tcBorders>
              <w:top w:val="nil"/>
              <w:left w:val="single" w:color="auto" w:sz="4" w:space="0"/>
              <w:bottom w:val="single" w:color="000000" w:sz="4" w:space="0"/>
              <w:right w:val="single" w:color="auto" w:sz="4" w:space="0"/>
            </w:tcBorders>
            <w:noWrap w:val="0"/>
            <w:vAlign w:val="center"/>
          </w:tcPr>
          <w:p w14:paraId="13D395CF">
            <w:pPr>
              <w:widowControl/>
              <w:jc w:val="left"/>
              <w:rPr>
                <w:rFonts w:ascii="仿宋_GB2312" w:hAnsi="宋体" w:eastAsia="仿宋_GB2312" w:cs="宋体"/>
                <w:kern w:val="0"/>
                <w:sz w:val="20"/>
                <w:szCs w:val="20"/>
              </w:rPr>
            </w:pPr>
          </w:p>
        </w:tc>
        <w:tc>
          <w:tcPr>
            <w:tcW w:w="623" w:type="dxa"/>
            <w:vMerge w:val="continue"/>
            <w:tcBorders>
              <w:top w:val="nil"/>
              <w:left w:val="single" w:color="auto" w:sz="4" w:space="0"/>
              <w:bottom w:val="single" w:color="000000" w:sz="4" w:space="0"/>
              <w:right w:val="single" w:color="auto" w:sz="4" w:space="0"/>
            </w:tcBorders>
            <w:noWrap w:val="0"/>
            <w:vAlign w:val="center"/>
          </w:tcPr>
          <w:p w14:paraId="19C29289">
            <w:pPr>
              <w:widowControl/>
              <w:jc w:val="left"/>
              <w:rPr>
                <w:rFonts w:ascii="仿宋_GB2312" w:hAnsi="宋体" w:eastAsia="仿宋_GB2312" w:cs="宋体"/>
                <w:kern w:val="0"/>
                <w:sz w:val="20"/>
                <w:szCs w:val="20"/>
              </w:rPr>
            </w:pPr>
          </w:p>
        </w:tc>
        <w:tc>
          <w:tcPr>
            <w:tcW w:w="416" w:type="dxa"/>
            <w:vMerge w:val="continue"/>
            <w:tcBorders>
              <w:top w:val="nil"/>
              <w:left w:val="single" w:color="auto" w:sz="4" w:space="0"/>
              <w:bottom w:val="single" w:color="000000" w:sz="4" w:space="0"/>
              <w:right w:val="single" w:color="auto" w:sz="4" w:space="0"/>
            </w:tcBorders>
            <w:noWrap w:val="0"/>
            <w:vAlign w:val="center"/>
          </w:tcPr>
          <w:p w14:paraId="5EAD7CDE">
            <w:pPr>
              <w:widowControl/>
              <w:jc w:val="left"/>
              <w:rPr>
                <w:rFonts w:ascii="仿宋_GB2312" w:hAnsi="宋体" w:eastAsia="仿宋_GB2312" w:cs="宋体"/>
                <w:kern w:val="0"/>
                <w:sz w:val="20"/>
                <w:szCs w:val="20"/>
              </w:rPr>
            </w:pPr>
          </w:p>
        </w:tc>
        <w:tc>
          <w:tcPr>
            <w:tcW w:w="1015" w:type="dxa"/>
            <w:tcBorders>
              <w:top w:val="nil"/>
              <w:left w:val="nil"/>
              <w:bottom w:val="single" w:color="auto" w:sz="4" w:space="0"/>
              <w:right w:val="single" w:color="auto" w:sz="4" w:space="0"/>
            </w:tcBorders>
            <w:noWrap w:val="0"/>
            <w:vAlign w:val="center"/>
          </w:tcPr>
          <w:p w14:paraId="106B6F25">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社会公众或服务对象满意度</w:t>
            </w:r>
          </w:p>
        </w:tc>
        <w:tc>
          <w:tcPr>
            <w:tcW w:w="416" w:type="dxa"/>
            <w:tcBorders>
              <w:top w:val="nil"/>
              <w:left w:val="nil"/>
              <w:bottom w:val="single" w:color="auto" w:sz="4" w:space="0"/>
              <w:right w:val="single" w:color="auto" w:sz="4" w:space="0"/>
            </w:tcBorders>
            <w:noWrap w:val="0"/>
            <w:vAlign w:val="center"/>
          </w:tcPr>
          <w:p w14:paraId="0BDB7044">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3016" w:type="dxa"/>
            <w:tcBorders>
              <w:top w:val="nil"/>
              <w:left w:val="nil"/>
              <w:bottom w:val="single" w:color="auto" w:sz="4" w:space="0"/>
              <w:right w:val="single" w:color="auto" w:sz="4" w:space="0"/>
            </w:tcBorders>
            <w:noWrap w:val="0"/>
            <w:vAlign w:val="center"/>
          </w:tcPr>
          <w:p w14:paraId="18431AF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90%（含）以上计6分；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80%（含）-90%，计4分；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70%（含）-80%，计2分；</w:t>
            </w:r>
            <w:r>
              <w:rPr>
                <w:rFonts w:hint="eastAsia" w:ascii="仿宋_GB2312" w:hAnsi="宋体" w:eastAsia="仿宋_GB2312" w:cs="宋体"/>
                <w:kern w:val="0"/>
                <w:sz w:val="20"/>
                <w:szCs w:val="20"/>
              </w:rPr>
              <w:br w:type="textWrapping"/>
            </w:r>
            <w:r>
              <w:rPr>
                <w:rFonts w:hint="eastAsia" w:ascii="仿宋_GB2312" w:hAnsi="宋体" w:eastAsia="仿宋_GB2312" w:cs="宋体"/>
                <w:kern w:val="0"/>
                <w:sz w:val="20"/>
                <w:szCs w:val="20"/>
              </w:rPr>
              <w:t>低于70%计0分。</w:t>
            </w:r>
          </w:p>
        </w:tc>
        <w:tc>
          <w:tcPr>
            <w:tcW w:w="3489" w:type="dxa"/>
            <w:tcBorders>
              <w:top w:val="nil"/>
              <w:left w:val="nil"/>
              <w:bottom w:val="single" w:color="auto" w:sz="4" w:space="0"/>
              <w:right w:val="single" w:color="auto" w:sz="4" w:space="0"/>
            </w:tcBorders>
            <w:noWrap w:val="0"/>
            <w:vAlign w:val="center"/>
          </w:tcPr>
          <w:p w14:paraId="79229AC9">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社会公众或服务对象是指部门（单位）履行职责而影响到的部门、群体或个人，一般采取社会调查的方式。</w:t>
            </w:r>
          </w:p>
        </w:tc>
        <w:tc>
          <w:tcPr>
            <w:tcW w:w="637" w:type="dxa"/>
            <w:tcBorders>
              <w:top w:val="nil"/>
              <w:left w:val="nil"/>
              <w:bottom w:val="single" w:color="auto" w:sz="4" w:space="0"/>
              <w:right w:val="single" w:color="auto" w:sz="4" w:space="0"/>
            </w:tcBorders>
            <w:noWrap w:val="0"/>
            <w:vAlign w:val="center"/>
          </w:tcPr>
          <w:p w14:paraId="18A4A24F">
            <w:pPr>
              <w:widowControl/>
              <w:jc w:val="left"/>
              <w:rPr>
                <w:rFonts w:hint="eastAsia" w:ascii="宋体" w:hAnsi="宋体" w:eastAsia="宋体" w:cs="宋体"/>
                <w:kern w:val="0"/>
                <w:sz w:val="24"/>
                <w:lang w:val="en-US" w:eastAsia="zh-CN"/>
              </w:rPr>
            </w:pPr>
            <w:r>
              <w:rPr>
                <w:rFonts w:hint="eastAsia" w:ascii="宋体" w:hAnsi="宋体" w:cs="宋体"/>
                <w:kern w:val="0"/>
                <w:sz w:val="24"/>
              </w:rPr>
              <w:t>　</w:t>
            </w:r>
            <w:r>
              <w:rPr>
                <w:rFonts w:hint="eastAsia" w:ascii="宋体" w:hAnsi="宋体" w:cs="宋体"/>
                <w:kern w:val="0"/>
                <w:sz w:val="24"/>
                <w:lang w:val="en-US" w:eastAsia="zh-CN"/>
              </w:rPr>
              <w:t>6</w:t>
            </w:r>
          </w:p>
        </w:tc>
      </w:tr>
    </w:tbl>
    <w:p w14:paraId="20D2FDBB">
      <w:pPr>
        <w:spacing w:line="560" w:lineRule="exact"/>
        <w:rPr>
          <w:rFonts w:hint="default" w:ascii="黑体" w:eastAsia="黑体"/>
          <w:sz w:val="28"/>
          <w:szCs w:val="28"/>
          <w:lang w:val="en-US" w:eastAsia="zh-CN"/>
        </w:rPr>
      </w:pPr>
      <w:r>
        <w:rPr>
          <w:rFonts w:hint="eastAsia" w:ascii="黑体" w:eastAsia="黑体"/>
          <w:sz w:val="28"/>
          <w:szCs w:val="28"/>
          <w:lang w:val="en-US" w:eastAsia="zh-CN"/>
        </w:rPr>
        <w:t>自评得分：81分</w:t>
      </w:r>
    </w:p>
    <w:p w14:paraId="1244F3CE">
      <w:pPr>
        <w:spacing w:line="560" w:lineRule="exact"/>
        <w:rPr>
          <w:rFonts w:ascii="黑体" w:eastAsia="黑体"/>
          <w:sz w:val="28"/>
          <w:szCs w:val="28"/>
        </w:rPr>
      </w:pPr>
    </w:p>
    <w:p w14:paraId="52A954A2">
      <w:pPr>
        <w:spacing w:after="156" w:afterLines="50" w:line="600" w:lineRule="exact"/>
        <w:rPr>
          <w:rFonts w:hint="eastAsia" w:ascii="Times New Roman" w:hAnsi="Times New Roman" w:eastAsia="黑体" w:cs="Times New Roman"/>
          <w:sz w:val="32"/>
          <w:szCs w:val="32"/>
          <w:lang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5425B73D">
      <w:pPr>
        <w:spacing w:after="156" w:afterLines="50" w:line="600" w:lineRule="exact"/>
        <w:jc w:val="center"/>
        <w:rPr>
          <w:rFonts w:ascii="Times New Roman" w:hAnsi="Times New Roman" w:eastAsia="仿宋_GB2312" w:cs="Times New Roman"/>
          <w:sz w:val="24"/>
        </w:rPr>
      </w:pPr>
      <w:r>
        <w:rPr>
          <w:rFonts w:ascii="Times New Roman" w:hAnsi="Times New Roman" w:eastAsia="方正小标宋_GBK" w:cs="Times New Roman"/>
          <w:sz w:val="36"/>
          <w:szCs w:val="36"/>
        </w:rPr>
        <w:t>部门整体支出绩效评价基础数据表</w:t>
      </w: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4"/>
        <w:gridCol w:w="1189"/>
        <w:gridCol w:w="849"/>
        <w:gridCol w:w="1129"/>
        <w:gridCol w:w="1111"/>
        <w:gridCol w:w="1081"/>
        <w:gridCol w:w="960"/>
      </w:tblGrid>
      <w:tr w14:paraId="0C5B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303142F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3908064C">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75F05F14">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2022年</w:t>
            </w:r>
            <w:r>
              <w:rPr>
                <w:rFonts w:ascii="Times New Roman" w:hAnsi="Times New Roman" w:eastAsia="仿宋_GB2312" w:cs="Times New Roman"/>
                <w:b/>
                <w:bCs/>
                <w:sz w:val="20"/>
                <w:szCs w:val="20"/>
              </w:rPr>
              <w:t>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18FFA6F4">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控制率</w:t>
            </w:r>
          </w:p>
        </w:tc>
      </w:tr>
      <w:tr w14:paraId="2D4BE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6606120">
            <w:pPr>
              <w:widowControl/>
              <w:jc w:val="left"/>
              <w:rPr>
                <w:rFonts w:ascii="Times New Roman" w:hAnsi="Times New Roman" w:eastAsia="仿宋_GB2312" w:cs="Times New Roman"/>
                <w:sz w:val="20"/>
                <w:szCs w:val="20"/>
              </w:rPr>
            </w:pPr>
          </w:p>
        </w:tc>
        <w:tc>
          <w:tcPr>
            <w:tcW w:w="2038" w:type="dxa"/>
            <w:gridSpan w:val="2"/>
            <w:tcBorders>
              <w:top w:val="single" w:color="auto" w:sz="4" w:space="0"/>
              <w:left w:val="nil"/>
              <w:bottom w:val="single" w:color="auto" w:sz="4" w:space="0"/>
              <w:right w:val="single" w:color="auto" w:sz="4" w:space="0"/>
            </w:tcBorders>
            <w:noWrap w:val="0"/>
            <w:vAlign w:val="center"/>
          </w:tcPr>
          <w:p w14:paraId="44110219">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27　</w:t>
            </w:r>
          </w:p>
        </w:tc>
        <w:tc>
          <w:tcPr>
            <w:tcW w:w="2240" w:type="dxa"/>
            <w:gridSpan w:val="2"/>
            <w:tcBorders>
              <w:top w:val="single" w:color="auto" w:sz="4" w:space="0"/>
              <w:left w:val="nil"/>
              <w:bottom w:val="single" w:color="auto" w:sz="4" w:space="0"/>
              <w:right w:val="single" w:color="auto" w:sz="4" w:space="0"/>
            </w:tcBorders>
            <w:noWrap w:val="0"/>
            <w:vAlign w:val="center"/>
          </w:tcPr>
          <w:p w14:paraId="39087F2C">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22　</w:t>
            </w:r>
          </w:p>
        </w:tc>
        <w:tc>
          <w:tcPr>
            <w:tcW w:w="2041" w:type="dxa"/>
            <w:gridSpan w:val="2"/>
            <w:tcBorders>
              <w:top w:val="single" w:color="auto" w:sz="4" w:space="0"/>
              <w:left w:val="nil"/>
              <w:bottom w:val="single" w:color="auto" w:sz="4" w:space="0"/>
              <w:right w:val="single" w:color="auto" w:sz="4" w:space="0"/>
            </w:tcBorders>
            <w:noWrap w:val="0"/>
            <w:vAlign w:val="center"/>
          </w:tcPr>
          <w:p w14:paraId="4DDD01C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r>
              <w:rPr>
                <w:rFonts w:hint="eastAsia" w:ascii="仿宋" w:hAnsi="仿宋" w:eastAsia="仿宋" w:cs="宋体"/>
                <w:kern w:val="0"/>
                <w:sz w:val="24"/>
              </w:rPr>
              <w:t>81.48</w:t>
            </w:r>
          </w:p>
        </w:tc>
      </w:tr>
      <w:tr w14:paraId="136B3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1513FB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6B114C77">
            <w:pPr>
              <w:widowControl/>
              <w:jc w:val="center"/>
              <w:rPr>
                <w:rFonts w:ascii="Times New Roman" w:hAnsi="Times New Roman" w:eastAsia="仿宋_GB2312" w:cs="Times New Roman"/>
                <w:b/>
                <w:bCs/>
                <w:sz w:val="20"/>
                <w:szCs w:val="20"/>
              </w:rPr>
            </w:pPr>
            <w:r>
              <w:rPr>
                <w:rFonts w:ascii="Times New Roman" w:hAnsi="Times New Roman" w:eastAsia="仿宋_GB2312" w:cs="Times New Roman"/>
                <w:b/>
                <w:bCs/>
                <w:sz w:val="20"/>
                <w:szCs w:val="20"/>
              </w:rPr>
              <w:t>202</w:t>
            </w:r>
            <w:r>
              <w:rPr>
                <w:rFonts w:hint="eastAsia" w:ascii="Times New Roman" w:hAnsi="Times New Roman" w:eastAsia="仿宋_GB2312" w:cs="Times New Roman"/>
                <w:b/>
                <w:bCs/>
                <w:sz w:val="20"/>
                <w:szCs w:val="20"/>
                <w:lang w:val="en-US" w:eastAsia="zh-CN"/>
              </w:rPr>
              <w:t>1</w:t>
            </w:r>
            <w:r>
              <w:rPr>
                <w:rFonts w:ascii="Times New Roman" w:hAnsi="Times New Roman" w:eastAsia="仿宋_GB2312" w:cs="Times New Roman"/>
                <w:b/>
                <w:bCs/>
                <w:sz w:val="20"/>
                <w:szCs w:val="20"/>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0A7F4438">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2022年</w:t>
            </w:r>
            <w:r>
              <w:rPr>
                <w:rFonts w:ascii="Times New Roman" w:hAnsi="Times New Roman" w:eastAsia="仿宋_GB2312" w:cs="Times New Roman"/>
                <w:b/>
                <w:bCs/>
                <w:sz w:val="20"/>
                <w:szCs w:val="20"/>
              </w:rPr>
              <w:t>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46358208">
            <w:pPr>
              <w:widowControl/>
              <w:jc w:val="center"/>
              <w:rPr>
                <w:rFonts w:ascii="Times New Roman" w:hAnsi="Times New Roman" w:eastAsia="仿宋_GB2312" w:cs="Times New Roman"/>
                <w:b/>
                <w:bCs/>
                <w:sz w:val="20"/>
                <w:szCs w:val="20"/>
              </w:rPr>
            </w:pPr>
            <w:r>
              <w:rPr>
                <w:rFonts w:hint="eastAsia" w:ascii="Times New Roman" w:hAnsi="Times New Roman" w:eastAsia="仿宋_GB2312" w:cs="Times New Roman"/>
                <w:b/>
                <w:bCs/>
                <w:sz w:val="20"/>
                <w:szCs w:val="20"/>
                <w:lang w:eastAsia="zh-CN"/>
              </w:rPr>
              <w:t>2022年</w:t>
            </w:r>
            <w:r>
              <w:rPr>
                <w:rFonts w:ascii="Times New Roman" w:hAnsi="Times New Roman" w:eastAsia="仿宋_GB2312" w:cs="Times New Roman"/>
                <w:b/>
                <w:bCs/>
                <w:sz w:val="20"/>
                <w:szCs w:val="20"/>
              </w:rPr>
              <w:t>决算数</w:t>
            </w:r>
          </w:p>
        </w:tc>
      </w:tr>
      <w:tr w14:paraId="6669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81BA357">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173CB65C">
            <w:pPr>
              <w:widowControl/>
              <w:jc w:val="center"/>
              <w:rPr>
                <w:rFonts w:ascii="Times New Roman" w:hAnsi="Times New Roman" w:eastAsia="仿宋_GB2312" w:cs="Times New Roman"/>
                <w:sz w:val="20"/>
                <w:szCs w:val="20"/>
              </w:rPr>
            </w:pPr>
            <w:r>
              <w:rPr>
                <w:rFonts w:hint="eastAsia" w:ascii="仿宋" w:hAnsi="仿宋" w:eastAsia="仿宋" w:cs="宋体"/>
                <w:kern w:val="0"/>
                <w:sz w:val="24"/>
                <w:lang w:val="en-US" w:eastAsia="zh-CN"/>
              </w:rPr>
              <w:t>0</w:t>
            </w: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5FB4EAB7">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4.45　</w:t>
            </w:r>
          </w:p>
        </w:tc>
        <w:tc>
          <w:tcPr>
            <w:tcW w:w="2041" w:type="dxa"/>
            <w:gridSpan w:val="2"/>
            <w:tcBorders>
              <w:top w:val="single" w:color="auto" w:sz="4" w:space="0"/>
              <w:left w:val="nil"/>
              <w:bottom w:val="single" w:color="auto" w:sz="4" w:space="0"/>
              <w:right w:val="single" w:color="000000" w:sz="4" w:space="0"/>
            </w:tcBorders>
            <w:noWrap w:val="0"/>
            <w:vAlign w:val="center"/>
          </w:tcPr>
          <w:p w14:paraId="2FE4D321">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54FCE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618AE6">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0FACD6D">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51E80375">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2.84　</w:t>
            </w:r>
          </w:p>
        </w:tc>
        <w:tc>
          <w:tcPr>
            <w:tcW w:w="2041" w:type="dxa"/>
            <w:gridSpan w:val="2"/>
            <w:tcBorders>
              <w:top w:val="single" w:color="auto" w:sz="4" w:space="0"/>
              <w:left w:val="nil"/>
              <w:bottom w:val="single" w:color="auto" w:sz="4" w:space="0"/>
              <w:right w:val="single" w:color="000000" w:sz="4" w:space="0"/>
            </w:tcBorders>
            <w:noWrap w:val="0"/>
            <w:vAlign w:val="center"/>
          </w:tcPr>
          <w:p w14:paraId="3E6FD477">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652D8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FB219FE">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4BD024AA">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2AF87A1D">
            <w:pPr>
              <w:widowControl/>
              <w:jc w:val="center"/>
              <w:rPr>
                <w:rFonts w:hint="eastAsia" w:ascii="仿宋" w:hAnsi="仿宋" w:eastAsia="仿宋" w:cs="宋体"/>
                <w:kern w:val="0"/>
                <w:sz w:val="24"/>
                <w:lang w:val="en-US" w:eastAsia="zh-CN"/>
              </w:rPr>
            </w:pPr>
            <w:r>
              <w:rPr>
                <w:rFonts w:hint="eastAsia" w:eastAsia="仿宋" w:cs="宋体"/>
                <w:kern w:val="0"/>
                <w:sz w:val="24"/>
                <w:lang w:val="en-US" w:eastAsia="zh-CN"/>
              </w:rPr>
              <w:t>0</w:t>
            </w:r>
            <w:r>
              <w:rPr>
                <w:rFonts w:hint="eastAsia" w:ascii="仿宋" w:hAnsi="仿宋" w:eastAsia="仿宋" w:cs="宋体"/>
                <w:kern w:val="0"/>
                <w:sz w:val="24"/>
                <w:lang w:val="en-US" w:eastAsia="zh-CN"/>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8EA7C6B">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165A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8AB2A0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73086DD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05789581">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2.84　</w:t>
            </w:r>
          </w:p>
        </w:tc>
        <w:tc>
          <w:tcPr>
            <w:tcW w:w="2041" w:type="dxa"/>
            <w:gridSpan w:val="2"/>
            <w:tcBorders>
              <w:top w:val="single" w:color="auto" w:sz="4" w:space="0"/>
              <w:left w:val="nil"/>
              <w:bottom w:val="single" w:color="auto" w:sz="4" w:space="0"/>
              <w:right w:val="single" w:color="000000" w:sz="4" w:space="0"/>
            </w:tcBorders>
            <w:noWrap w:val="0"/>
            <w:vAlign w:val="center"/>
          </w:tcPr>
          <w:p w14:paraId="066D022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4B908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9B25F7">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6E73989">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2BED252">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DCB66E1">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2748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2B84B7">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045D0FDC">
            <w:pPr>
              <w:widowControl/>
              <w:jc w:val="center"/>
              <w:rPr>
                <w:rFonts w:hint="eastAsia" w:ascii="仿宋" w:hAnsi="仿宋" w:eastAsia="仿宋" w:cs="宋体"/>
                <w:kern w:val="0"/>
                <w:sz w:val="24"/>
              </w:rPr>
            </w:pPr>
            <w:r>
              <w:rPr>
                <w:rFonts w:hint="eastAsia" w:ascii="仿宋" w:hAnsi="仿宋" w:eastAsia="仿宋" w:cs="宋体"/>
                <w:kern w:val="0"/>
                <w:sz w:val="24"/>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703E2B1E">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1.61　</w:t>
            </w:r>
          </w:p>
        </w:tc>
        <w:tc>
          <w:tcPr>
            <w:tcW w:w="2041" w:type="dxa"/>
            <w:gridSpan w:val="2"/>
            <w:tcBorders>
              <w:top w:val="single" w:color="auto" w:sz="4" w:space="0"/>
              <w:left w:val="nil"/>
              <w:bottom w:val="single" w:color="auto" w:sz="4" w:space="0"/>
              <w:right w:val="single" w:color="000000" w:sz="4" w:space="0"/>
            </w:tcBorders>
            <w:noWrap w:val="0"/>
            <w:vAlign w:val="center"/>
          </w:tcPr>
          <w:p w14:paraId="4F437A43">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　</w:t>
            </w:r>
          </w:p>
        </w:tc>
      </w:tr>
      <w:tr w14:paraId="45C6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E3EB661">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FD4D544">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329D3271">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9ECF287">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622B0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9FF174A">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7C96BCD">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355DA0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4317B81">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2C19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23E81EB">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C76C64F">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0BFECC03">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017F00A5">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2ED2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F9EA53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32D6F8A1">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58AE80F5">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6FB5E4B6">
            <w:pPr>
              <w:widowControl/>
              <w:jc w:val="center"/>
              <w:rPr>
                <w:rFonts w:hint="eastAsia" w:ascii="仿宋" w:hAnsi="仿宋" w:eastAsia="仿宋" w:cs="宋体"/>
                <w:kern w:val="0"/>
                <w:sz w:val="24"/>
                <w:lang w:val="en-US" w:eastAsia="zh-CN"/>
              </w:rPr>
            </w:pPr>
          </w:p>
        </w:tc>
      </w:tr>
      <w:tr w14:paraId="6DA6F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B7E67E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3、专项资金（一个专项一行）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30BAAA49">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48009F70">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816A5C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7B47D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88F46A">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038" w:type="dxa"/>
            <w:gridSpan w:val="2"/>
            <w:tcBorders>
              <w:top w:val="single" w:color="auto" w:sz="4" w:space="0"/>
              <w:left w:val="nil"/>
              <w:bottom w:val="single" w:color="auto" w:sz="4" w:space="0"/>
              <w:right w:val="single" w:color="000000" w:sz="4" w:space="0"/>
            </w:tcBorders>
            <w:noWrap w:val="0"/>
            <w:vAlign w:val="center"/>
          </w:tcPr>
          <w:p w14:paraId="018825A0">
            <w:pPr>
              <w:widowControl/>
              <w:jc w:val="center"/>
              <w:rPr>
                <w:rFonts w:ascii="Times New Roman" w:hAnsi="Times New Roman" w:eastAsia="仿宋_GB2312" w:cs="Times New Roman"/>
                <w:sz w:val="20"/>
                <w:szCs w:val="20"/>
              </w:rPr>
            </w:pPr>
          </w:p>
        </w:tc>
        <w:tc>
          <w:tcPr>
            <w:tcW w:w="2240" w:type="dxa"/>
            <w:gridSpan w:val="2"/>
            <w:tcBorders>
              <w:top w:val="single" w:color="auto" w:sz="4" w:space="0"/>
              <w:left w:val="nil"/>
              <w:bottom w:val="single" w:color="auto" w:sz="4" w:space="0"/>
              <w:right w:val="single" w:color="000000" w:sz="4" w:space="0"/>
            </w:tcBorders>
            <w:noWrap w:val="0"/>
            <w:vAlign w:val="center"/>
          </w:tcPr>
          <w:p w14:paraId="2A895F8A">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52796337">
            <w:pPr>
              <w:widowControl/>
              <w:jc w:val="center"/>
              <w:rPr>
                <w:rFonts w:hint="eastAsia" w:ascii="仿宋" w:hAnsi="仿宋" w:eastAsia="仿宋" w:cs="宋体"/>
                <w:kern w:val="0"/>
                <w:sz w:val="24"/>
                <w:lang w:val="en-US" w:eastAsia="zh-CN"/>
              </w:rPr>
            </w:pPr>
          </w:p>
        </w:tc>
      </w:tr>
      <w:tr w14:paraId="33D91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BD25EF1">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3F86A6B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42D56082">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D621F04">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　</w:t>
            </w:r>
          </w:p>
        </w:tc>
      </w:tr>
      <w:tr w14:paraId="0D16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80DAF7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403EFCC">
            <w:pPr>
              <w:widowControl/>
              <w:jc w:val="center"/>
              <w:rPr>
                <w:rFonts w:ascii="Times New Roman" w:hAnsi="Times New Roman" w:eastAsia="仿宋_GB2312" w:cs="Times New Roman"/>
                <w:color w:val="FF0000"/>
                <w:sz w:val="20"/>
                <w:szCs w:val="20"/>
              </w:rPr>
            </w:pPr>
            <w:r>
              <w:rPr>
                <w:rFonts w:hint="eastAsia" w:ascii="仿宋" w:hAnsi="仿宋" w:eastAsia="仿宋" w:cs="宋体"/>
                <w:kern w:val="0"/>
                <w:sz w:val="24"/>
                <w:lang w:val="en-US" w:eastAsia="zh-CN"/>
              </w:rPr>
              <w:t>8.82　</w:t>
            </w:r>
          </w:p>
        </w:tc>
        <w:tc>
          <w:tcPr>
            <w:tcW w:w="2240" w:type="dxa"/>
            <w:gridSpan w:val="2"/>
            <w:tcBorders>
              <w:top w:val="single" w:color="auto" w:sz="4" w:space="0"/>
              <w:left w:val="nil"/>
              <w:bottom w:val="single" w:color="auto" w:sz="4" w:space="0"/>
              <w:right w:val="single" w:color="000000" w:sz="4" w:space="0"/>
            </w:tcBorders>
            <w:noWrap w:val="0"/>
            <w:vAlign w:val="center"/>
          </w:tcPr>
          <w:p w14:paraId="3A38B9A7">
            <w:pPr>
              <w:widowControl/>
              <w:jc w:val="center"/>
              <w:rPr>
                <w:rFonts w:hint="default" w:ascii="仿宋" w:hAnsi="仿宋" w:eastAsia="仿宋" w:cs="宋体"/>
                <w:kern w:val="0"/>
                <w:sz w:val="24"/>
                <w:lang w:val="en-US"/>
              </w:rPr>
            </w:pPr>
            <w:r>
              <w:rPr>
                <w:rFonts w:hint="eastAsia" w:ascii="仿宋" w:hAnsi="仿宋" w:eastAsia="仿宋" w:cs="宋体"/>
                <w:kern w:val="0"/>
                <w:sz w:val="24"/>
                <w:lang w:val="en-US" w:eastAsia="zh-CN"/>
              </w:rPr>
              <w:t>2.5</w:t>
            </w:r>
          </w:p>
        </w:tc>
        <w:tc>
          <w:tcPr>
            <w:tcW w:w="2041" w:type="dxa"/>
            <w:gridSpan w:val="2"/>
            <w:tcBorders>
              <w:top w:val="single" w:color="auto" w:sz="4" w:space="0"/>
              <w:left w:val="nil"/>
              <w:bottom w:val="single" w:color="auto" w:sz="4" w:space="0"/>
              <w:right w:val="single" w:color="000000" w:sz="4" w:space="0"/>
            </w:tcBorders>
            <w:noWrap w:val="0"/>
            <w:vAlign w:val="center"/>
          </w:tcPr>
          <w:p w14:paraId="6739B624">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2.7</w:t>
            </w:r>
          </w:p>
        </w:tc>
      </w:tr>
      <w:tr w14:paraId="446AD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CB0D7C9">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1C2A3FA1">
            <w:pPr>
              <w:widowControl/>
              <w:jc w:val="center"/>
              <w:rPr>
                <w:rFonts w:ascii="Times New Roman" w:hAnsi="Times New Roman" w:eastAsia="仿宋_GB2312" w:cs="Times New Roman"/>
                <w:color w:val="FF0000"/>
                <w:sz w:val="20"/>
                <w:szCs w:val="20"/>
              </w:rPr>
            </w:pPr>
            <w:r>
              <w:rPr>
                <w:rFonts w:hint="eastAsia" w:ascii="仿宋" w:hAnsi="仿宋" w:eastAsia="仿宋" w:cs="宋体"/>
                <w:kern w:val="0"/>
                <w:sz w:val="24"/>
                <w:lang w:val="en-US" w:eastAsia="zh-CN"/>
              </w:rPr>
              <w:t>4.43　</w:t>
            </w:r>
          </w:p>
        </w:tc>
        <w:tc>
          <w:tcPr>
            <w:tcW w:w="2240" w:type="dxa"/>
            <w:gridSpan w:val="2"/>
            <w:tcBorders>
              <w:top w:val="single" w:color="auto" w:sz="4" w:space="0"/>
              <w:left w:val="nil"/>
              <w:bottom w:val="single" w:color="auto" w:sz="4" w:space="0"/>
              <w:right w:val="single" w:color="000000" w:sz="4" w:space="0"/>
            </w:tcBorders>
            <w:noWrap w:val="0"/>
            <w:vAlign w:val="center"/>
          </w:tcPr>
          <w:p w14:paraId="1C1EB939">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4</w:t>
            </w:r>
          </w:p>
        </w:tc>
        <w:tc>
          <w:tcPr>
            <w:tcW w:w="2041" w:type="dxa"/>
            <w:gridSpan w:val="2"/>
            <w:tcBorders>
              <w:top w:val="single" w:color="auto" w:sz="4" w:space="0"/>
              <w:left w:val="nil"/>
              <w:bottom w:val="single" w:color="auto" w:sz="4" w:space="0"/>
              <w:right w:val="single" w:color="000000" w:sz="4" w:space="0"/>
            </w:tcBorders>
            <w:noWrap w:val="0"/>
            <w:vAlign w:val="center"/>
          </w:tcPr>
          <w:p w14:paraId="3DFBD1FE">
            <w:pPr>
              <w:widowControl/>
              <w:jc w:val="center"/>
              <w:rPr>
                <w:rFonts w:hint="default" w:ascii="仿宋" w:hAnsi="仿宋" w:eastAsia="仿宋" w:cs="宋体"/>
                <w:kern w:val="0"/>
                <w:sz w:val="24"/>
                <w:lang w:val="en-US" w:eastAsia="zh-CN"/>
              </w:rPr>
            </w:pPr>
            <w:r>
              <w:rPr>
                <w:rFonts w:hint="eastAsia" w:ascii="仿宋" w:hAnsi="仿宋" w:eastAsia="仿宋" w:cs="宋体"/>
                <w:kern w:val="0"/>
                <w:sz w:val="24"/>
                <w:lang w:val="en-US" w:eastAsia="zh-CN"/>
              </w:rPr>
              <w:t>2.01</w:t>
            </w:r>
          </w:p>
        </w:tc>
      </w:tr>
      <w:tr w14:paraId="3A26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003A143">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555DDE4D">
            <w:pPr>
              <w:widowControl/>
              <w:jc w:val="center"/>
              <w:rPr>
                <w:rFonts w:ascii="Times New Roman" w:hAnsi="Times New Roman" w:eastAsia="仿宋_GB2312" w:cs="Times New Roman"/>
                <w:color w:val="FF0000"/>
                <w:sz w:val="20"/>
                <w:szCs w:val="20"/>
              </w:rPr>
            </w:pPr>
            <w:r>
              <w:rPr>
                <w:rFonts w:hint="eastAsia" w:ascii="仿宋" w:hAnsi="仿宋" w:eastAsia="仿宋" w:cs="宋体"/>
                <w:kern w:val="0"/>
                <w:sz w:val="24"/>
                <w:lang w:val="en-US" w:eastAsia="zh-CN"/>
              </w:rPr>
              <w:t>1.14　</w:t>
            </w:r>
          </w:p>
        </w:tc>
        <w:tc>
          <w:tcPr>
            <w:tcW w:w="2240" w:type="dxa"/>
            <w:gridSpan w:val="2"/>
            <w:tcBorders>
              <w:top w:val="single" w:color="auto" w:sz="4" w:space="0"/>
              <w:left w:val="nil"/>
              <w:bottom w:val="single" w:color="auto" w:sz="4" w:space="0"/>
              <w:right w:val="single" w:color="000000" w:sz="4" w:space="0"/>
            </w:tcBorders>
            <w:noWrap w:val="0"/>
            <w:vAlign w:val="center"/>
          </w:tcPr>
          <w:p w14:paraId="740FA94B">
            <w:pPr>
              <w:widowControl/>
              <w:jc w:val="center"/>
              <w:rPr>
                <w:rFonts w:ascii="Times New Roman" w:hAnsi="Times New Roman" w:eastAsia="仿宋_GB2312" w:cs="Times New Roman"/>
                <w:color w:val="FF0000"/>
                <w:sz w:val="20"/>
                <w:szCs w:val="20"/>
              </w:rPr>
            </w:pPr>
            <w:r>
              <w:rPr>
                <w:rFonts w:ascii="Times New Roman" w:hAnsi="Times New Roman" w:eastAsia="仿宋_GB2312" w:cs="Times New Roman"/>
                <w:color w:val="FF0000"/>
                <w:sz w:val="20"/>
                <w:szCs w:val="20"/>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F89C01A">
            <w:pPr>
              <w:widowControl/>
              <w:jc w:val="center"/>
              <w:rPr>
                <w:rFonts w:hint="eastAsia" w:ascii="仿宋" w:hAnsi="仿宋" w:eastAsia="仿宋" w:cs="宋体"/>
                <w:kern w:val="0"/>
                <w:sz w:val="24"/>
                <w:lang w:val="en-US" w:eastAsia="zh-CN"/>
              </w:rPr>
            </w:pPr>
            <w:r>
              <w:rPr>
                <w:rFonts w:hint="eastAsia" w:ascii="仿宋" w:hAnsi="仿宋" w:eastAsia="仿宋" w:cs="宋体"/>
                <w:kern w:val="0"/>
                <w:sz w:val="24"/>
                <w:lang w:val="en-US" w:eastAsia="zh-CN"/>
              </w:rPr>
              <w:t>0.56　</w:t>
            </w:r>
          </w:p>
        </w:tc>
      </w:tr>
      <w:tr w14:paraId="1025F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DD7C10">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6E18B7BE">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6EF3A35D">
            <w:pPr>
              <w:widowControl/>
              <w:jc w:val="center"/>
              <w:rPr>
                <w:rFonts w:ascii="Times New Roman" w:hAnsi="Times New Roman" w:eastAsia="仿宋_GB2312" w:cs="Times New Roman"/>
                <w:sz w:val="20"/>
                <w:szCs w:val="20"/>
              </w:rPr>
            </w:pPr>
          </w:p>
        </w:tc>
        <w:tc>
          <w:tcPr>
            <w:tcW w:w="2041" w:type="dxa"/>
            <w:gridSpan w:val="2"/>
            <w:tcBorders>
              <w:top w:val="single" w:color="auto" w:sz="4" w:space="0"/>
              <w:left w:val="nil"/>
              <w:bottom w:val="single" w:color="auto" w:sz="4" w:space="0"/>
              <w:right w:val="single" w:color="000000" w:sz="4" w:space="0"/>
            </w:tcBorders>
            <w:noWrap w:val="0"/>
            <w:vAlign w:val="center"/>
          </w:tcPr>
          <w:p w14:paraId="1103B838">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5EDA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649943C">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174C3C35">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3FA6C9D6">
            <w:pPr>
              <w:widowControl/>
              <w:jc w:val="center"/>
              <w:rPr>
                <w:rFonts w:hint="default" w:ascii="Times New Roman" w:hAnsi="Times New Roman" w:eastAsia="仿宋_GB2312" w:cs="Times New Roman"/>
                <w:sz w:val="20"/>
                <w:szCs w:val="20"/>
                <w:lang w:val="en-US"/>
              </w:rPr>
            </w:pPr>
            <w:r>
              <w:rPr>
                <w:rFonts w:hint="eastAsia" w:ascii="仿宋" w:hAnsi="仿宋" w:eastAsia="仿宋" w:cs="宋体"/>
                <w:kern w:val="0"/>
                <w:sz w:val="24"/>
                <w:lang w:val="en-US" w:eastAsia="zh-CN"/>
              </w:rPr>
              <w:t>131.94</w:t>
            </w:r>
          </w:p>
        </w:tc>
        <w:tc>
          <w:tcPr>
            <w:tcW w:w="2041" w:type="dxa"/>
            <w:gridSpan w:val="2"/>
            <w:tcBorders>
              <w:top w:val="single" w:color="auto" w:sz="4" w:space="0"/>
              <w:left w:val="nil"/>
              <w:bottom w:val="single" w:color="auto" w:sz="4" w:space="0"/>
              <w:right w:val="single" w:color="000000" w:sz="4" w:space="0"/>
            </w:tcBorders>
            <w:noWrap w:val="0"/>
            <w:vAlign w:val="center"/>
          </w:tcPr>
          <w:p w14:paraId="1B95F49A">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50201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7B9E3FA6">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楼堂馆所控制情况</w:t>
            </w:r>
            <w:r>
              <w:rPr>
                <w:rFonts w:ascii="Times New Roman" w:hAnsi="Times New Roman" w:eastAsia="仿宋_GB2312" w:cs="Times New Roman"/>
                <w:sz w:val="20"/>
                <w:szCs w:val="20"/>
              </w:rPr>
              <w:br w:type="textWrapping"/>
            </w:r>
            <w:r>
              <w:rPr>
                <w:rFonts w:ascii="Times New Roman" w:hAnsi="Times New Roman" w:eastAsia="仿宋_GB2312" w:cs="Times New Roman"/>
                <w:sz w:val="20"/>
                <w:szCs w:val="20"/>
              </w:rPr>
              <w:t>（</w:t>
            </w:r>
            <w:r>
              <w:rPr>
                <w:rFonts w:hint="eastAsia" w:ascii="Times New Roman" w:hAnsi="Times New Roman" w:eastAsia="仿宋_GB2312" w:cs="Times New Roman"/>
                <w:sz w:val="20"/>
                <w:szCs w:val="20"/>
                <w:lang w:eastAsia="zh-CN"/>
              </w:rPr>
              <w:t>2022年</w:t>
            </w:r>
            <w:r>
              <w:rPr>
                <w:rFonts w:ascii="Times New Roman" w:hAnsi="Times New Roman" w:eastAsia="仿宋_GB2312" w:cs="Times New Roman"/>
                <w:sz w:val="20"/>
                <w:szCs w:val="20"/>
              </w:rPr>
              <w:t>完工项目）</w:t>
            </w:r>
          </w:p>
        </w:tc>
        <w:tc>
          <w:tcPr>
            <w:tcW w:w="1189" w:type="dxa"/>
            <w:tcBorders>
              <w:top w:val="nil"/>
              <w:left w:val="nil"/>
              <w:bottom w:val="single" w:color="auto" w:sz="4" w:space="0"/>
              <w:right w:val="single" w:color="auto" w:sz="4" w:space="0"/>
            </w:tcBorders>
            <w:noWrap w:val="0"/>
            <w:vAlign w:val="center"/>
          </w:tcPr>
          <w:p w14:paraId="47D5B59B">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批复规模</w:t>
            </w:r>
            <w:r>
              <w:rPr>
                <w:rFonts w:ascii="Times New Roman" w:hAnsi="Times New Roman" w:eastAsia="仿宋_GB2312" w:cs="Times New Roman"/>
                <w:bCs/>
                <w:sz w:val="20"/>
                <w:szCs w:val="20"/>
              </w:rPr>
              <w:br w:type="textWrapping"/>
            </w:r>
            <w:r>
              <w:rPr>
                <w:rFonts w:ascii="Times New Roman" w:hAnsi="Times New Roman" w:eastAsia="仿宋_GB2312" w:cs="Times New Roman"/>
                <w:bCs/>
                <w:sz w:val="20"/>
                <w:szCs w:val="20"/>
              </w:rPr>
              <w:t>（</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849" w:type="dxa"/>
            <w:tcBorders>
              <w:top w:val="nil"/>
              <w:left w:val="nil"/>
              <w:bottom w:val="single" w:color="auto" w:sz="4" w:space="0"/>
              <w:right w:val="single" w:color="auto" w:sz="4" w:space="0"/>
            </w:tcBorders>
            <w:noWrap w:val="0"/>
            <w:vAlign w:val="center"/>
          </w:tcPr>
          <w:p w14:paraId="1F47F85C">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实际规模（</w:t>
            </w:r>
            <w:r>
              <w:rPr>
                <w:rFonts w:ascii="Times New Roman" w:hAnsi="Times New Roman" w:cs="Times New Roman"/>
                <w:bCs/>
                <w:sz w:val="20"/>
                <w:szCs w:val="20"/>
              </w:rPr>
              <w:t>㎡</w:t>
            </w:r>
            <w:r>
              <w:rPr>
                <w:rFonts w:ascii="Times New Roman" w:hAnsi="Times New Roman" w:eastAsia="仿宋_GB2312" w:cs="Times New Roman"/>
                <w:bCs/>
                <w:sz w:val="20"/>
                <w:szCs w:val="20"/>
              </w:rPr>
              <w:t>）</w:t>
            </w:r>
          </w:p>
        </w:tc>
        <w:tc>
          <w:tcPr>
            <w:tcW w:w="1129" w:type="dxa"/>
            <w:tcBorders>
              <w:top w:val="nil"/>
              <w:left w:val="nil"/>
              <w:bottom w:val="single" w:color="auto" w:sz="4" w:space="0"/>
              <w:right w:val="single" w:color="auto" w:sz="4" w:space="0"/>
            </w:tcBorders>
            <w:noWrap w:val="0"/>
            <w:vAlign w:val="center"/>
          </w:tcPr>
          <w:p w14:paraId="57E73473">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规模控制率</w:t>
            </w:r>
          </w:p>
        </w:tc>
        <w:tc>
          <w:tcPr>
            <w:tcW w:w="1111" w:type="dxa"/>
            <w:tcBorders>
              <w:top w:val="nil"/>
              <w:left w:val="nil"/>
              <w:bottom w:val="single" w:color="auto" w:sz="4" w:space="0"/>
              <w:right w:val="single" w:color="auto" w:sz="4" w:space="0"/>
            </w:tcBorders>
            <w:noWrap w:val="0"/>
            <w:vAlign w:val="center"/>
          </w:tcPr>
          <w:p w14:paraId="7E79E6CA">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预算投资（万元）</w:t>
            </w:r>
          </w:p>
        </w:tc>
        <w:tc>
          <w:tcPr>
            <w:tcW w:w="1081" w:type="dxa"/>
            <w:tcBorders>
              <w:top w:val="nil"/>
              <w:left w:val="nil"/>
              <w:bottom w:val="single" w:color="auto" w:sz="4" w:space="0"/>
              <w:right w:val="single" w:color="auto" w:sz="4" w:space="0"/>
            </w:tcBorders>
            <w:noWrap w:val="0"/>
            <w:vAlign w:val="center"/>
          </w:tcPr>
          <w:p w14:paraId="351142E7">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实际投资（万元）</w:t>
            </w:r>
          </w:p>
        </w:tc>
        <w:tc>
          <w:tcPr>
            <w:tcW w:w="960" w:type="dxa"/>
            <w:tcBorders>
              <w:top w:val="nil"/>
              <w:left w:val="nil"/>
              <w:bottom w:val="single" w:color="auto" w:sz="4" w:space="0"/>
              <w:right w:val="single" w:color="auto" w:sz="4" w:space="0"/>
            </w:tcBorders>
            <w:noWrap w:val="0"/>
            <w:vAlign w:val="center"/>
          </w:tcPr>
          <w:p w14:paraId="1685A634">
            <w:pPr>
              <w:widowControl/>
              <w:spacing w:line="240" w:lineRule="exact"/>
              <w:jc w:val="center"/>
              <w:rPr>
                <w:rFonts w:ascii="Times New Roman" w:hAnsi="Times New Roman" w:eastAsia="仿宋_GB2312" w:cs="Times New Roman"/>
                <w:bCs/>
                <w:sz w:val="20"/>
                <w:szCs w:val="20"/>
              </w:rPr>
            </w:pPr>
            <w:r>
              <w:rPr>
                <w:rFonts w:ascii="Times New Roman" w:hAnsi="Times New Roman" w:eastAsia="仿宋_GB2312" w:cs="Times New Roman"/>
                <w:bCs/>
                <w:sz w:val="20"/>
                <w:szCs w:val="20"/>
              </w:rPr>
              <w:t>投资概算控制率</w:t>
            </w:r>
          </w:p>
        </w:tc>
      </w:tr>
      <w:tr w14:paraId="0E354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751135E5">
            <w:pPr>
              <w:widowControl/>
              <w:jc w:val="left"/>
              <w:rPr>
                <w:rFonts w:ascii="Times New Roman" w:hAnsi="Times New Roman" w:eastAsia="仿宋_GB2312" w:cs="Times New Roman"/>
                <w:sz w:val="20"/>
                <w:szCs w:val="20"/>
              </w:rPr>
            </w:pPr>
          </w:p>
        </w:tc>
        <w:tc>
          <w:tcPr>
            <w:tcW w:w="1189" w:type="dxa"/>
            <w:tcBorders>
              <w:top w:val="nil"/>
              <w:left w:val="nil"/>
              <w:bottom w:val="single" w:color="auto" w:sz="4" w:space="0"/>
              <w:right w:val="single" w:color="auto" w:sz="4" w:space="0"/>
            </w:tcBorders>
            <w:noWrap w:val="0"/>
            <w:vAlign w:val="center"/>
          </w:tcPr>
          <w:p w14:paraId="2F8FFD09">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849" w:type="dxa"/>
            <w:tcBorders>
              <w:top w:val="nil"/>
              <w:left w:val="nil"/>
              <w:bottom w:val="single" w:color="auto" w:sz="4" w:space="0"/>
              <w:right w:val="single" w:color="auto" w:sz="4" w:space="0"/>
            </w:tcBorders>
            <w:noWrap w:val="0"/>
            <w:vAlign w:val="center"/>
          </w:tcPr>
          <w:p w14:paraId="61DEC5C9">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29" w:type="dxa"/>
            <w:tcBorders>
              <w:top w:val="nil"/>
              <w:left w:val="nil"/>
              <w:bottom w:val="single" w:color="auto" w:sz="4" w:space="0"/>
              <w:right w:val="single" w:color="auto" w:sz="4" w:space="0"/>
            </w:tcBorders>
            <w:noWrap w:val="0"/>
            <w:vAlign w:val="center"/>
          </w:tcPr>
          <w:p w14:paraId="37A0FEDE">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111" w:type="dxa"/>
            <w:tcBorders>
              <w:top w:val="nil"/>
              <w:left w:val="nil"/>
              <w:bottom w:val="single" w:color="auto" w:sz="4" w:space="0"/>
              <w:right w:val="single" w:color="auto" w:sz="4" w:space="0"/>
            </w:tcBorders>
            <w:noWrap w:val="0"/>
            <w:vAlign w:val="center"/>
          </w:tcPr>
          <w:p w14:paraId="71E5A620">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1081" w:type="dxa"/>
            <w:tcBorders>
              <w:top w:val="nil"/>
              <w:left w:val="nil"/>
              <w:bottom w:val="single" w:color="auto" w:sz="4" w:space="0"/>
              <w:right w:val="single" w:color="auto" w:sz="4" w:space="0"/>
            </w:tcBorders>
            <w:noWrap w:val="0"/>
            <w:vAlign w:val="center"/>
          </w:tcPr>
          <w:p w14:paraId="372F5EC2">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c>
          <w:tcPr>
            <w:tcW w:w="960" w:type="dxa"/>
            <w:tcBorders>
              <w:top w:val="nil"/>
              <w:left w:val="nil"/>
              <w:bottom w:val="single" w:color="auto" w:sz="4" w:space="0"/>
              <w:right w:val="single" w:color="auto" w:sz="4" w:space="0"/>
            </w:tcBorders>
            <w:noWrap w:val="0"/>
            <w:vAlign w:val="center"/>
          </w:tcPr>
          <w:p w14:paraId="0658CFC4">
            <w:pPr>
              <w:widowControl/>
              <w:jc w:val="left"/>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r w14:paraId="67FB7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D5D4BCF">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1A6E9B6B">
            <w:pPr>
              <w:widowControl/>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　</w:t>
            </w:r>
          </w:p>
        </w:tc>
      </w:tr>
    </w:tbl>
    <w:p w14:paraId="3C77DCA4">
      <w:pPr>
        <w:widowControl/>
        <w:jc w:val="left"/>
        <w:rPr>
          <w:rFonts w:ascii="Times New Roman" w:hAnsi="Times New Roman" w:eastAsia="仿宋_GB2312" w:cs="Times New Roman"/>
          <w:sz w:val="22"/>
        </w:rPr>
      </w:pPr>
    </w:p>
    <w:p w14:paraId="7953D5B2">
      <w:pPr>
        <w:widowControl/>
        <w:jc w:val="left"/>
        <w:rPr>
          <w:rFonts w:ascii="Times New Roman" w:hAnsi="Times New Roman" w:eastAsia="仿宋_GB2312" w:cs="Times New Roman"/>
          <w:sz w:val="22"/>
        </w:rPr>
      </w:pPr>
      <w:r>
        <w:rPr>
          <w:rFonts w:ascii="Times New Roman" w:hAnsi="Times New Roman" w:eastAsia="仿宋_GB2312" w:cs="Times New Roman"/>
          <w:sz w:val="22"/>
        </w:rPr>
        <w:t>说明：“项目支出”需要填报基本支出以外的所有项目支出情况，“公用经费”填报基本支出中的一般商品和服务支出。</w:t>
      </w:r>
    </w:p>
    <w:p w14:paraId="18C23275">
      <w:pPr>
        <w:widowControl/>
        <w:jc w:val="left"/>
        <w:rPr>
          <w:rFonts w:ascii="Times New Roman" w:hAnsi="Times New Roman" w:eastAsia="仿宋_GB2312" w:cs="Times New Roman"/>
          <w:sz w:val="22"/>
        </w:rPr>
      </w:pPr>
    </w:p>
    <w:p w14:paraId="0B5FE83D">
      <w:pPr>
        <w:rPr>
          <w:rFonts w:hint="eastAsia" w:eastAsia="仿宋_GB2312"/>
          <w:lang w:eastAsia="zh-CN"/>
        </w:rPr>
      </w:pPr>
      <w:r>
        <w:rPr>
          <w:rFonts w:ascii="Times New Roman" w:hAnsi="Times New Roman" w:eastAsia="仿宋_GB2312" w:cs="Times New Roman"/>
          <w:sz w:val="22"/>
        </w:rPr>
        <w:t xml:space="preserve">填表人： </w:t>
      </w:r>
      <w:r>
        <w:rPr>
          <w:rFonts w:hint="eastAsia" w:ascii="Times New Roman" w:hAnsi="Times New Roman" w:eastAsia="仿宋_GB2312" w:cs="Times New Roman"/>
          <w:sz w:val="22"/>
          <w:lang w:eastAsia="zh-CN"/>
        </w:rPr>
        <w:t>向浩华</w:t>
      </w:r>
      <w:r>
        <w:rPr>
          <w:rFonts w:ascii="Times New Roman" w:hAnsi="Times New Roman" w:eastAsia="仿宋_GB2312" w:cs="Times New Roman"/>
          <w:sz w:val="22"/>
        </w:rPr>
        <w:t xml:space="preserve">  填报日期：</w:t>
      </w:r>
      <w:r>
        <w:rPr>
          <w:rFonts w:hint="eastAsia" w:ascii="Times New Roman" w:hAnsi="Times New Roman" w:eastAsia="仿宋_GB2312" w:cs="Times New Roman"/>
          <w:sz w:val="22"/>
          <w:lang w:val="en-US" w:eastAsia="zh-CN"/>
        </w:rPr>
        <w:t>2023.7.15</w:t>
      </w:r>
      <w:r>
        <w:rPr>
          <w:rFonts w:ascii="Times New Roman" w:hAnsi="Times New Roman" w:eastAsia="仿宋_GB2312" w:cs="Times New Roman"/>
          <w:sz w:val="22"/>
        </w:rPr>
        <w:t xml:space="preserve">  联系电话：</w:t>
      </w:r>
      <w:r>
        <w:rPr>
          <w:rFonts w:hint="eastAsia" w:ascii="Times New Roman" w:hAnsi="Times New Roman" w:eastAsia="仿宋_GB2312" w:cs="Times New Roman"/>
          <w:sz w:val="22"/>
          <w:lang w:val="en-US" w:eastAsia="zh-CN"/>
        </w:rPr>
        <w:t>18074558989</w:t>
      </w:r>
      <w:r>
        <w:rPr>
          <w:rFonts w:ascii="Times New Roman" w:hAnsi="Times New Roman" w:eastAsia="仿宋_GB2312" w:cs="Times New Roman"/>
          <w:sz w:val="22"/>
        </w:rPr>
        <w:t xml:space="preserve">  单位负责人签字：</w:t>
      </w:r>
      <w:r>
        <w:rPr>
          <w:rFonts w:hint="eastAsia" w:ascii="Times New Roman" w:hAnsi="Times New Roman" w:eastAsia="仿宋_GB2312" w:cs="Times New Roman"/>
          <w:sz w:val="22"/>
          <w:lang w:eastAsia="zh-CN"/>
        </w:rPr>
        <w:t>唐华华</w:t>
      </w:r>
    </w:p>
    <w:p w14:paraId="36D8524D">
      <w:pPr>
        <w:widowControl/>
        <w:spacing w:after="156" w:afterLines="50"/>
        <w:jc w:val="left"/>
        <w:rPr>
          <w:rFonts w:hint="eastAsia" w:ascii="Times New Roman" w:hAnsi="Times New Roman" w:eastAsia="黑体" w:cs="Times New Roman"/>
          <w:sz w:val="32"/>
          <w:szCs w:val="32"/>
          <w:lang w:val="en-US" w:eastAsia="zh-CN"/>
        </w:rPr>
      </w:pPr>
      <w:r>
        <w:br w:type="page"/>
      </w: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3</w:t>
      </w:r>
    </w:p>
    <w:p w14:paraId="1319DA92">
      <w:pPr>
        <w:widowControl/>
        <w:spacing w:after="156" w:afterLines="50"/>
        <w:jc w:val="center"/>
        <w:rPr>
          <w:rFonts w:ascii="Times New Roman" w:hAnsi="Times New Roman" w:eastAsia="方正小标宋_GBK" w:cs="Times New Roman"/>
          <w:color w:val="000000"/>
          <w:sz w:val="36"/>
          <w:szCs w:val="36"/>
        </w:rPr>
      </w:pPr>
      <w:r>
        <w:rPr>
          <w:rFonts w:ascii="Times New Roman" w:hAnsi="Times New Roman" w:eastAsia="方正小标宋_GBK" w:cs="Times New Roman"/>
          <w:color w:val="000000"/>
          <w:sz w:val="36"/>
          <w:szCs w:val="36"/>
        </w:rPr>
        <w:t>部门整体支出绩效自评表</w:t>
      </w:r>
    </w:p>
    <w:tbl>
      <w:tblPr>
        <w:tblStyle w:val="6"/>
        <w:tblW w:w="0" w:type="auto"/>
        <w:jc w:val="center"/>
        <w:tblLayout w:type="fixed"/>
        <w:tblCellMar>
          <w:top w:w="0" w:type="dxa"/>
          <w:left w:w="108" w:type="dxa"/>
          <w:bottom w:w="0" w:type="dxa"/>
          <w:right w:w="108" w:type="dxa"/>
        </w:tblCellMar>
      </w:tblPr>
      <w:tblGrid>
        <w:gridCol w:w="1080"/>
        <w:gridCol w:w="1080"/>
        <w:gridCol w:w="953"/>
        <w:gridCol w:w="1256"/>
        <w:gridCol w:w="95"/>
        <w:gridCol w:w="1311"/>
        <w:gridCol w:w="1269"/>
        <w:gridCol w:w="716"/>
        <w:gridCol w:w="881"/>
        <w:gridCol w:w="1438"/>
      </w:tblGrid>
      <w:tr w14:paraId="4F4F3D31">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1E65D83B">
            <w:pPr>
              <w:widowControl/>
              <w:spacing w:line="240" w:lineRule="exact"/>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市直</w:t>
            </w:r>
            <w:r>
              <w:rPr>
                <w:rFonts w:ascii="Times New Roman" w:hAnsi="Times New Roman" w:eastAsia="仿宋_GB2312" w:cs="Times New Roman"/>
                <w:color w:val="000000"/>
                <w:sz w:val="20"/>
                <w:szCs w:val="20"/>
              </w:rPr>
              <w:t>预算部门名称</w:t>
            </w:r>
          </w:p>
        </w:tc>
        <w:tc>
          <w:tcPr>
            <w:tcW w:w="8999" w:type="dxa"/>
            <w:gridSpan w:val="9"/>
            <w:tcBorders>
              <w:top w:val="single" w:color="auto" w:sz="4" w:space="0"/>
              <w:left w:val="nil"/>
              <w:bottom w:val="single" w:color="auto" w:sz="4" w:space="0"/>
              <w:right w:val="single" w:color="auto" w:sz="4" w:space="0"/>
            </w:tcBorders>
            <w:noWrap w:val="0"/>
            <w:vAlign w:val="center"/>
          </w:tcPr>
          <w:p w14:paraId="6EA739B5">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4"/>
                <w:szCs w:val="24"/>
              </w:rPr>
              <w:t>怀化市市委市政府机关幼儿园</w:t>
            </w:r>
            <w:r>
              <w:rPr>
                <w:rFonts w:ascii="Times New Roman" w:hAnsi="Times New Roman" w:eastAsia="仿宋_GB2312" w:cs="Times New Roman"/>
                <w:color w:val="000000"/>
                <w:sz w:val="20"/>
                <w:szCs w:val="20"/>
              </w:rPr>
              <w:t>　</w:t>
            </w:r>
          </w:p>
        </w:tc>
      </w:tr>
      <w:tr w14:paraId="589F4FC4">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7E32103C">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年度预</w:t>
            </w:r>
          </w:p>
          <w:p w14:paraId="3A68E26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算申请</w:t>
            </w:r>
            <w:r>
              <w:rPr>
                <w:rFonts w:ascii="Times New Roman" w:hAnsi="Times New Roman" w:eastAsia="仿宋_GB2312" w:cs="Times New Roman"/>
                <w:color w:val="000000"/>
                <w:sz w:val="20"/>
                <w:szCs w:val="20"/>
              </w:rPr>
              <w:br w:type="textWrapping"/>
            </w:r>
            <w:r>
              <w:rPr>
                <w:rFonts w:ascii="Times New Roman" w:hAnsi="Times New Roman" w:eastAsia="仿宋_GB2312" w:cs="Times New Roman"/>
                <w:color w:val="000000"/>
                <w:sz w:val="20"/>
                <w:szCs w:val="20"/>
              </w:rPr>
              <w:t>（万元）</w:t>
            </w:r>
          </w:p>
        </w:tc>
        <w:tc>
          <w:tcPr>
            <w:tcW w:w="2033" w:type="dxa"/>
            <w:gridSpan w:val="2"/>
            <w:tcBorders>
              <w:top w:val="nil"/>
              <w:left w:val="nil"/>
              <w:bottom w:val="single" w:color="auto" w:sz="4" w:space="0"/>
              <w:right w:val="single" w:color="auto" w:sz="4" w:space="0"/>
            </w:tcBorders>
            <w:noWrap w:val="0"/>
            <w:vAlign w:val="center"/>
          </w:tcPr>
          <w:p w14:paraId="3951B578">
            <w:pPr>
              <w:spacing w:line="240" w:lineRule="exact"/>
              <w:jc w:val="center"/>
              <w:rPr>
                <w:rFonts w:ascii="Times New Roman" w:hAnsi="Times New Roman" w:eastAsia="仿宋_GB2312" w:cs="Times New Roman"/>
                <w:sz w:val="20"/>
                <w:szCs w:val="20"/>
              </w:rPr>
            </w:pPr>
          </w:p>
        </w:tc>
        <w:tc>
          <w:tcPr>
            <w:tcW w:w="1256" w:type="dxa"/>
            <w:tcBorders>
              <w:top w:val="nil"/>
              <w:left w:val="nil"/>
              <w:bottom w:val="single" w:color="auto" w:sz="4" w:space="0"/>
              <w:right w:val="single" w:color="auto" w:sz="4" w:space="0"/>
            </w:tcBorders>
            <w:noWrap w:val="0"/>
            <w:vAlign w:val="center"/>
          </w:tcPr>
          <w:p w14:paraId="7C32E6DE">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年初预算数</w:t>
            </w:r>
          </w:p>
        </w:tc>
        <w:tc>
          <w:tcPr>
            <w:tcW w:w="1406" w:type="dxa"/>
            <w:gridSpan w:val="2"/>
            <w:tcBorders>
              <w:top w:val="nil"/>
              <w:left w:val="nil"/>
              <w:bottom w:val="single" w:color="auto" w:sz="4" w:space="0"/>
              <w:right w:val="single" w:color="auto" w:sz="4" w:space="0"/>
            </w:tcBorders>
            <w:noWrap w:val="0"/>
            <w:vAlign w:val="center"/>
          </w:tcPr>
          <w:p w14:paraId="041E5965">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全年预算数</w:t>
            </w:r>
          </w:p>
        </w:tc>
        <w:tc>
          <w:tcPr>
            <w:tcW w:w="1269" w:type="dxa"/>
            <w:tcBorders>
              <w:top w:val="nil"/>
              <w:left w:val="nil"/>
              <w:bottom w:val="single" w:color="auto" w:sz="4" w:space="0"/>
              <w:right w:val="single" w:color="auto" w:sz="4" w:space="0"/>
            </w:tcBorders>
            <w:noWrap w:val="0"/>
            <w:vAlign w:val="center"/>
          </w:tcPr>
          <w:p w14:paraId="77FEA1D4">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全年执行数</w:t>
            </w:r>
          </w:p>
        </w:tc>
        <w:tc>
          <w:tcPr>
            <w:tcW w:w="716" w:type="dxa"/>
            <w:tcBorders>
              <w:top w:val="nil"/>
              <w:left w:val="nil"/>
              <w:bottom w:val="single" w:color="auto" w:sz="4" w:space="0"/>
              <w:right w:val="single" w:color="auto" w:sz="4" w:space="0"/>
            </w:tcBorders>
            <w:noWrap w:val="0"/>
            <w:vAlign w:val="center"/>
          </w:tcPr>
          <w:p w14:paraId="3853028B">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分值</w:t>
            </w:r>
          </w:p>
        </w:tc>
        <w:tc>
          <w:tcPr>
            <w:tcW w:w="881" w:type="dxa"/>
            <w:tcBorders>
              <w:top w:val="nil"/>
              <w:left w:val="nil"/>
              <w:bottom w:val="single" w:color="auto" w:sz="4" w:space="0"/>
              <w:right w:val="single" w:color="auto" w:sz="4" w:space="0"/>
            </w:tcBorders>
            <w:noWrap w:val="0"/>
            <w:vAlign w:val="center"/>
          </w:tcPr>
          <w:p w14:paraId="3A920A68">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执行率</w:t>
            </w:r>
          </w:p>
        </w:tc>
        <w:tc>
          <w:tcPr>
            <w:tcW w:w="1438" w:type="dxa"/>
            <w:tcBorders>
              <w:top w:val="nil"/>
              <w:left w:val="nil"/>
              <w:bottom w:val="single" w:color="auto" w:sz="4" w:space="0"/>
              <w:right w:val="single" w:color="auto" w:sz="4" w:space="0"/>
            </w:tcBorders>
            <w:noWrap w:val="0"/>
            <w:vAlign w:val="center"/>
          </w:tcPr>
          <w:p w14:paraId="6CFE6C6E">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得分</w:t>
            </w:r>
          </w:p>
        </w:tc>
      </w:tr>
      <w:tr w14:paraId="5595AD42">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513A4191">
            <w:pPr>
              <w:widowControl/>
              <w:spacing w:line="240" w:lineRule="exact"/>
              <w:jc w:val="center"/>
              <w:rPr>
                <w:rFonts w:ascii="Times New Roman" w:hAnsi="Times New Roman" w:eastAsia="仿宋_GB2312" w:cs="Times New Roman"/>
                <w:color w:val="000000"/>
                <w:sz w:val="20"/>
                <w:szCs w:val="20"/>
              </w:rPr>
            </w:pPr>
          </w:p>
        </w:tc>
        <w:tc>
          <w:tcPr>
            <w:tcW w:w="2033" w:type="dxa"/>
            <w:gridSpan w:val="2"/>
            <w:tcBorders>
              <w:top w:val="nil"/>
              <w:left w:val="nil"/>
              <w:bottom w:val="single" w:color="auto" w:sz="4" w:space="0"/>
              <w:right w:val="single" w:color="auto" w:sz="4" w:space="0"/>
            </w:tcBorders>
            <w:noWrap w:val="0"/>
            <w:vAlign w:val="center"/>
          </w:tcPr>
          <w:p w14:paraId="49BE203D">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color w:val="000000"/>
                <w:sz w:val="20"/>
                <w:szCs w:val="20"/>
              </w:rPr>
              <w:t>年度资金总额</w:t>
            </w:r>
          </w:p>
        </w:tc>
        <w:tc>
          <w:tcPr>
            <w:tcW w:w="1256" w:type="dxa"/>
            <w:tcBorders>
              <w:top w:val="nil"/>
              <w:left w:val="nil"/>
              <w:bottom w:val="single" w:color="auto" w:sz="4" w:space="0"/>
              <w:right w:val="single" w:color="auto" w:sz="4" w:space="0"/>
            </w:tcBorders>
            <w:noWrap w:val="0"/>
            <w:vAlign w:val="center"/>
          </w:tcPr>
          <w:p w14:paraId="6458D53B">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353.36</w:t>
            </w:r>
          </w:p>
        </w:tc>
        <w:tc>
          <w:tcPr>
            <w:tcW w:w="1406" w:type="dxa"/>
            <w:gridSpan w:val="2"/>
            <w:tcBorders>
              <w:top w:val="nil"/>
              <w:left w:val="nil"/>
              <w:bottom w:val="single" w:color="auto" w:sz="4" w:space="0"/>
              <w:right w:val="single" w:color="auto" w:sz="4" w:space="0"/>
            </w:tcBorders>
            <w:noWrap w:val="0"/>
            <w:vAlign w:val="center"/>
          </w:tcPr>
          <w:p w14:paraId="6328AA2B">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485.30</w:t>
            </w:r>
          </w:p>
        </w:tc>
        <w:tc>
          <w:tcPr>
            <w:tcW w:w="1269" w:type="dxa"/>
            <w:tcBorders>
              <w:top w:val="nil"/>
              <w:left w:val="nil"/>
              <w:bottom w:val="single" w:color="auto" w:sz="4" w:space="0"/>
              <w:right w:val="single" w:color="auto" w:sz="4" w:space="0"/>
            </w:tcBorders>
            <w:noWrap w:val="0"/>
            <w:vAlign w:val="center"/>
          </w:tcPr>
          <w:p w14:paraId="214B789D">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485.30</w:t>
            </w:r>
          </w:p>
        </w:tc>
        <w:tc>
          <w:tcPr>
            <w:tcW w:w="716" w:type="dxa"/>
            <w:tcBorders>
              <w:top w:val="nil"/>
              <w:left w:val="nil"/>
              <w:bottom w:val="single" w:color="auto" w:sz="4" w:space="0"/>
              <w:right w:val="single" w:color="auto" w:sz="4" w:space="0"/>
            </w:tcBorders>
            <w:noWrap w:val="0"/>
            <w:vAlign w:val="center"/>
          </w:tcPr>
          <w:p w14:paraId="1BB31E59">
            <w:pPr>
              <w:spacing w:line="240" w:lineRule="exact"/>
              <w:jc w:val="center"/>
              <w:rPr>
                <w:rFonts w:ascii="Times New Roman" w:hAnsi="Times New Roman" w:eastAsia="仿宋_GB2312" w:cs="Times New Roman"/>
                <w:sz w:val="20"/>
                <w:szCs w:val="20"/>
              </w:rPr>
            </w:pPr>
            <w:r>
              <w:rPr>
                <w:rFonts w:ascii="Times New Roman" w:hAnsi="Times New Roman" w:eastAsia="仿宋_GB2312" w:cs="Times New Roman"/>
                <w:sz w:val="20"/>
                <w:szCs w:val="20"/>
              </w:rPr>
              <w:t>10</w:t>
            </w:r>
          </w:p>
        </w:tc>
        <w:tc>
          <w:tcPr>
            <w:tcW w:w="881" w:type="dxa"/>
            <w:tcBorders>
              <w:top w:val="nil"/>
              <w:left w:val="nil"/>
              <w:bottom w:val="single" w:color="auto" w:sz="4" w:space="0"/>
              <w:right w:val="single" w:color="auto" w:sz="4" w:space="0"/>
            </w:tcBorders>
            <w:noWrap w:val="0"/>
            <w:vAlign w:val="center"/>
          </w:tcPr>
          <w:p w14:paraId="43069AE0">
            <w:pPr>
              <w:spacing w:line="240" w:lineRule="exact"/>
              <w:jc w:val="center"/>
              <w:rPr>
                <w:rFonts w:hint="default" w:ascii="Times New Roman" w:hAnsi="Times New Roman" w:eastAsia="仿宋_GB2312" w:cs="Times New Roman"/>
                <w:sz w:val="20"/>
                <w:szCs w:val="20"/>
                <w:lang w:val="en-US" w:eastAsia="zh-CN"/>
              </w:rPr>
            </w:pPr>
            <w:r>
              <w:rPr>
                <w:rFonts w:hint="eastAsia" w:ascii="Times New Roman" w:hAnsi="Times New Roman" w:eastAsia="仿宋_GB2312" w:cs="Times New Roman"/>
                <w:sz w:val="20"/>
                <w:szCs w:val="20"/>
                <w:lang w:val="en-US" w:eastAsia="zh-CN"/>
              </w:rPr>
              <w:t>100%</w:t>
            </w:r>
          </w:p>
        </w:tc>
        <w:tc>
          <w:tcPr>
            <w:tcW w:w="1438" w:type="dxa"/>
            <w:tcBorders>
              <w:top w:val="nil"/>
              <w:left w:val="nil"/>
              <w:bottom w:val="single" w:color="auto" w:sz="4" w:space="0"/>
              <w:right w:val="single" w:color="auto" w:sz="4" w:space="0"/>
            </w:tcBorders>
            <w:noWrap w:val="0"/>
            <w:vAlign w:val="center"/>
          </w:tcPr>
          <w:p w14:paraId="431C1850">
            <w:pPr>
              <w:spacing w:line="240" w:lineRule="exact"/>
              <w:jc w:val="center"/>
              <w:rPr>
                <w:rFonts w:ascii="Times New Roman" w:hAnsi="Times New Roman" w:eastAsia="仿宋_GB2312" w:cs="Times New Roman"/>
                <w:sz w:val="20"/>
                <w:szCs w:val="20"/>
              </w:rPr>
            </w:pPr>
          </w:p>
        </w:tc>
      </w:tr>
      <w:tr w14:paraId="4661EA83">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C7B9C1A">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12B8F1A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按收入性质分：</w:t>
            </w:r>
          </w:p>
        </w:tc>
        <w:tc>
          <w:tcPr>
            <w:tcW w:w="4304" w:type="dxa"/>
            <w:gridSpan w:val="4"/>
            <w:tcBorders>
              <w:top w:val="nil"/>
              <w:left w:val="nil"/>
              <w:bottom w:val="single" w:color="auto" w:sz="4" w:space="0"/>
              <w:right w:val="single" w:color="auto" w:sz="4" w:space="0"/>
            </w:tcBorders>
            <w:noWrap w:val="0"/>
            <w:vAlign w:val="center"/>
          </w:tcPr>
          <w:p w14:paraId="02D945DB">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按支出性质分：</w:t>
            </w:r>
          </w:p>
        </w:tc>
      </w:tr>
      <w:tr w14:paraId="50CD978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ED0B725">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6868124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xml:space="preserve">  其中：  一般公共预算：</w:t>
            </w:r>
            <w:r>
              <w:rPr>
                <w:rFonts w:hint="eastAsia" w:ascii="Times New Roman" w:hAnsi="Times New Roman" w:eastAsia="仿宋_GB2312" w:cs="Times New Roman"/>
                <w:sz w:val="20"/>
                <w:szCs w:val="20"/>
                <w:lang w:val="en-US" w:eastAsia="zh-CN"/>
              </w:rPr>
              <w:t>485.30</w:t>
            </w:r>
          </w:p>
        </w:tc>
        <w:tc>
          <w:tcPr>
            <w:tcW w:w="4304" w:type="dxa"/>
            <w:gridSpan w:val="4"/>
            <w:tcBorders>
              <w:top w:val="nil"/>
              <w:left w:val="nil"/>
              <w:bottom w:val="single" w:color="auto" w:sz="4" w:space="0"/>
              <w:right w:val="single" w:color="auto" w:sz="4" w:space="0"/>
            </w:tcBorders>
            <w:noWrap w:val="0"/>
            <w:vAlign w:val="center"/>
          </w:tcPr>
          <w:p w14:paraId="52CCFEC4">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其中：基本支出：</w:t>
            </w:r>
            <w:r>
              <w:rPr>
                <w:rFonts w:hint="eastAsia" w:ascii="Times New Roman" w:hAnsi="Times New Roman" w:eastAsia="仿宋_GB2312" w:cs="Times New Roman"/>
                <w:sz w:val="20"/>
                <w:szCs w:val="20"/>
                <w:lang w:val="en-US" w:eastAsia="zh-CN"/>
              </w:rPr>
              <w:t>485.30</w:t>
            </w:r>
          </w:p>
        </w:tc>
      </w:tr>
      <w:tr w14:paraId="3D70CAC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BDA71B6">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7B703837">
            <w:pPr>
              <w:widowControl/>
              <w:spacing w:line="240" w:lineRule="exact"/>
              <w:ind w:firstLine="812" w:firstLineChars="4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政府性基金拨款：</w:t>
            </w:r>
          </w:p>
        </w:tc>
        <w:tc>
          <w:tcPr>
            <w:tcW w:w="4304" w:type="dxa"/>
            <w:gridSpan w:val="4"/>
            <w:tcBorders>
              <w:top w:val="nil"/>
              <w:left w:val="nil"/>
              <w:bottom w:val="single" w:color="auto" w:sz="4" w:space="0"/>
              <w:right w:val="single" w:color="auto" w:sz="4" w:space="0"/>
            </w:tcBorders>
            <w:noWrap w:val="0"/>
            <w:vAlign w:val="center"/>
          </w:tcPr>
          <w:p w14:paraId="602649FA">
            <w:pPr>
              <w:widowControl/>
              <w:spacing w:line="240" w:lineRule="exact"/>
              <w:ind w:firstLine="609" w:firstLineChars="300"/>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项目支出：</w:t>
            </w:r>
          </w:p>
        </w:tc>
      </w:tr>
      <w:tr w14:paraId="13C86E82">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E245529">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724B3B5A">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7E3D3051">
            <w:pPr>
              <w:widowControl/>
              <w:spacing w:line="240" w:lineRule="exact"/>
              <w:jc w:val="left"/>
              <w:rPr>
                <w:rFonts w:ascii="Times New Roman" w:hAnsi="Times New Roman" w:eastAsia="仿宋_GB2312" w:cs="Times New Roman"/>
                <w:color w:val="000000"/>
                <w:sz w:val="20"/>
                <w:szCs w:val="20"/>
              </w:rPr>
            </w:pPr>
          </w:p>
        </w:tc>
      </w:tr>
      <w:tr w14:paraId="25CD9679">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324824B1">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nil"/>
              <w:left w:val="nil"/>
              <w:bottom w:val="single" w:color="auto" w:sz="4" w:space="0"/>
              <w:right w:val="single" w:color="auto" w:sz="4" w:space="0"/>
            </w:tcBorders>
            <w:noWrap w:val="0"/>
            <w:vAlign w:val="center"/>
          </w:tcPr>
          <w:p w14:paraId="03AA8CA9">
            <w:pPr>
              <w:widowControl/>
              <w:spacing w:line="240" w:lineRule="exact"/>
              <w:ind w:firstLine="1421" w:firstLineChars="700"/>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其他资金：</w:t>
            </w:r>
          </w:p>
        </w:tc>
        <w:tc>
          <w:tcPr>
            <w:tcW w:w="4304" w:type="dxa"/>
            <w:gridSpan w:val="4"/>
            <w:tcBorders>
              <w:top w:val="nil"/>
              <w:left w:val="nil"/>
              <w:bottom w:val="single" w:color="auto" w:sz="4" w:space="0"/>
              <w:right w:val="single" w:color="auto" w:sz="4" w:space="0"/>
            </w:tcBorders>
            <w:noWrap w:val="0"/>
            <w:vAlign w:val="center"/>
          </w:tcPr>
          <w:p w14:paraId="5086A007">
            <w:pPr>
              <w:widowControl/>
              <w:spacing w:line="240" w:lineRule="exact"/>
              <w:jc w:val="left"/>
              <w:rPr>
                <w:rFonts w:ascii="Times New Roman" w:hAnsi="Times New Roman" w:eastAsia="仿宋_GB2312" w:cs="Times New Roman"/>
                <w:color w:val="000000"/>
                <w:sz w:val="20"/>
                <w:szCs w:val="20"/>
              </w:rPr>
            </w:pPr>
          </w:p>
        </w:tc>
      </w:tr>
      <w:tr w14:paraId="11F988EA">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78D9290">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年度总体目标</w:t>
            </w:r>
          </w:p>
        </w:tc>
        <w:tc>
          <w:tcPr>
            <w:tcW w:w="4695" w:type="dxa"/>
            <w:gridSpan w:val="5"/>
            <w:tcBorders>
              <w:top w:val="single" w:color="auto" w:sz="4" w:space="0"/>
              <w:left w:val="nil"/>
              <w:bottom w:val="single" w:color="auto" w:sz="4" w:space="0"/>
              <w:right w:val="single" w:color="000000" w:sz="4" w:space="0"/>
            </w:tcBorders>
            <w:noWrap w:val="0"/>
            <w:vAlign w:val="center"/>
          </w:tcPr>
          <w:p w14:paraId="29057CD0">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45AB9D4C">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实际完成情况　</w:t>
            </w:r>
          </w:p>
        </w:tc>
      </w:tr>
      <w:tr w14:paraId="04A97144">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55EB04E">
            <w:pPr>
              <w:widowControl/>
              <w:spacing w:line="240" w:lineRule="exact"/>
              <w:jc w:val="left"/>
              <w:rPr>
                <w:rFonts w:ascii="Times New Roman" w:hAnsi="Times New Roman" w:eastAsia="仿宋_GB2312" w:cs="Times New Roman"/>
                <w:color w:val="000000"/>
                <w:sz w:val="20"/>
                <w:szCs w:val="20"/>
              </w:rPr>
            </w:pPr>
          </w:p>
        </w:tc>
        <w:tc>
          <w:tcPr>
            <w:tcW w:w="4695" w:type="dxa"/>
            <w:gridSpan w:val="5"/>
            <w:tcBorders>
              <w:top w:val="single" w:color="auto" w:sz="4" w:space="0"/>
              <w:left w:val="nil"/>
              <w:bottom w:val="single" w:color="auto" w:sz="4" w:space="0"/>
              <w:right w:val="single" w:color="000000" w:sz="4" w:space="0"/>
            </w:tcBorders>
            <w:noWrap w:val="0"/>
            <w:vAlign w:val="center"/>
          </w:tcPr>
          <w:p w14:paraId="4FA736DC">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以办人民满意教育、创一流平安和谐幼儿园、以让每一位孩子健康、快乐地成长的办园宗旨，促进每个幼儿富有个性的发展，全面提高了幼儿园的保教质量</w:t>
            </w:r>
            <w:r>
              <w:rPr>
                <w:rFonts w:ascii="Times New Roman" w:hAnsi="Times New Roman" w:eastAsia="仿宋_GB2312" w:cs="Times New Roman"/>
                <w:color w:val="000000"/>
                <w:sz w:val="20"/>
                <w:szCs w:val="20"/>
              </w:rPr>
              <w:t>　　</w:t>
            </w:r>
          </w:p>
        </w:tc>
        <w:tc>
          <w:tcPr>
            <w:tcW w:w="4304" w:type="dxa"/>
            <w:gridSpan w:val="4"/>
            <w:tcBorders>
              <w:top w:val="single" w:color="auto" w:sz="4" w:space="0"/>
              <w:left w:val="nil"/>
              <w:bottom w:val="single" w:color="auto" w:sz="4" w:space="0"/>
              <w:right w:val="single" w:color="auto" w:sz="4" w:space="0"/>
            </w:tcBorders>
            <w:noWrap w:val="0"/>
            <w:vAlign w:val="center"/>
          </w:tcPr>
          <w:p w14:paraId="4F82936D">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2022年被评为怀化市文明单位，社会影响较好</w:t>
            </w:r>
          </w:p>
        </w:tc>
      </w:tr>
      <w:tr w14:paraId="77F0C0AE">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28C1C4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绩</w:t>
            </w:r>
          </w:p>
          <w:p w14:paraId="64E61FF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w:t>
            </w:r>
          </w:p>
          <w:p w14:paraId="0F0520FA">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w:t>
            </w:r>
          </w:p>
          <w:p w14:paraId="5532AE2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标</w:t>
            </w:r>
          </w:p>
          <w:p w14:paraId="0A85A551">
            <w:pPr>
              <w:widowControl/>
              <w:spacing w:line="240" w:lineRule="exact"/>
              <w:jc w:val="center"/>
              <w:rPr>
                <w:rFonts w:ascii="Times New Roman" w:hAnsi="Times New Roman" w:eastAsia="仿宋_GB2312" w:cs="Times New Roman"/>
                <w:color w:val="000000"/>
                <w:sz w:val="20"/>
                <w:szCs w:val="20"/>
              </w:rPr>
            </w:pPr>
          </w:p>
        </w:tc>
        <w:tc>
          <w:tcPr>
            <w:tcW w:w="1080" w:type="dxa"/>
            <w:tcBorders>
              <w:top w:val="nil"/>
              <w:left w:val="nil"/>
              <w:bottom w:val="single" w:color="auto" w:sz="4" w:space="0"/>
              <w:right w:val="single" w:color="auto" w:sz="4" w:space="0"/>
            </w:tcBorders>
            <w:noWrap w:val="0"/>
            <w:vAlign w:val="center"/>
          </w:tcPr>
          <w:p w14:paraId="255DA014">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一级指标</w:t>
            </w:r>
          </w:p>
        </w:tc>
        <w:tc>
          <w:tcPr>
            <w:tcW w:w="953" w:type="dxa"/>
            <w:tcBorders>
              <w:top w:val="nil"/>
              <w:left w:val="nil"/>
              <w:bottom w:val="single" w:color="auto" w:sz="4" w:space="0"/>
              <w:right w:val="single" w:color="auto" w:sz="4" w:space="0"/>
            </w:tcBorders>
            <w:noWrap w:val="0"/>
            <w:vAlign w:val="center"/>
          </w:tcPr>
          <w:p w14:paraId="3B01FF9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二级指标</w:t>
            </w:r>
          </w:p>
        </w:tc>
        <w:tc>
          <w:tcPr>
            <w:tcW w:w="1351" w:type="dxa"/>
            <w:gridSpan w:val="2"/>
            <w:tcBorders>
              <w:top w:val="nil"/>
              <w:left w:val="nil"/>
              <w:bottom w:val="single" w:color="auto" w:sz="4" w:space="0"/>
              <w:right w:val="single" w:color="auto" w:sz="4" w:space="0"/>
            </w:tcBorders>
            <w:noWrap w:val="0"/>
            <w:vAlign w:val="center"/>
          </w:tcPr>
          <w:p w14:paraId="57390A27">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三级指标</w:t>
            </w:r>
          </w:p>
        </w:tc>
        <w:tc>
          <w:tcPr>
            <w:tcW w:w="1311" w:type="dxa"/>
            <w:tcBorders>
              <w:top w:val="nil"/>
              <w:left w:val="nil"/>
              <w:bottom w:val="single" w:color="auto" w:sz="4" w:space="0"/>
              <w:right w:val="single" w:color="auto" w:sz="4" w:space="0"/>
            </w:tcBorders>
            <w:noWrap w:val="0"/>
            <w:vAlign w:val="center"/>
          </w:tcPr>
          <w:p w14:paraId="45081993">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年度指标值</w:t>
            </w:r>
          </w:p>
        </w:tc>
        <w:tc>
          <w:tcPr>
            <w:tcW w:w="1269" w:type="dxa"/>
            <w:tcBorders>
              <w:top w:val="nil"/>
              <w:left w:val="nil"/>
              <w:bottom w:val="single" w:color="auto" w:sz="4" w:space="0"/>
              <w:right w:val="single" w:color="auto" w:sz="4" w:space="0"/>
            </w:tcBorders>
            <w:noWrap w:val="0"/>
            <w:vAlign w:val="center"/>
          </w:tcPr>
          <w:p w14:paraId="2C1CA8FA">
            <w:pPr>
              <w:widowControl/>
              <w:spacing w:line="240" w:lineRule="exac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实际完成值</w:t>
            </w:r>
          </w:p>
        </w:tc>
        <w:tc>
          <w:tcPr>
            <w:tcW w:w="716" w:type="dxa"/>
            <w:tcBorders>
              <w:top w:val="nil"/>
              <w:left w:val="nil"/>
              <w:bottom w:val="single" w:color="auto" w:sz="4" w:space="0"/>
              <w:right w:val="single" w:color="auto" w:sz="4" w:space="0"/>
            </w:tcBorders>
            <w:noWrap w:val="0"/>
            <w:vAlign w:val="center"/>
          </w:tcPr>
          <w:p w14:paraId="760A45D1">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分值</w:t>
            </w:r>
          </w:p>
        </w:tc>
        <w:tc>
          <w:tcPr>
            <w:tcW w:w="881" w:type="dxa"/>
            <w:tcBorders>
              <w:top w:val="nil"/>
              <w:left w:val="nil"/>
              <w:bottom w:val="single" w:color="auto" w:sz="4" w:space="0"/>
              <w:right w:val="single" w:color="auto" w:sz="4" w:space="0"/>
            </w:tcBorders>
            <w:noWrap w:val="0"/>
            <w:vAlign w:val="center"/>
          </w:tcPr>
          <w:p w14:paraId="5C2CCB0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得分</w:t>
            </w:r>
          </w:p>
        </w:tc>
        <w:tc>
          <w:tcPr>
            <w:tcW w:w="1438" w:type="dxa"/>
            <w:tcBorders>
              <w:top w:val="nil"/>
              <w:left w:val="nil"/>
              <w:bottom w:val="single" w:color="auto" w:sz="4" w:space="0"/>
              <w:right w:val="single" w:color="auto" w:sz="4" w:space="0"/>
            </w:tcBorders>
            <w:noWrap w:val="0"/>
            <w:vAlign w:val="center"/>
          </w:tcPr>
          <w:p w14:paraId="061B5B61">
            <w:pPr>
              <w:widowControl/>
              <w:spacing w:line="240" w:lineRule="exact"/>
              <w:jc w:val="both"/>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偏差原因分析及改进措施</w:t>
            </w:r>
          </w:p>
        </w:tc>
      </w:tr>
      <w:tr w14:paraId="57F8FC6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6E28F68">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2472C5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产出指标</w:t>
            </w:r>
          </w:p>
          <w:p w14:paraId="56AE8E17">
            <w:pPr>
              <w:widowControl/>
              <w:spacing w:line="240" w:lineRule="exact"/>
              <w:jc w:val="center"/>
              <w:rPr>
                <w:rFonts w:ascii="Times New Roman" w:hAnsi="Times New Roman" w:eastAsia="仿宋_GB2312" w:cs="Times New Roman"/>
                <w:color w:val="000000"/>
                <w:sz w:val="20"/>
                <w:szCs w:val="20"/>
              </w:rPr>
            </w:pPr>
          </w:p>
          <w:p w14:paraId="6F6374B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(50分)</w:t>
            </w:r>
          </w:p>
        </w:tc>
        <w:tc>
          <w:tcPr>
            <w:tcW w:w="953" w:type="dxa"/>
            <w:vMerge w:val="restart"/>
            <w:tcBorders>
              <w:top w:val="nil"/>
              <w:left w:val="nil"/>
              <w:right w:val="single" w:color="auto" w:sz="4" w:space="0"/>
            </w:tcBorders>
            <w:noWrap w:val="0"/>
            <w:vAlign w:val="center"/>
          </w:tcPr>
          <w:p w14:paraId="0CC601C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数量指标</w:t>
            </w:r>
          </w:p>
        </w:tc>
        <w:tc>
          <w:tcPr>
            <w:tcW w:w="1351" w:type="dxa"/>
            <w:gridSpan w:val="2"/>
            <w:tcBorders>
              <w:top w:val="nil"/>
              <w:left w:val="nil"/>
              <w:bottom w:val="single" w:color="auto" w:sz="4" w:space="0"/>
              <w:right w:val="single" w:color="auto" w:sz="4" w:space="0"/>
            </w:tcBorders>
            <w:noWrap w:val="0"/>
            <w:vAlign w:val="center"/>
          </w:tcPr>
          <w:p w14:paraId="5C137BAE">
            <w:pPr>
              <w:widowControl/>
              <w:spacing w:line="240" w:lineRule="exact"/>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开设大中小三个年级</w:t>
            </w:r>
          </w:p>
        </w:tc>
        <w:tc>
          <w:tcPr>
            <w:tcW w:w="1311" w:type="dxa"/>
            <w:tcBorders>
              <w:top w:val="nil"/>
              <w:left w:val="nil"/>
              <w:bottom w:val="single" w:color="auto" w:sz="4" w:space="0"/>
              <w:right w:val="single" w:color="auto" w:sz="4" w:space="0"/>
            </w:tcBorders>
            <w:noWrap w:val="0"/>
            <w:vAlign w:val="center"/>
          </w:tcPr>
          <w:p w14:paraId="732287BF">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1269" w:type="dxa"/>
            <w:tcBorders>
              <w:top w:val="nil"/>
              <w:left w:val="nil"/>
              <w:bottom w:val="single" w:color="auto" w:sz="4" w:space="0"/>
              <w:right w:val="single" w:color="auto" w:sz="4" w:space="0"/>
            </w:tcBorders>
            <w:noWrap w:val="0"/>
            <w:vAlign w:val="center"/>
          </w:tcPr>
          <w:p w14:paraId="1DBBB1E0">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3</w:t>
            </w:r>
          </w:p>
        </w:tc>
        <w:tc>
          <w:tcPr>
            <w:tcW w:w="716" w:type="dxa"/>
            <w:tcBorders>
              <w:top w:val="nil"/>
              <w:left w:val="nil"/>
              <w:bottom w:val="single" w:color="auto" w:sz="4" w:space="0"/>
              <w:right w:val="single" w:color="auto" w:sz="4" w:space="0"/>
            </w:tcBorders>
            <w:noWrap w:val="0"/>
            <w:vAlign w:val="center"/>
          </w:tcPr>
          <w:p w14:paraId="25134DDD">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58489592">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5BE49F1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20994DAB">
        <w:tblPrEx>
          <w:tblCellMar>
            <w:top w:w="0" w:type="dxa"/>
            <w:left w:w="108" w:type="dxa"/>
            <w:bottom w:w="0" w:type="dxa"/>
            <w:right w:w="108" w:type="dxa"/>
          </w:tblCellMar>
        </w:tblPrEx>
        <w:trPr>
          <w:trHeight w:val="430" w:hRule="atLeast"/>
          <w:jc w:val="center"/>
        </w:trPr>
        <w:tc>
          <w:tcPr>
            <w:tcW w:w="1080" w:type="dxa"/>
            <w:vMerge w:val="continue"/>
            <w:tcBorders>
              <w:left w:val="single" w:color="auto" w:sz="4" w:space="0"/>
              <w:right w:val="single" w:color="auto" w:sz="4" w:space="0"/>
            </w:tcBorders>
            <w:noWrap w:val="0"/>
            <w:vAlign w:val="center"/>
          </w:tcPr>
          <w:p w14:paraId="49A48F42">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65AD993">
            <w:pPr>
              <w:spacing w:line="240" w:lineRule="exact"/>
              <w:jc w:val="left"/>
              <w:rPr>
                <w:rFonts w:ascii="Times New Roman" w:hAnsi="Times New Roman" w:eastAsia="仿宋_GB2312" w:cs="Times New Roman"/>
                <w:color w:val="000000"/>
                <w:sz w:val="20"/>
                <w:szCs w:val="20"/>
              </w:rPr>
            </w:pPr>
          </w:p>
        </w:tc>
        <w:tc>
          <w:tcPr>
            <w:tcW w:w="953" w:type="dxa"/>
            <w:vMerge w:val="continue"/>
            <w:tcBorders>
              <w:left w:val="nil"/>
              <w:bottom w:val="single" w:color="auto" w:sz="4" w:space="0"/>
              <w:right w:val="single" w:color="auto" w:sz="4" w:space="0"/>
            </w:tcBorders>
            <w:noWrap w:val="0"/>
            <w:vAlign w:val="center"/>
          </w:tcPr>
          <w:p w14:paraId="246930B7">
            <w:pPr>
              <w:spacing w:line="240" w:lineRule="exact"/>
              <w:jc w:val="center"/>
              <w:rPr>
                <w:rFonts w:ascii="Times New Roman" w:hAnsi="Times New Roman" w:eastAsia="仿宋_GB2312" w:cs="Times New Roman"/>
                <w:color w:val="000000"/>
                <w:sz w:val="20"/>
                <w:szCs w:val="20"/>
              </w:rPr>
            </w:pPr>
          </w:p>
        </w:tc>
        <w:tc>
          <w:tcPr>
            <w:tcW w:w="1351" w:type="dxa"/>
            <w:gridSpan w:val="2"/>
            <w:tcBorders>
              <w:top w:val="nil"/>
              <w:left w:val="nil"/>
              <w:bottom w:val="single" w:color="auto" w:sz="4" w:space="0"/>
              <w:right w:val="single" w:color="auto" w:sz="4" w:space="0"/>
            </w:tcBorders>
            <w:noWrap w:val="0"/>
            <w:vAlign w:val="center"/>
          </w:tcPr>
          <w:p w14:paraId="7C1078B9">
            <w:pPr>
              <w:widowControl/>
              <w:spacing w:line="240" w:lineRule="exact"/>
              <w:jc w:val="lef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eastAsia="zh-CN"/>
              </w:rPr>
              <w:t>总共</w:t>
            </w:r>
            <w:r>
              <w:rPr>
                <w:rFonts w:hint="eastAsia" w:ascii="Times New Roman" w:hAnsi="Times New Roman" w:eastAsia="仿宋_GB2312" w:cs="Times New Roman"/>
                <w:color w:val="000000"/>
                <w:sz w:val="20"/>
                <w:szCs w:val="20"/>
                <w:lang w:val="en-US" w:eastAsia="zh-CN"/>
              </w:rPr>
              <w:t>5个班</w:t>
            </w:r>
          </w:p>
        </w:tc>
        <w:tc>
          <w:tcPr>
            <w:tcW w:w="1311" w:type="dxa"/>
            <w:tcBorders>
              <w:top w:val="nil"/>
              <w:left w:val="nil"/>
              <w:bottom w:val="single" w:color="auto" w:sz="4" w:space="0"/>
              <w:right w:val="single" w:color="auto" w:sz="4" w:space="0"/>
            </w:tcBorders>
            <w:noWrap w:val="0"/>
            <w:vAlign w:val="center"/>
          </w:tcPr>
          <w:p w14:paraId="72F85F46">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269" w:type="dxa"/>
            <w:tcBorders>
              <w:top w:val="nil"/>
              <w:left w:val="nil"/>
              <w:bottom w:val="single" w:color="auto" w:sz="4" w:space="0"/>
              <w:right w:val="single" w:color="auto" w:sz="4" w:space="0"/>
            </w:tcBorders>
            <w:noWrap w:val="0"/>
            <w:vAlign w:val="center"/>
          </w:tcPr>
          <w:p w14:paraId="22AB98EA">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716" w:type="dxa"/>
            <w:tcBorders>
              <w:top w:val="nil"/>
              <w:left w:val="nil"/>
              <w:bottom w:val="single" w:color="auto" w:sz="4" w:space="0"/>
              <w:right w:val="single" w:color="auto" w:sz="4" w:space="0"/>
            </w:tcBorders>
            <w:noWrap w:val="0"/>
            <w:vAlign w:val="center"/>
          </w:tcPr>
          <w:p w14:paraId="388ED3A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C1961F6">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1CA32EF5">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3FD823A6">
        <w:tblPrEx>
          <w:tblCellMar>
            <w:top w:w="0" w:type="dxa"/>
            <w:left w:w="108" w:type="dxa"/>
            <w:bottom w:w="0" w:type="dxa"/>
            <w:right w:w="108" w:type="dxa"/>
          </w:tblCellMar>
        </w:tblPrEx>
        <w:trPr>
          <w:trHeight w:val="740" w:hRule="atLeast"/>
          <w:jc w:val="center"/>
        </w:trPr>
        <w:tc>
          <w:tcPr>
            <w:tcW w:w="1080" w:type="dxa"/>
            <w:vMerge w:val="continue"/>
            <w:tcBorders>
              <w:left w:val="single" w:color="auto" w:sz="4" w:space="0"/>
              <w:right w:val="single" w:color="auto" w:sz="4" w:space="0"/>
            </w:tcBorders>
            <w:noWrap w:val="0"/>
            <w:vAlign w:val="center"/>
          </w:tcPr>
          <w:p w14:paraId="1F10D0A4">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6C95E1">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486E0293">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质量指标</w:t>
            </w:r>
          </w:p>
        </w:tc>
        <w:tc>
          <w:tcPr>
            <w:tcW w:w="1351" w:type="dxa"/>
            <w:gridSpan w:val="2"/>
            <w:tcBorders>
              <w:top w:val="nil"/>
              <w:left w:val="nil"/>
              <w:bottom w:val="single" w:color="auto" w:sz="4" w:space="0"/>
              <w:right w:val="single" w:color="auto" w:sz="4" w:space="0"/>
            </w:tcBorders>
            <w:noWrap w:val="0"/>
            <w:vAlign w:val="center"/>
          </w:tcPr>
          <w:p w14:paraId="3EAA88A2">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全年安全</w:t>
            </w:r>
            <w:r>
              <w:rPr>
                <w:rFonts w:hint="eastAsia" w:ascii="Times New Roman" w:hAnsi="Times New Roman" w:eastAsia="仿宋_GB2312" w:cs="Times New Roman"/>
                <w:color w:val="000000"/>
                <w:sz w:val="20"/>
                <w:szCs w:val="20"/>
                <w:lang w:val="en-US" w:eastAsia="zh-CN"/>
              </w:rPr>
              <w:t>0</w:t>
            </w:r>
            <w:r>
              <w:rPr>
                <w:rFonts w:hint="eastAsia" w:ascii="Times New Roman" w:hAnsi="Times New Roman" w:eastAsia="仿宋_GB2312" w:cs="Times New Roman"/>
                <w:color w:val="000000"/>
                <w:sz w:val="20"/>
                <w:szCs w:val="20"/>
                <w:lang w:eastAsia="zh-CN"/>
              </w:rPr>
              <w:t>事故</w:t>
            </w:r>
          </w:p>
        </w:tc>
        <w:tc>
          <w:tcPr>
            <w:tcW w:w="1311" w:type="dxa"/>
            <w:tcBorders>
              <w:top w:val="nil"/>
              <w:left w:val="nil"/>
              <w:bottom w:val="single" w:color="auto" w:sz="4" w:space="0"/>
              <w:right w:val="single" w:color="auto" w:sz="4" w:space="0"/>
            </w:tcBorders>
            <w:noWrap w:val="0"/>
            <w:vAlign w:val="center"/>
          </w:tcPr>
          <w:p w14:paraId="5D82B4B9">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1269" w:type="dxa"/>
            <w:tcBorders>
              <w:top w:val="nil"/>
              <w:left w:val="nil"/>
              <w:bottom w:val="single" w:color="auto" w:sz="4" w:space="0"/>
              <w:right w:val="single" w:color="auto" w:sz="4" w:space="0"/>
            </w:tcBorders>
            <w:noWrap w:val="0"/>
            <w:vAlign w:val="center"/>
          </w:tcPr>
          <w:p w14:paraId="06F61636">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0</w:t>
            </w:r>
          </w:p>
        </w:tc>
        <w:tc>
          <w:tcPr>
            <w:tcW w:w="716" w:type="dxa"/>
            <w:tcBorders>
              <w:top w:val="nil"/>
              <w:left w:val="nil"/>
              <w:bottom w:val="single" w:color="auto" w:sz="4" w:space="0"/>
              <w:right w:val="single" w:color="auto" w:sz="4" w:space="0"/>
            </w:tcBorders>
            <w:noWrap w:val="0"/>
            <w:vAlign w:val="center"/>
          </w:tcPr>
          <w:p w14:paraId="06F1FE60">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47D6DC5A">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5D77DE4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49E802B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9E6B9B0">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84AA3C5">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4E315529">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时效指标</w:t>
            </w:r>
          </w:p>
        </w:tc>
        <w:tc>
          <w:tcPr>
            <w:tcW w:w="1351" w:type="dxa"/>
            <w:gridSpan w:val="2"/>
            <w:tcBorders>
              <w:top w:val="nil"/>
              <w:left w:val="nil"/>
              <w:bottom w:val="single" w:color="auto" w:sz="4" w:space="0"/>
              <w:right w:val="single" w:color="auto" w:sz="4" w:space="0"/>
            </w:tcBorders>
            <w:noWrap w:val="0"/>
            <w:vAlign w:val="center"/>
          </w:tcPr>
          <w:p w14:paraId="0BAFC1BF">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按照教育局统一部署按时开学及放假</w:t>
            </w:r>
          </w:p>
        </w:tc>
        <w:tc>
          <w:tcPr>
            <w:tcW w:w="1311" w:type="dxa"/>
            <w:tcBorders>
              <w:top w:val="nil"/>
              <w:left w:val="nil"/>
              <w:bottom w:val="single" w:color="auto" w:sz="4" w:space="0"/>
              <w:right w:val="single" w:color="auto" w:sz="4" w:space="0"/>
            </w:tcBorders>
            <w:noWrap w:val="0"/>
            <w:vAlign w:val="center"/>
          </w:tcPr>
          <w:p w14:paraId="68013C6E">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1269" w:type="dxa"/>
            <w:tcBorders>
              <w:top w:val="nil"/>
              <w:left w:val="nil"/>
              <w:bottom w:val="single" w:color="auto" w:sz="4" w:space="0"/>
              <w:right w:val="single" w:color="auto" w:sz="4" w:space="0"/>
            </w:tcBorders>
            <w:noWrap w:val="0"/>
            <w:vAlign w:val="center"/>
          </w:tcPr>
          <w:p w14:paraId="1FD7882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准时</w:t>
            </w:r>
          </w:p>
        </w:tc>
        <w:tc>
          <w:tcPr>
            <w:tcW w:w="716" w:type="dxa"/>
            <w:tcBorders>
              <w:top w:val="nil"/>
              <w:left w:val="nil"/>
              <w:bottom w:val="single" w:color="auto" w:sz="4" w:space="0"/>
              <w:right w:val="single" w:color="auto" w:sz="4" w:space="0"/>
            </w:tcBorders>
            <w:noWrap w:val="0"/>
            <w:vAlign w:val="center"/>
          </w:tcPr>
          <w:p w14:paraId="6FB622F3">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151C4728">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77C4D6AE">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190CF857">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F7F177C">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89EB08">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15793BE8">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成本指标</w:t>
            </w:r>
          </w:p>
        </w:tc>
        <w:tc>
          <w:tcPr>
            <w:tcW w:w="1351" w:type="dxa"/>
            <w:gridSpan w:val="2"/>
            <w:tcBorders>
              <w:top w:val="nil"/>
              <w:left w:val="nil"/>
              <w:bottom w:val="single" w:color="auto" w:sz="4" w:space="0"/>
              <w:right w:val="single" w:color="auto" w:sz="4" w:space="0"/>
            </w:tcBorders>
            <w:noWrap w:val="0"/>
            <w:vAlign w:val="center"/>
          </w:tcPr>
          <w:p w14:paraId="6A51554A">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实际支出数/预算支出数*100%</w:t>
            </w:r>
          </w:p>
        </w:tc>
        <w:tc>
          <w:tcPr>
            <w:tcW w:w="1311" w:type="dxa"/>
            <w:tcBorders>
              <w:top w:val="nil"/>
              <w:left w:val="nil"/>
              <w:bottom w:val="single" w:color="auto" w:sz="4" w:space="0"/>
              <w:right w:val="single" w:color="auto" w:sz="4" w:space="0"/>
            </w:tcBorders>
            <w:noWrap w:val="0"/>
            <w:vAlign w:val="center"/>
          </w:tcPr>
          <w:p w14:paraId="39F86C14">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1269" w:type="dxa"/>
            <w:tcBorders>
              <w:top w:val="nil"/>
              <w:left w:val="nil"/>
              <w:bottom w:val="single" w:color="auto" w:sz="4" w:space="0"/>
              <w:right w:val="single" w:color="auto" w:sz="4" w:space="0"/>
            </w:tcBorders>
            <w:noWrap w:val="0"/>
            <w:vAlign w:val="center"/>
          </w:tcPr>
          <w:p w14:paraId="57A4FF69">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100%</w:t>
            </w:r>
          </w:p>
        </w:tc>
        <w:tc>
          <w:tcPr>
            <w:tcW w:w="716" w:type="dxa"/>
            <w:tcBorders>
              <w:top w:val="nil"/>
              <w:left w:val="nil"/>
              <w:bottom w:val="single" w:color="auto" w:sz="4" w:space="0"/>
              <w:right w:val="single" w:color="auto" w:sz="4" w:space="0"/>
            </w:tcBorders>
            <w:noWrap w:val="0"/>
            <w:vAlign w:val="center"/>
          </w:tcPr>
          <w:p w14:paraId="721F6FFB">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591ED6A0">
            <w:pPr>
              <w:widowControl/>
              <w:spacing w:line="240" w:lineRule="exact"/>
              <w:jc w:val="left"/>
              <w:rPr>
                <w:rFonts w:hint="eastAsia"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5</w:t>
            </w:r>
          </w:p>
        </w:tc>
        <w:tc>
          <w:tcPr>
            <w:tcW w:w="1438" w:type="dxa"/>
            <w:tcBorders>
              <w:top w:val="nil"/>
              <w:left w:val="nil"/>
              <w:bottom w:val="single" w:color="auto" w:sz="4" w:space="0"/>
              <w:right w:val="single" w:color="auto" w:sz="4" w:space="0"/>
            </w:tcBorders>
            <w:noWrap w:val="0"/>
            <w:vAlign w:val="center"/>
          </w:tcPr>
          <w:p w14:paraId="75E1E28F">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提高预算编制准确度，严格预算执行控制</w:t>
            </w:r>
          </w:p>
        </w:tc>
      </w:tr>
      <w:tr w14:paraId="7EAAC55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0DC8A77">
            <w:pPr>
              <w:spacing w:line="240" w:lineRule="exact"/>
              <w:jc w:val="left"/>
              <w:rPr>
                <w:rFonts w:ascii="Times New Roman" w:hAnsi="Times New Roman" w:eastAsia="仿宋_GB2312" w:cs="Times New Roman"/>
                <w:color w:val="000000"/>
                <w:sz w:val="20"/>
                <w:szCs w:val="20"/>
              </w:rPr>
            </w:pPr>
          </w:p>
        </w:tc>
        <w:tc>
          <w:tcPr>
            <w:tcW w:w="1080" w:type="dxa"/>
            <w:vMerge w:val="restart"/>
            <w:tcBorders>
              <w:top w:val="single" w:color="auto" w:sz="4" w:space="0"/>
              <w:left w:val="nil"/>
              <w:bottom w:val="single" w:color="auto" w:sz="4" w:space="0"/>
              <w:right w:val="single" w:color="auto" w:sz="4" w:space="0"/>
            </w:tcBorders>
            <w:noWrap w:val="0"/>
            <w:vAlign w:val="center"/>
          </w:tcPr>
          <w:p w14:paraId="5351DE44">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效益指标</w:t>
            </w:r>
          </w:p>
          <w:p w14:paraId="458A84E3">
            <w:pPr>
              <w:widowControl/>
              <w:spacing w:line="240" w:lineRule="exact"/>
              <w:jc w:val="left"/>
              <w:rPr>
                <w:rFonts w:ascii="Times New Roman" w:hAnsi="Times New Roman" w:eastAsia="仿宋_GB2312" w:cs="Times New Roman"/>
                <w:color w:val="000000"/>
                <w:sz w:val="20"/>
                <w:szCs w:val="20"/>
              </w:rPr>
            </w:pPr>
          </w:p>
          <w:p w14:paraId="48B2A7B0">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（30分）</w:t>
            </w:r>
          </w:p>
          <w:p w14:paraId="2078C01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953" w:type="dxa"/>
            <w:tcBorders>
              <w:top w:val="single" w:color="auto" w:sz="4" w:space="0"/>
              <w:left w:val="nil"/>
              <w:bottom w:val="single" w:color="auto" w:sz="4" w:space="0"/>
              <w:right w:val="single" w:color="auto" w:sz="4" w:space="0"/>
            </w:tcBorders>
            <w:noWrap w:val="0"/>
            <w:vAlign w:val="center"/>
          </w:tcPr>
          <w:p w14:paraId="7F1E45B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经济效</w:t>
            </w:r>
          </w:p>
          <w:p w14:paraId="696882FB">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12FCD145">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公办幼儿园为公益性质无经济效益指标</w:t>
            </w:r>
          </w:p>
        </w:tc>
        <w:tc>
          <w:tcPr>
            <w:tcW w:w="1311" w:type="dxa"/>
            <w:tcBorders>
              <w:top w:val="nil"/>
              <w:left w:val="nil"/>
              <w:bottom w:val="single" w:color="auto" w:sz="4" w:space="0"/>
              <w:right w:val="single" w:color="auto" w:sz="4" w:space="0"/>
            </w:tcBorders>
            <w:noWrap w:val="0"/>
            <w:vAlign w:val="center"/>
          </w:tcPr>
          <w:p w14:paraId="1FCAEC6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269" w:type="dxa"/>
            <w:tcBorders>
              <w:top w:val="nil"/>
              <w:left w:val="nil"/>
              <w:bottom w:val="single" w:color="auto" w:sz="4" w:space="0"/>
              <w:right w:val="single" w:color="auto" w:sz="4" w:space="0"/>
            </w:tcBorders>
            <w:noWrap w:val="0"/>
            <w:vAlign w:val="center"/>
          </w:tcPr>
          <w:p w14:paraId="7E90D36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716" w:type="dxa"/>
            <w:tcBorders>
              <w:top w:val="nil"/>
              <w:left w:val="nil"/>
              <w:bottom w:val="single" w:color="auto" w:sz="4" w:space="0"/>
              <w:right w:val="single" w:color="auto" w:sz="4" w:space="0"/>
            </w:tcBorders>
            <w:noWrap w:val="0"/>
            <w:vAlign w:val="center"/>
          </w:tcPr>
          <w:p w14:paraId="36F95F47">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881" w:type="dxa"/>
            <w:tcBorders>
              <w:top w:val="nil"/>
              <w:left w:val="nil"/>
              <w:bottom w:val="single" w:color="auto" w:sz="4" w:space="0"/>
              <w:right w:val="single" w:color="auto" w:sz="4" w:space="0"/>
            </w:tcBorders>
            <w:noWrap w:val="0"/>
            <w:vAlign w:val="center"/>
          </w:tcPr>
          <w:p w14:paraId="0C6B736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c>
          <w:tcPr>
            <w:tcW w:w="1438" w:type="dxa"/>
            <w:tcBorders>
              <w:top w:val="nil"/>
              <w:left w:val="nil"/>
              <w:bottom w:val="single" w:color="auto" w:sz="4" w:space="0"/>
              <w:right w:val="single" w:color="auto" w:sz="4" w:space="0"/>
            </w:tcBorders>
            <w:noWrap w:val="0"/>
            <w:vAlign w:val="center"/>
          </w:tcPr>
          <w:p w14:paraId="38B98340">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6A8AC8E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AA9E24A">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25C6DF00">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02DB7C56">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社会效</w:t>
            </w:r>
          </w:p>
          <w:p w14:paraId="1AF0290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117563B0">
            <w:pPr>
              <w:widowControl/>
              <w:spacing w:line="240" w:lineRule="exact"/>
              <w:jc w:val="cente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为市直机关单位提供优质的幼儿园服务</w:t>
            </w:r>
          </w:p>
        </w:tc>
        <w:tc>
          <w:tcPr>
            <w:tcW w:w="1311" w:type="dxa"/>
            <w:tcBorders>
              <w:top w:val="nil"/>
              <w:left w:val="nil"/>
              <w:bottom w:val="single" w:color="auto" w:sz="4" w:space="0"/>
              <w:right w:val="single" w:color="auto" w:sz="4" w:space="0"/>
            </w:tcBorders>
            <w:noWrap w:val="0"/>
            <w:vAlign w:val="center"/>
          </w:tcPr>
          <w:p w14:paraId="00E2F5C3">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2B8FA9F8">
            <w:pPr>
              <w:widowControl/>
              <w:spacing w:line="240" w:lineRule="exact"/>
              <w:jc w:val="left"/>
              <w:rPr>
                <w:rFonts w:hint="eastAsia" w:ascii="Times New Roman" w:hAnsi="Times New Roman" w:eastAsia="仿宋_GB2312" w:cs="Times New Roman"/>
                <w:color w:val="000000"/>
                <w:sz w:val="20"/>
                <w:szCs w:val="20"/>
                <w:lang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2FD39032">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684B2241">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3829EBEF">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10E494D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4642B7D">
            <w:pPr>
              <w:spacing w:line="240" w:lineRule="exact"/>
              <w:jc w:val="left"/>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490F72A1">
            <w:pPr>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nil"/>
              <w:bottom w:val="single" w:color="auto" w:sz="4" w:space="0"/>
              <w:right w:val="single" w:color="auto" w:sz="4" w:space="0"/>
            </w:tcBorders>
            <w:noWrap w:val="0"/>
            <w:vAlign w:val="center"/>
          </w:tcPr>
          <w:p w14:paraId="0BBCA72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生态效</w:t>
            </w:r>
          </w:p>
          <w:p w14:paraId="0A54EA19">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益指标</w:t>
            </w:r>
          </w:p>
        </w:tc>
        <w:tc>
          <w:tcPr>
            <w:tcW w:w="1351" w:type="dxa"/>
            <w:gridSpan w:val="2"/>
            <w:tcBorders>
              <w:top w:val="nil"/>
              <w:left w:val="nil"/>
              <w:bottom w:val="single" w:color="auto" w:sz="4" w:space="0"/>
              <w:right w:val="single" w:color="auto" w:sz="4" w:space="0"/>
            </w:tcBorders>
            <w:noWrap w:val="0"/>
            <w:vAlign w:val="center"/>
          </w:tcPr>
          <w:p w14:paraId="6A0912CC">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nil"/>
              <w:left w:val="nil"/>
              <w:bottom w:val="single" w:color="auto" w:sz="4" w:space="0"/>
              <w:right w:val="single" w:color="auto" w:sz="4" w:space="0"/>
            </w:tcBorders>
            <w:noWrap w:val="0"/>
            <w:vAlign w:val="center"/>
          </w:tcPr>
          <w:p w14:paraId="72BA218C">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090F34B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6C4C8FEC">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75531F34">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18F6A6E1">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0598BD15">
        <w:tblPrEx>
          <w:tblCellMar>
            <w:top w:w="0" w:type="dxa"/>
            <w:left w:w="108" w:type="dxa"/>
            <w:bottom w:w="0" w:type="dxa"/>
            <w:right w:w="108" w:type="dxa"/>
          </w:tblCellMar>
        </w:tblPrEx>
        <w:trPr>
          <w:trHeight w:val="290" w:hRule="atLeast"/>
          <w:jc w:val="center"/>
        </w:trPr>
        <w:tc>
          <w:tcPr>
            <w:tcW w:w="1080" w:type="dxa"/>
            <w:vMerge w:val="continue"/>
            <w:tcBorders>
              <w:left w:val="single" w:color="auto" w:sz="4" w:space="0"/>
              <w:right w:val="single" w:color="auto" w:sz="4" w:space="0"/>
            </w:tcBorders>
            <w:noWrap w:val="0"/>
            <w:vAlign w:val="center"/>
          </w:tcPr>
          <w:p w14:paraId="67FA4B69">
            <w:pPr>
              <w:widowControl/>
              <w:spacing w:line="240" w:lineRule="exact"/>
              <w:jc w:val="center"/>
              <w:rPr>
                <w:rFonts w:ascii="Times New Roman" w:hAnsi="Times New Roman" w:eastAsia="仿宋_GB2312" w:cs="Times New Roman"/>
                <w:color w:val="000000"/>
                <w:sz w:val="20"/>
                <w:szCs w:val="20"/>
              </w:rPr>
            </w:pPr>
          </w:p>
        </w:tc>
        <w:tc>
          <w:tcPr>
            <w:tcW w:w="1080" w:type="dxa"/>
            <w:vMerge w:val="continue"/>
            <w:tcBorders>
              <w:top w:val="single" w:color="auto" w:sz="4" w:space="0"/>
              <w:left w:val="nil"/>
              <w:bottom w:val="single" w:color="auto" w:sz="4" w:space="0"/>
              <w:right w:val="single" w:color="auto" w:sz="4" w:space="0"/>
            </w:tcBorders>
            <w:noWrap w:val="0"/>
            <w:vAlign w:val="center"/>
          </w:tcPr>
          <w:p w14:paraId="2E6814EA">
            <w:pPr>
              <w:widowControl/>
              <w:spacing w:line="240" w:lineRule="exact"/>
              <w:jc w:val="left"/>
              <w:rPr>
                <w:rFonts w:ascii="Times New Roman" w:hAnsi="Times New Roman" w:eastAsia="仿宋_GB2312" w:cs="Times New Roman"/>
                <w:color w:val="000000"/>
                <w:sz w:val="20"/>
                <w:szCs w:val="20"/>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134FDE6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可持续影响指标</w:t>
            </w:r>
          </w:p>
        </w:tc>
        <w:tc>
          <w:tcPr>
            <w:tcW w:w="1351" w:type="dxa"/>
            <w:gridSpan w:val="2"/>
            <w:tcBorders>
              <w:top w:val="single" w:color="auto" w:sz="4" w:space="0"/>
              <w:left w:val="single" w:color="auto" w:sz="4" w:space="0"/>
              <w:bottom w:val="single" w:color="auto" w:sz="4" w:space="0"/>
              <w:right w:val="single" w:color="auto" w:sz="4" w:space="0"/>
            </w:tcBorders>
            <w:noWrap w:val="0"/>
            <w:vAlign w:val="center"/>
          </w:tcPr>
          <w:p w14:paraId="04634E0F">
            <w:pPr>
              <w:widowControl/>
              <w:spacing w:line="240" w:lineRule="exact"/>
              <w:jc w:val="center"/>
              <w:rPr>
                <w:rFonts w:ascii="Times New Roman" w:hAnsi="Times New Roman" w:eastAsia="仿宋_GB2312" w:cs="Times New Roman"/>
                <w:color w:val="000000"/>
                <w:sz w:val="20"/>
                <w:szCs w:val="20"/>
                <w:lang w:val="en-US" w:eastAsia="zh-CN" w:bidi="ar-SA"/>
              </w:rPr>
            </w:pPr>
            <w:r>
              <w:rPr>
                <w:rFonts w:hint="eastAsia" w:ascii="Times New Roman" w:hAnsi="Times New Roman" w:eastAsia="仿宋_GB2312" w:cs="Times New Roman"/>
                <w:color w:val="000000"/>
                <w:sz w:val="20"/>
                <w:szCs w:val="20"/>
                <w:lang w:eastAsia="zh-CN"/>
              </w:rPr>
              <w:t>提供幼儿舒适的学习生活环境</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CE678D1">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FA2FE39">
            <w:pPr>
              <w:widowControl/>
              <w:spacing w:line="240" w:lineRule="exact"/>
              <w:jc w:val="left"/>
              <w:rPr>
                <w:rFonts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4C31506">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single" w:color="auto" w:sz="4" w:space="0"/>
              <w:left w:val="single" w:color="auto" w:sz="4" w:space="0"/>
              <w:bottom w:val="single" w:color="auto" w:sz="4" w:space="0"/>
              <w:right w:val="single" w:color="auto" w:sz="4" w:space="0"/>
            </w:tcBorders>
            <w:noWrap w:val="0"/>
            <w:vAlign w:val="center"/>
          </w:tcPr>
          <w:p w14:paraId="58CF7161">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single" w:color="auto" w:sz="4" w:space="0"/>
              <w:left w:val="single" w:color="auto" w:sz="4" w:space="0"/>
              <w:bottom w:val="single" w:color="auto" w:sz="4" w:space="0"/>
              <w:right w:val="single" w:color="auto" w:sz="4" w:space="0"/>
            </w:tcBorders>
            <w:noWrap w:val="0"/>
            <w:vAlign w:val="center"/>
          </w:tcPr>
          <w:p w14:paraId="39656F32">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5426E165">
        <w:tblPrEx>
          <w:tblCellMar>
            <w:top w:w="0" w:type="dxa"/>
            <w:left w:w="108" w:type="dxa"/>
            <w:bottom w:w="0" w:type="dxa"/>
            <w:right w:w="108" w:type="dxa"/>
          </w:tblCellMar>
        </w:tblPrEx>
        <w:trPr>
          <w:trHeight w:val="330" w:hRule="atLeast"/>
          <w:jc w:val="center"/>
        </w:trPr>
        <w:tc>
          <w:tcPr>
            <w:tcW w:w="1080" w:type="dxa"/>
            <w:vMerge w:val="continue"/>
            <w:tcBorders>
              <w:left w:val="single" w:color="auto" w:sz="4" w:space="0"/>
              <w:right w:val="single" w:color="auto" w:sz="4" w:space="0"/>
            </w:tcBorders>
            <w:noWrap w:val="0"/>
            <w:vAlign w:val="center"/>
          </w:tcPr>
          <w:p w14:paraId="7C09B45A">
            <w:pPr>
              <w:spacing w:line="240" w:lineRule="exact"/>
              <w:jc w:val="left"/>
              <w:rPr>
                <w:rFonts w:ascii="Times New Roman" w:hAnsi="Times New Roman" w:eastAsia="仿宋_GB2312" w:cs="Times New Roman"/>
                <w:color w:val="000000"/>
                <w:sz w:val="20"/>
                <w:szCs w:val="20"/>
              </w:rPr>
            </w:pPr>
          </w:p>
        </w:tc>
        <w:tc>
          <w:tcPr>
            <w:tcW w:w="1080" w:type="dxa"/>
            <w:tcBorders>
              <w:top w:val="single" w:color="auto" w:sz="4" w:space="0"/>
              <w:left w:val="nil"/>
              <w:bottom w:val="single" w:color="auto" w:sz="4" w:space="0"/>
              <w:right w:val="single" w:color="auto" w:sz="4" w:space="0"/>
            </w:tcBorders>
            <w:noWrap w:val="0"/>
            <w:vAlign w:val="center"/>
          </w:tcPr>
          <w:p w14:paraId="78792A2A">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满意度</w:t>
            </w:r>
          </w:p>
          <w:p w14:paraId="256F0CE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指标</w:t>
            </w:r>
          </w:p>
          <w:p w14:paraId="6741141E">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（10分）</w:t>
            </w:r>
          </w:p>
        </w:tc>
        <w:tc>
          <w:tcPr>
            <w:tcW w:w="953" w:type="dxa"/>
            <w:tcBorders>
              <w:top w:val="single" w:color="auto" w:sz="4" w:space="0"/>
              <w:left w:val="nil"/>
              <w:bottom w:val="single" w:color="auto" w:sz="4" w:space="0"/>
              <w:right w:val="single" w:color="auto" w:sz="4" w:space="0"/>
            </w:tcBorders>
            <w:noWrap w:val="0"/>
            <w:vAlign w:val="center"/>
          </w:tcPr>
          <w:p w14:paraId="4E961059">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服务对象满意度指标</w:t>
            </w:r>
          </w:p>
        </w:tc>
        <w:tc>
          <w:tcPr>
            <w:tcW w:w="1351" w:type="dxa"/>
            <w:gridSpan w:val="2"/>
            <w:tcBorders>
              <w:top w:val="nil"/>
              <w:left w:val="nil"/>
              <w:bottom w:val="single" w:color="auto" w:sz="4" w:space="0"/>
              <w:right w:val="single" w:color="auto" w:sz="4" w:space="0"/>
            </w:tcBorders>
            <w:noWrap w:val="0"/>
            <w:vAlign w:val="center"/>
          </w:tcPr>
          <w:p w14:paraId="3738CA08">
            <w:pPr>
              <w:widowControl/>
              <w:spacing w:line="240" w:lineRule="exact"/>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家长对幼儿园满意度</w:t>
            </w:r>
          </w:p>
        </w:tc>
        <w:tc>
          <w:tcPr>
            <w:tcW w:w="1311" w:type="dxa"/>
            <w:tcBorders>
              <w:top w:val="nil"/>
              <w:left w:val="nil"/>
              <w:bottom w:val="single" w:color="auto" w:sz="4" w:space="0"/>
              <w:right w:val="single" w:color="auto" w:sz="4" w:space="0"/>
            </w:tcBorders>
            <w:noWrap w:val="0"/>
            <w:vAlign w:val="center"/>
          </w:tcPr>
          <w:p w14:paraId="177D80A9">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1269" w:type="dxa"/>
            <w:tcBorders>
              <w:top w:val="nil"/>
              <w:left w:val="nil"/>
              <w:bottom w:val="single" w:color="auto" w:sz="4" w:space="0"/>
              <w:right w:val="single" w:color="auto" w:sz="4" w:space="0"/>
            </w:tcBorders>
            <w:noWrap w:val="0"/>
            <w:vAlign w:val="center"/>
          </w:tcPr>
          <w:p w14:paraId="2DC34E70">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满意</w:t>
            </w:r>
          </w:p>
        </w:tc>
        <w:tc>
          <w:tcPr>
            <w:tcW w:w="716" w:type="dxa"/>
            <w:tcBorders>
              <w:top w:val="nil"/>
              <w:left w:val="nil"/>
              <w:bottom w:val="single" w:color="auto" w:sz="4" w:space="0"/>
              <w:right w:val="single" w:color="auto" w:sz="4" w:space="0"/>
            </w:tcBorders>
            <w:noWrap w:val="0"/>
            <w:vAlign w:val="center"/>
          </w:tcPr>
          <w:p w14:paraId="59241EE3">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881" w:type="dxa"/>
            <w:tcBorders>
              <w:top w:val="nil"/>
              <w:left w:val="nil"/>
              <w:bottom w:val="single" w:color="auto" w:sz="4" w:space="0"/>
              <w:right w:val="single" w:color="auto" w:sz="4" w:space="0"/>
            </w:tcBorders>
            <w:noWrap w:val="0"/>
            <w:vAlign w:val="center"/>
          </w:tcPr>
          <w:p w14:paraId="4E5C3C18">
            <w:pPr>
              <w:widowControl/>
              <w:spacing w:line="240" w:lineRule="exact"/>
              <w:jc w:val="left"/>
              <w:rPr>
                <w:rFonts w:hint="default" w:ascii="Times New Roman" w:hAnsi="Times New Roman" w:eastAsia="仿宋_GB2312" w:cs="Times New Roman"/>
                <w:color w:val="000000"/>
                <w:sz w:val="20"/>
                <w:szCs w:val="20"/>
                <w:lang w:val="en-US" w:eastAsia="zh-CN" w:bidi="ar-SA"/>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10</w:t>
            </w:r>
          </w:p>
        </w:tc>
        <w:tc>
          <w:tcPr>
            <w:tcW w:w="1438" w:type="dxa"/>
            <w:tcBorders>
              <w:top w:val="nil"/>
              <w:left w:val="nil"/>
              <w:bottom w:val="single" w:color="auto" w:sz="4" w:space="0"/>
              <w:right w:val="single" w:color="auto" w:sz="4" w:space="0"/>
            </w:tcBorders>
            <w:noWrap w:val="0"/>
            <w:vAlign w:val="center"/>
          </w:tcPr>
          <w:p w14:paraId="01777220">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r w14:paraId="7431E64F">
        <w:tblPrEx>
          <w:tblCellMar>
            <w:top w:w="0" w:type="dxa"/>
            <w:left w:w="108" w:type="dxa"/>
            <w:bottom w:w="0" w:type="dxa"/>
            <w:right w:w="108" w:type="dxa"/>
          </w:tblCellMar>
        </w:tblPrEx>
        <w:trPr>
          <w:trHeight w:val="270" w:hRule="atLeast"/>
          <w:jc w:val="center"/>
        </w:trPr>
        <w:tc>
          <w:tcPr>
            <w:tcW w:w="7044" w:type="dxa"/>
            <w:gridSpan w:val="7"/>
            <w:tcBorders>
              <w:top w:val="single" w:color="auto" w:sz="4" w:space="0"/>
              <w:left w:val="single" w:color="auto" w:sz="4" w:space="0"/>
              <w:bottom w:val="single" w:color="auto" w:sz="4" w:space="0"/>
              <w:right w:val="single" w:color="000000" w:sz="4" w:space="0"/>
            </w:tcBorders>
            <w:noWrap w:val="0"/>
            <w:vAlign w:val="center"/>
          </w:tcPr>
          <w:p w14:paraId="3429A512">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总分</w:t>
            </w:r>
          </w:p>
        </w:tc>
        <w:tc>
          <w:tcPr>
            <w:tcW w:w="716" w:type="dxa"/>
            <w:tcBorders>
              <w:top w:val="nil"/>
              <w:left w:val="nil"/>
              <w:bottom w:val="single" w:color="auto" w:sz="4" w:space="0"/>
              <w:right w:val="single" w:color="auto" w:sz="4" w:space="0"/>
            </w:tcBorders>
            <w:noWrap w:val="0"/>
            <w:vAlign w:val="center"/>
          </w:tcPr>
          <w:p w14:paraId="48323CEF">
            <w:pPr>
              <w:widowControl/>
              <w:spacing w:line="240" w:lineRule="exact"/>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100</w:t>
            </w:r>
          </w:p>
        </w:tc>
        <w:tc>
          <w:tcPr>
            <w:tcW w:w="881" w:type="dxa"/>
            <w:tcBorders>
              <w:top w:val="nil"/>
              <w:left w:val="nil"/>
              <w:bottom w:val="single" w:color="auto" w:sz="4" w:space="0"/>
              <w:right w:val="single" w:color="auto" w:sz="4" w:space="0"/>
            </w:tcBorders>
            <w:noWrap w:val="0"/>
            <w:vAlign w:val="center"/>
          </w:tcPr>
          <w:p w14:paraId="17181C2A">
            <w:pPr>
              <w:widowControl/>
              <w:spacing w:line="240" w:lineRule="exact"/>
              <w:jc w:val="left"/>
              <w:rPr>
                <w:rFonts w:hint="default" w:ascii="Times New Roman" w:hAnsi="Times New Roman" w:eastAsia="仿宋_GB2312" w:cs="Times New Roman"/>
                <w:color w:val="000000"/>
                <w:sz w:val="20"/>
                <w:szCs w:val="20"/>
                <w:lang w:val="en-US" w:eastAsia="zh-CN"/>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95</w:t>
            </w:r>
          </w:p>
        </w:tc>
        <w:tc>
          <w:tcPr>
            <w:tcW w:w="1438" w:type="dxa"/>
            <w:tcBorders>
              <w:top w:val="nil"/>
              <w:left w:val="nil"/>
              <w:bottom w:val="single" w:color="auto" w:sz="4" w:space="0"/>
              <w:right w:val="single" w:color="auto" w:sz="4" w:space="0"/>
            </w:tcBorders>
            <w:noWrap w:val="0"/>
            <w:vAlign w:val="center"/>
          </w:tcPr>
          <w:p w14:paraId="75865853">
            <w:pPr>
              <w:widowControl/>
              <w:spacing w:line="240" w:lineRule="exact"/>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w:t>
            </w:r>
          </w:p>
        </w:tc>
      </w:tr>
    </w:tbl>
    <w:p w14:paraId="4D76570B">
      <w:pPr>
        <w:rPr>
          <w:rFonts w:hint="eastAsia" w:eastAsia="仿宋_GB2312"/>
          <w:lang w:eastAsia="zh-CN"/>
        </w:rPr>
      </w:pPr>
      <w:r>
        <w:rPr>
          <w:rFonts w:ascii="Times New Roman" w:hAnsi="Times New Roman" w:eastAsia="仿宋_GB2312" w:cs="Times New Roman"/>
          <w:sz w:val="22"/>
          <w:szCs w:val="22"/>
        </w:rPr>
        <w:t>填表人：</w:t>
      </w:r>
      <w:r>
        <w:rPr>
          <w:rFonts w:hint="eastAsia" w:ascii="Times New Roman" w:hAnsi="Times New Roman" w:eastAsia="仿宋_GB2312" w:cs="Times New Roman"/>
          <w:sz w:val="22"/>
          <w:lang w:eastAsia="zh-CN"/>
        </w:rPr>
        <w:t>向浩华</w:t>
      </w:r>
      <w:r>
        <w:rPr>
          <w:rFonts w:ascii="Times New Roman" w:hAnsi="Times New Roman" w:eastAsia="仿宋_GB2312" w:cs="Times New Roman"/>
          <w:sz w:val="22"/>
          <w:szCs w:val="22"/>
        </w:rPr>
        <w:t xml:space="preserve"> 填报日期：</w:t>
      </w:r>
      <w:r>
        <w:rPr>
          <w:rFonts w:hint="eastAsia" w:ascii="Times New Roman" w:hAnsi="Times New Roman" w:eastAsia="仿宋_GB2312" w:cs="Times New Roman"/>
          <w:sz w:val="22"/>
          <w:lang w:val="en-US" w:eastAsia="zh-CN"/>
        </w:rPr>
        <w:t>2023.7.15</w:t>
      </w:r>
      <w:r>
        <w:rPr>
          <w:rFonts w:ascii="Times New Roman" w:hAnsi="Times New Roman" w:eastAsia="仿宋_GB2312" w:cs="Times New Roman"/>
          <w:sz w:val="22"/>
          <w:szCs w:val="22"/>
        </w:rPr>
        <w:t xml:space="preserve">  联系电话：</w:t>
      </w:r>
      <w:r>
        <w:rPr>
          <w:rFonts w:hint="eastAsia" w:ascii="Times New Roman" w:hAnsi="Times New Roman" w:eastAsia="仿宋_GB2312" w:cs="Times New Roman"/>
          <w:sz w:val="22"/>
          <w:lang w:val="en-US" w:eastAsia="zh-CN"/>
        </w:rPr>
        <w:t>18074558989</w:t>
      </w:r>
      <w:r>
        <w:rPr>
          <w:rFonts w:ascii="Times New Roman" w:hAnsi="Times New Roman" w:eastAsia="仿宋_GB2312" w:cs="Times New Roman"/>
          <w:sz w:val="22"/>
          <w:szCs w:val="22"/>
        </w:rPr>
        <w:t xml:space="preserve">  单位负责人签字：</w:t>
      </w:r>
      <w:r>
        <w:rPr>
          <w:rFonts w:hint="eastAsia" w:ascii="Times New Roman" w:hAnsi="Times New Roman" w:eastAsia="仿宋_GB2312" w:cs="Times New Roman"/>
          <w:sz w:val="22"/>
          <w:szCs w:val="22"/>
          <w:lang w:eastAsia="zh-CN"/>
        </w:rPr>
        <w:t>唐华华</w:t>
      </w:r>
    </w:p>
    <w:p w14:paraId="49834E92">
      <w:pPr>
        <w:ind w:firstLine="646"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paperSrc/>
      <w:cols w:space="0" w:num="1"/>
      <w:rtlGutter w:val="0"/>
      <w:docGrid w:type="linesAndChars" w:linePitch="317" w:charSpace="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3243D67E-D8B4-4B34-A3DB-CB3ED1F668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embedRegular r:id="rId2" w:fontKey="{B51462A9-BE0E-43CA-BFF2-37A029F434BD}"/>
  </w:font>
  <w:font w:name="仿宋_GB2312">
    <w:panose1 w:val="02010609030101010101"/>
    <w:charset w:val="86"/>
    <w:family w:val="modern"/>
    <w:pitch w:val="default"/>
    <w:sig w:usb0="00000001" w:usb1="080E0000" w:usb2="00000000" w:usb3="00000000" w:csb0="00040000" w:csb1="00000000"/>
    <w:embedRegular r:id="rId3" w:fontKey="{3925D5A2-69D0-4137-9EF7-A78D9D162EFB}"/>
  </w:font>
  <w:font w:name="仿宋">
    <w:panose1 w:val="02010609060101010101"/>
    <w:charset w:val="86"/>
    <w:family w:val="auto"/>
    <w:pitch w:val="default"/>
    <w:sig w:usb0="800002BF" w:usb1="38CF7CFA" w:usb2="00000016" w:usb3="00000000" w:csb0="00040001" w:csb1="00000000"/>
    <w:embedRegular r:id="rId4" w:fontKey="{269BA7CC-4C49-482A-B04D-C526A01FD1AB}"/>
  </w:font>
  <w:font w:name="方正仿宋_GB2312">
    <w:altName w:val="仿宋"/>
    <w:panose1 w:val="02000000000000000000"/>
    <w:charset w:val="86"/>
    <w:family w:val="auto"/>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embedRegular r:id="rId5" w:fontKey="{908EF438-94EA-40F7-8779-7D192BE29A2F}"/>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embedTrueTypeFonts/>
  <w:saveSubsetFonts/>
  <w:bordersDoNotSurroundHeader w:val="0"/>
  <w:bordersDoNotSurroundFooter w:val="0"/>
  <w:documentProtection w:enforcement="0"/>
  <w:defaultTabStop w:val="420"/>
  <w:drawingGridHorizontalSpacing w:val="107"/>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lODllYjdlYjE2YWZmYmYzYmU3ZWZmOGNiNmI4ZGEifQ=="/>
  </w:docVars>
  <w:rsids>
    <w:rsidRoot w:val="004506F9"/>
    <w:rsid w:val="0002229B"/>
    <w:rsid w:val="00024CB6"/>
    <w:rsid w:val="000273BD"/>
    <w:rsid w:val="00034F8B"/>
    <w:rsid w:val="000415B7"/>
    <w:rsid w:val="00047DF6"/>
    <w:rsid w:val="00063B59"/>
    <w:rsid w:val="000658A3"/>
    <w:rsid w:val="00072199"/>
    <w:rsid w:val="00074155"/>
    <w:rsid w:val="0008240F"/>
    <w:rsid w:val="000A3F69"/>
    <w:rsid w:val="000A4E93"/>
    <w:rsid w:val="000A57FB"/>
    <w:rsid w:val="000A7C35"/>
    <w:rsid w:val="000B3BE1"/>
    <w:rsid w:val="000B6F01"/>
    <w:rsid w:val="000C1C35"/>
    <w:rsid w:val="001346F8"/>
    <w:rsid w:val="00137463"/>
    <w:rsid w:val="00152C6D"/>
    <w:rsid w:val="001530A6"/>
    <w:rsid w:val="00154491"/>
    <w:rsid w:val="00157BB7"/>
    <w:rsid w:val="00162D39"/>
    <w:rsid w:val="00171CD8"/>
    <w:rsid w:val="00175D99"/>
    <w:rsid w:val="0018278A"/>
    <w:rsid w:val="00184FC2"/>
    <w:rsid w:val="00196D00"/>
    <w:rsid w:val="001A67DB"/>
    <w:rsid w:val="001B5FF8"/>
    <w:rsid w:val="001C6CE7"/>
    <w:rsid w:val="001D31E9"/>
    <w:rsid w:val="001D51E5"/>
    <w:rsid w:val="001E5B7A"/>
    <w:rsid w:val="001F0C3B"/>
    <w:rsid w:val="001F0D4A"/>
    <w:rsid w:val="00204367"/>
    <w:rsid w:val="00205231"/>
    <w:rsid w:val="0020556F"/>
    <w:rsid w:val="00213A27"/>
    <w:rsid w:val="00214427"/>
    <w:rsid w:val="00233BB4"/>
    <w:rsid w:val="0024264C"/>
    <w:rsid w:val="0024420A"/>
    <w:rsid w:val="00252149"/>
    <w:rsid w:val="00254774"/>
    <w:rsid w:val="002622BE"/>
    <w:rsid w:val="0026441B"/>
    <w:rsid w:val="0026474C"/>
    <w:rsid w:val="00265724"/>
    <w:rsid w:val="0027426B"/>
    <w:rsid w:val="0027483F"/>
    <w:rsid w:val="00297328"/>
    <w:rsid w:val="002A221C"/>
    <w:rsid w:val="002E6C7C"/>
    <w:rsid w:val="003000D9"/>
    <w:rsid w:val="00311D18"/>
    <w:rsid w:val="0031506E"/>
    <w:rsid w:val="00326780"/>
    <w:rsid w:val="0033466F"/>
    <w:rsid w:val="00337B12"/>
    <w:rsid w:val="003479BD"/>
    <w:rsid w:val="003652EB"/>
    <w:rsid w:val="00375FA4"/>
    <w:rsid w:val="003768D5"/>
    <w:rsid w:val="003A1245"/>
    <w:rsid w:val="003B00B7"/>
    <w:rsid w:val="003B0B60"/>
    <w:rsid w:val="003B77DD"/>
    <w:rsid w:val="003D4F64"/>
    <w:rsid w:val="0042519C"/>
    <w:rsid w:val="00431318"/>
    <w:rsid w:val="004320A1"/>
    <w:rsid w:val="00444E68"/>
    <w:rsid w:val="004506F9"/>
    <w:rsid w:val="004533D1"/>
    <w:rsid w:val="004717A2"/>
    <w:rsid w:val="0047312D"/>
    <w:rsid w:val="00491741"/>
    <w:rsid w:val="004A518F"/>
    <w:rsid w:val="004A78D6"/>
    <w:rsid w:val="004D2E9E"/>
    <w:rsid w:val="004E1056"/>
    <w:rsid w:val="00500E5F"/>
    <w:rsid w:val="005122EF"/>
    <w:rsid w:val="00517C33"/>
    <w:rsid w:val="00523644"/>
    <w:rsid w:val="0054069E"/>
    <w:rsid w:val="00551F1A"/>
    <w:rsid w:val="00553CB3"/>
    <w:rsid w:val="0056101B"/>
    <w:rsid w:val="005767CC"/>
    <w:rsid w:val="00590D9F"/>
    <w:rsid w:val="00594E2D"/>
    <w:rsid w:val="00595D26"/>
    <w:rsid w:val="005A02C1"/>
    <w:rsid w:val="005A74E6"/>
    <w:rsid w:val="005D2B19"/>
    <w:rsid w:val="005D4D55"/>
    <w:rsid w:val="005E2CFB"/>
    <w:rsid w:val="005E3DEC"/>
    <w:rsid w:val="006152C5"/>
    <w:rsid w:val="0062378F"/>
    <w:rsid w:val="00626909"/>
    <w:rsid w:val="006321C0"/>
    <w:rsid w:val="00642C13"/>
    <w:rsid w:val="00651EEC"/>
    <w:rsid w:val="00695534"/>
    <w:rsid w:val="006A1560"/>
    <w:rsid w:val="006A351B"/>
    <w:rsid w:val="006A6988"/>
    <w:rsid w:val="006B0422"/>
    <w:rsid w:val="006C1B53"/>
    <w:rsid w:val="006C4EB9"/>
    <w:rsid w:val="006D7730"/>
    <w:rsid w:val="006E5284"/>
    <w:rsid w:val="006F083B"/>
    <w:rsid w:val="006F3EB5"/>
    <w:rsid w:val="006F5EA0"/>
    <w:rsid w:val="00702E34"/>
    <w:rsid w:val="00704395"/>
    <w:rsid w:val="007045AD"/>
    <w:rsid w:val="007157AE"/>
    <w:rsid w:val="00720FF1"/>
    <w:rsid w:val="00756D51"/>
    <w:rsid w:val="00762ED3"/>
    <w:rsid w:val="007A1549"/>
    <w:rsid w:val="007E190A"/>
    <w:rsid w:val="007E40FB"/>
    <w:rsid w:val="00812ED5"/>
    <w:rsid w:val="008277D9"/>
    <w:rsid w:val="008349B1"/>
    <w:rsid w:val="00845B2D"/>
    <w:rsid w:val="00853CB4"/>
    <w:rsid w:val="008A3E8D"/>
    <w:rsid w:val="008C0633"/>
    <w:rsid w:val="008C0BF4"/>
    <w:rsid w:val="008D0332"/>
    <w:rsid w:val="008E0E80"/>
    <w:rsid w:val="0091131F"/>
    <w:rsid w:val="0091556E"/>
    <w:rsid w:val="00917684"/>
    <w:rsid w:val="009237C4"/>
    <w:rsid w:val="009278A7"/>
    <w:rsid w:val="00935434"/>
    <w:rsid w:val="00950252"/>
    <w:rsid w:val="009527EE"/>
    <w:rsid w:val="009555B1"/>
    <w:rsid w:val="00967F5D"/>
    <w:rsid w:val="00973404"/>
    <w:rsid w:val="00992115"/>
    <w:rsid w:val="009A0F95"/>
    <w:rsid w:val="009B3ADF"/>
    <w:rsid w:val="009B606B"/>
    <w:rsid w:val="009C3B52"/>
    <w:rsid w:val="009D786B"/>
    <w:rsid w:val="00A01D6B"/>
    <w:rsid w:val="00A12272"/>
    <w:rsid w:val="00A335EC"/>
    <w:rsid w:val="00A3727C"/>
    <w:rsid w:val="00A42218"/>
    <w:rsid w:val="00A55D9A"/>
    <w:rsid w:val="00A70249"/>
    <w:rsid w:val="00A72A8D"/>
    <w:rsid w:val="00A81667"/>
    <w:rsid w:val="00AA0071"/>
    <w:rsid w:val="00AC1965"/>
    <w:rsid w:val="00AC421F"/>
    <w:rsid w:val="00AE3992"/>
    <w:rsid w:val="00B21FC9"/>
    <w:rsid w:val="00B33BEA"/>
    <w:rsid w:val="00B33D98"/>
    <w:rsid w:val="00B4700D"/>
    <w:rsid w:val="00B57C9F"/>
    <w:rsid w:val="00B6250E"/>
    <w:rsid w:val="00B65F28"/>
    <w:rsid w:val="00B67D62"/>
    <w:rsid w:val="00B74C95"/>
    <w:rsid w:val="00B845B3"/>
    <w:rsid w:val="00B85D8B"/>
    <w:rsid w:val="00B865F5"/>
    <w:rsid w:val="00B96715"/>
    <w:rsid w:val="00BD09C8"/>
    <w:rsid w:val="00BE3674"/>
    <w:rsid w:val="00C27B79"/>
    <w:rsid w:val="00C3049A"/>
    <w:rsid w:val="00C31B1E"/>
    <w:rsid w:val="00C55F04"/>
    <w:rsid w:val="00C77645"/>
    <w:rsid w:val="00C817FC"/>
    <w:rsid w:val="00CA03F5"/>
    <w:rsid w:val="00CC32C6"/>
    <w:rsid w:val="00CE04C3"/>
    <w:rsid w:val="00CE6EC8"/>
    <w:rsid w:val="00CE76A0"/>
    <w:rsid w:val="00CF559C"/>
    <w:rsid w:val="00D05437"/>
    <w:rsid w:val="00D148C6"/>
    <w:rsid w:val="00D43967"/>
    <w:rsid w:val="00D44AFC"/>
    <w:rsid w:val="00D4669B"/>
    <w:rsid w:val="00D746F0"/>
    <w:rsid w:val="00D91AA4"/>
    <w:rsid w:val="00DD06FF"/>
    <w:rsid w:val="00DD2B13"/>
    <w:rsid w:val="00DD5FE9"/>
    <w:rsid w:val="00DD738F"/>
    <w:rsid w:val="00DF5960"/>
    <w:rsid w:val="00E00C7A"/>
    <w:rsid w:val="00E15CAD"/>
    <w:rsid w:val="00E17126"/>
    <w:rsid w:val="00E27285"/>
    <w:rsid w:val="00E3204C"/>
    <w:rsid w:val="00E4646A"/>
    <w:rsid w:val="00E55B68"/>
    <w:rsid w:val="00E57EE2"/>
    <w:rsid w:val="00E64454"/>
    <w:rsid w:val="00E70857"/>
    <w:rsid w:val="00E7262A"/>
    <w:rsid w:val="00E75674"/>
    <w:rsid w:val="00E833FC"/>
    <w:rsid w:val="00EA4995"/>
    <w:rsid w:val="00EC5448"/>
    <w:rsid w:val="00EE763C"/>
    <w:rsid w:val="00EF1A5C"/>
    <w:rsid w:val="00F14FFF"/>
    <w:rsid w:val="00F5036D"/>
    <w:rsid w:val="00F61BC7"/>
    <w:rsid w:val="00F65C9D"/>
    <w:rsid w:val="00F724FA"/>
    <w:rsid w:val="00F74360"/>
    <w:rsid w:val="00FA5D5A"/>
    <w:rsid w:val="00FB462F"/>
    <w:rsid w:val="00FC3E35"/>
    <w:rsid w:val="00FE16FA"/>
    <w:rsid w:val="00FE328A"/>
    <w:rsid w:val="00FF4D94"/>
    <w:rsid w:val="00FF57E7"/>
    <w:rsid w:val="01197FD8"/>
    <w:rsid w:val="0216281D"/>
    <w:rsid w:val="05DE2976"/>
    <w:rsid w:val="08354E1D"/>
    <w:rsid w:val="08443F00"/>
    <w:rsid w:val="0B2B7AF9"/>
    <w:rsid w:val="0C3E18BB"/>
    <w:rsid w:val="0E236E8B"/>
    <w:rsid w:val="109C2465"/>
    <w:rsid w:val="15C9608E"/>
    <w:rsid w:val="16583AD2"/>
    <w:rsid w:val="17284F4E"/>
    <w:rsid w:val="18CD697F"/>
    <w:rsid w:val="1E002731"/>
    <w:rsid w:val="1EE66043"/>
    <w:rsid w:val="209E4495"/>
    <w:rsid w:val="210400AB"/>
    <w:rsid w:val="220F48E4"/>
    <w:rsid w:val="24E20CE6"/>
    <w:rsid w:val="26BE363C"/>
    <w:rsid w:val="28420576"/>
    <w:rsid w:val="297665B1"/>
    <w:rsid w:val="2CDD64C4"/>
    <w:rsid w:val="2CFE0EFF"/>
    <w:rsid w:val="2D776454"/>
    <w:rsid w:val="2F0E2D4D"/>
    <w:rsid w:val="32281C2E"/>
    <w:rsid w:val="32C47B2D"/>
    <w:rsid w:val="34562CDC"/>
    <w:rsid w:val="34A2691C"/>
    <w:rsid w:val="35345E9F"/>
    <w:rsid w:val="356A3CE3"/>
    <w:rsid w:val="38A76C8C"/>
    <w:rsid w:val="3A3C67FB"/>
    <w:rsid w:val="3A72247D"/>
    <w:rsid w:val="3C1C5E3E"/>
    <w:rsid w:val="3D346110"/>
    <w:rsid w:val="3EFD6405"/>
    <w:rsid w:val="402363AA"/>
    <w:rsid w:val="40CC7E49"/>
    <w:rsid w:val="441B7BDF"/>
    <w:rsid w:val="453F20F9"/>
    <w:rsid w:val="47174AD8"/>
    <w:rsid w:val="4A8C4EB0"/>
    <w:rsid w:val="4AAB4561"/>
    <w:rsid w:val="4AD35694"/>
    <w:rsid w:val="4AE86DE3"/>
    <w:rsid w:val="4C1C5F2C"/>
    <w:rsid w:val="4D602609"/>
    <w:rsid w:val="4DD54DA5"/>
    <w:rsid w:val="502634E0"/>
    <w:rsid w:val="519108A5"/>
    <w:rsid w:val="533F2EA3"/>
    <w:rsid w:val="543409E5"/>
    <w:rsid w:val="556F788D"/>
    <w:rsid w:val="559A7839"/>
    <w:rsid w:val="5AFB41BA"/>
    <w:rsid w:val="5F70492E"/>
    <w:rsid w:val="5F9371E0"/>
    <w:rsid w:val="627526B6"/>
    <w:rsid w:val="63D4270A"/>
    <w:rsid w:val="661C3134"/>
    <w:rsid w:val="662F58D0"/>
    <w:rsid w:val="67064D50"/>
    <w:rsid w:val="686B33C5"/>
    <w:rsid w:val="696D1EDE"/>
    <w:rsid w:val="6970320D"/>
    <w:rsid w:val="6C637DE8"/>
    <w:rsid w:val="6EDF387E"/>
    <w:rsid w:val="6F062BB9"/>
    <w:rsid w:val="73DC608A"/>
    <w:rsid w:val="75456D79"/>
    <w:rsid w:val="75F669BB"/>
    <w:rsid w:val="76970762"/>
    <w:rsid w:val="796C0DB6"/>
    <w:rsid w:val="79F27C8B"/>
    <w:rsid w:val="7B767595"/>
    <w:rsid w:val="7C901792"/>
    <w:rsid w:val="7C9E5F7D"/>
    <w:rsid w:val="7CDA1AC5"/>
    <w:rsid w:val="7D3732E0"/>
    <w:rsid w:val="7D424D1B"/>
    <w:rsid w:val="7D953FC4"/>
    <w:rsid w:val="7DF562A7"/>
    <w:rsid w:val="7E5C419C"/>
    <w:rsid w:val="7E7B3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4EE2E-87A9-4A3A-A3F1-E85D0991B1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10005</Words>
  <Characters>10868</Characters>
  <Lines>58</Lines>
  <Paragraphs>16</Paragraphs>
  <TotalTime>0</TotalTime>
  <ScaleCrop>false</ScaleCrop>
  <LinksUpToDate>false</LinksUpToDate>
  <CharactersWithSpaces>11552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天天广告图文锦溪北路</cp:lastModifiedBy>
  <cp:lastPrinted>2020-07-15T07:25:00Z</cp:lastPrinted>
  <dcterms:modified xsi:type="dcterms:W3CDTF">2024-10-16T06:44:14Z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A4243114A37E4142B6DABC8D4BCE6B12_13</vt:lpwstr>
  </property>
</Properties>
</file>