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4B0E58">
      <w:pPr>
        <w:pStyle w:val="10"/>
        <w:jc w:val="center"/>
        <w:rPr>
          <w:sz w:val="56"/>
          <w:szCs w:val="56"/>
          <w:highlight w:val="none"/>
        </w:rPr>
      </w:pPr>
    </w:p>
    <w:p w14:paraId="5EE13AC7">
      <w:pPr>
        <w:pStyle w:val="10"/>
        <w:jc w:val="center"/>
        <w:rPr>
          <w:sz w:val="56"/>
          <w:szCs w:val="56"/>
          <w:highlight w:val="none"/>
        </w:rPr>
      </w:pPr>
    </w:p>
    <w:p w14:paraId="41279AC2">
      <w:pPr>
        <w:pStyle w:val="10"/>
        <w:jc w:val="center"/>
        <w:rPr>
          <w:sz w:val="84"/>
          <w:szCs w:val="84"/>
          <w:highlight w:val="none"/>
        </w:rPr>
      </w:pPr>
    </w:p>
    <w:p w14:paraId="47D4BC1E">
      <w:pPr>
        <w:pStyle w:val="10"/>
        <w:jc w:val="center"/>
        <w:rPr>
          <w:sz w:val="84"/>
          <w:szCs w:val="84"/>
          <w:highlight w:val="none"/>
        </w:rPr>
      </w:pPr>
    </w:p>
    <w:p w14:paraId="0A10DEFE">
      <w:pPr>
        <w:pStyle w:val="10"/>
        <w:jc w:val="center"/>
        <w:rPr>
          <w:rFonts w:hint="eastAsia"/>
          <w:sz w:val="84"/>
          <w:szCs w:val="84"/>
          <w:highlight w:val="none"/>
        </w:rPr>
      </w:pPr>
      <w:r>
        <w:rPr>
          <w:rFonts w:hint="eastAsia"/>
          <w:sz w:val="84"/>
          <w:szCs w:val="84"/>
          <w:highlight w:val="none"/>
        </w:rPr>
        <w:t>202</w:t>
      </w:r>
      <w:r>
        <w:rPr>
          <w:rFonts w:hint="eastAsia"/>
          <w:sz w:val="84"/>
          <w:szCs w:val="84"/>
          <w:highlight w:val="none"/>
          <w:lang w:val="en-US" w:eastAsia="zh-CN"/>
        </w:rPr>
        <w:t>2</w:t>
      </w:r>
      <w:r>
        <w:rPr>
          <w:rFonts w:hint="eastAsia"/>
          <w:sz w:val="84"/>
          <w:szCs w:val="84"/>
          <w:highlight w:val="none"/>
        </w:rPr>
        <w:t>年度</w:t>
      </w:r>
    </w:p>
    <w:p w14:paraId="2A7F07F3">
      <w:pPr>
        <w:pStyle w:val="10"/>
        <w:jc w:val="center"/>
        <w:rPr>
          <w:rFonts w:hint="eastAsia"/>
          <w:sz w:val="84"/>
          <w:szCs w:val="84"/>
          <w:highlight w:val="none"/>
        </w:rPr>
      </w:pPr>
      <w:r>
        <w:rPr>
          <w:rFonts w:hint="eastAsia"/>
          <w:sz w:val="84"/>
          <w:szCs w:val="84"/>
          <w:highlight w:val="none"/>
        </w:rPr>
        <w:t>怀化市委市政府机关幼儿园</w:t>
      </w:r>
    </w:p>
    <w:p w14:paraId="43BBF5F8">
      <w:pPr>
        <w:pStyle w:val="10"/>
        <w:jc w:val="center"/>
        <w:rPr>
          <w:sz w:val="56"/>
          <w:szCs w:val="56"/>
          <w:highlight w:val="none"/>
        </w:rPr>
      </w:pPr>
      <w:r>
        <w:rPr>
          <w:rFonts w:hint="eastAsia"/>
          <w:sz w:val="84"/>
          <w:szCs w:val="84"/>
          <w:highlight w:val="none"/>
        </w:rPr>
        <w:t>部门决算</w:t>
      </w:r>
    </w:p>
    <w:p w14:paraId="14ADFF4B">
      <w:pPr>
        <w:pStyle w:val="10"/>
        <w:jc w:val="center"/>
        <w:rPr>
          <w:sz w:val="56"/>
          <w:szCs w:val="56"/>
          <w:highlight w:val="none"/>
        </w:rPr>
      </w:pPr>
    </w:p>
    <w:p w14:paraId="39374D30">
      <w:pPr>
        <w:pStyle w:val="10"/>
        <w:jc w:val="center"/>
        <w:rPr>
          <w:sz w:val="56"/>
          <w:szCs w:val="56"/>
          <w:highlight w:val="none"/>
        </w:rPr>
      </w:pPr>
    </w:p>
    <w:p w14:paraId="2870936F">
      <w:pPr>
        <w:pStyle w:val="10"/>
        <w:jc w:val="center"/>
        <w:rPr>
          <w:sz w:val="56"/>
          <w:szCs w:val="56"/>
          <w:highlight w:val="none"/>
        </w:rPr>
      </w:pPr>
    </w:p>
    <w:p w14:paraId="46535F7E">
      <w:pPr>
        <w:pStyle w:val="10"/>
        <w:jc w:val="center"/>
        <w:rPr>
          <w:sz w:val="56"/>
          <w:szCs w:val="56"/>
          <w:highlight w:val="none"/>
        </w:rPr>
      </w:pPr>
    </w:p>
    <w:p w14:paraId="34D470D7">
      <w:pPr>
        <w:pStyle w:val="10"/>
        <w:jc w:val="center"/>
        <w:rPr>
          <w:sz w:val="56"/>
          <w:szCs w:val="56"/>
          <w:highlight w:val="none"/>
        </w:rPr>
      </w:pPr>
    </w:p>
    <w:p w14:paraId="508197BC">
      <w:pPr>
        <w:pStyle w:val="10"/>
        <w:jc w:val="center"/>
        <w:rPr>
          <w:sz w:val="56"/>
          <w:szCs w:val="56"/>
          <w:highlight w:val="none"/>
        </w:rPr>
      </w:pPr>
    </w:p>
    <w:p w14:paraId="5EE9E247">
      <w:pPr>
        <w:pStyle w:val="10"/>
        <w:jc w:val="center"/>
        <w:rPr>
          <w:sz w:val="56"/>
          <w:szCs w:val="56"/>
          <w:highlight w:val="none"/>
        </w:rPr>
      </w:pPr>
    </w:p>
    <w:p w14:paraId="6B1953BB">
      <w:pPr>
        <w:pStyle w:val="10"/>
        <w:spacing w:line="520" w:lineRule="exact"/>
        <w:jc w:val="center"/>
        <w:rPr>
          <w:rFonts w:hint="eastAsia"/>
          <w:sz w:val="36"/>
          <w:szCs w:val="36"/>
          <w:highlight w:val="none"/>
        </w:rPr>
      </w:pPr>
    </w:p>
    <w:p w14:paraId="6E5D21CC">
      <w:pPr>
        <w:pStyle w:val="10"/>
        <w:spacing w:line="520" w:lineRule="exact"/>
        <w:jc w:val="center"/>
        <w:rPr>
          <w:sz w:val="48"/>
          <w:szCs w:val="48"/>
          <w:highlight w:val="none"/>
        </w:rPr>
      </w:pPr>
      <w:r>
        <w:rPr>
          <w:rFonts w:hint="eastAsia"/>
          <w:sz w:val="36"/>
          <w:szCs w:val="36"/>
          <w:highlight w:val="none"/>
        </w:rPr>
        <w:t>目录</w:t>
      </w:r>
    </w:p>
    <w:p w14:paraId="3779FDDB">
      <w:pPr>
        <w:pStyle w:val="10"/>
        <w:keepNext w:val="0"/>
        <w:keepLines w:val="0"/>
        <w:pageBreakBefore w:val="0"/>
        <w:widowControl w:val="0"/>
        <w:kinsoku/>
        <w:wordWrap/>
        <w:overflowPunct/>
        <w:topLinePunct w:val="0"/>
        <w:bidi w:val="0"/>
        <w:adjustRightInd/>
        <w:snapToGrid/>
        <w:spacing w:beforeAutospacing="0" w:afterAutospacing="0" w:line="470" w:lineRule="exact"/>
        <w:ind w:left="0" w:firstLine="560" w:firstLineChars="200"/>
        <w:textAlignment w:val="auto"/>
        <w:rPr>
          <w:rFonts w:ascii="仿宋_GB2312" w:hAnsi="仿宋_GB2312" w:cs="仿宋_GB2312"/>
          <w:b/>
          <w:sz w:val="28"/>
          <w:szCs w:val="28"/>
          <w:highlight w:val="none"/>
        </w:rPr>
      </w:pPr>
      <w:r>
        <w:rPr>
          <w:rFonts w:hint="eastAsia"/>
          <w:b/>
          <w:sz w:val="28"/>
          <w:szCs w:val="28"/>
          <w:highlight w:val="none"/>
        </w:rPr>
        <w:t>第一部分怀化市委市政府机关幼儿园概况</w:t>
      </w:r>
    </w:p>
    <w:p w14:paraId="62B9E6D7">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一、部门职责</w:t>
      </w:r>
    </w:p>
    <w:p w14:paraId="37F255A6">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cs="仿宋_GB2312" w:asciiTheme="minorEastAsia" w:hAnsiTheme="minorEastAsia" w:eastAsiaTheme="minorEastAsia"/>
          <w:sz w:val="28"/>
          <w:szCs w:val="28"/>
          <w:highlight w:val="none"/>
        </w:rPr>
      </w:pPr>
      <w:r>
        <w:rPr>
          <w:rFonts w:hint="eastAsia" w:ascii="仿宋" w:hAnsi="仿宋" w:eastAsia="仿宋" w:cs="仿宋_GB2312"/>
          <w:sz w:val="28"/>
          <w:szCs w:val="28"/>
          <w:highlight w:val="none"/>
        </w:rPr>
        <w:t>二、机构设置</w:t>
      </w:r>
    </w:p>
    <w:p w14:paraId="398F1B8B">
      <w:pPr>
        <w:pStyle w:val="10"/>
        <w:keepNext w:val="0"/>
        <w:keepLines w:val="0"/>
        <w:pageBreakBefore w:val="0"/>
        <w:widowControl w:val="0"/>
        <w:kinsoku/>
        <w:wordWrap/>
        <w:overflowPunct/>
        <w:topLinePunct w:val="0"/>
        <w:bidi w:val="0"/>
        <w:adjustRightInd/>
        <w:snapToGrid/>
        <w:spacing w:beforeAutospacing="0" w:afterAutospacing="0" w:line="470" w:lineRule="exact"/>
        <w:ind w:left="0" w:firstLine="560" w:firstLineChars="200"/>
        <w:textAlignment w:val="auto"/>
        <w:rPr>
          <w:rFonts w:ascii="仿宋_GB2312" w:hAnsi="仿宋_GB2312" w:cs="仿宋_GB2312"/>
          <w:b/>
          <w:sz w:val="28"/>
          <w:szCs w:val="28"/>
          <w:highlight w:val="none"/>
        </w:rPr>
      </w:pPr>
      <w:r>
        <w:rPr>
          <w:rFonts w:hint="eastAsia" w:hAnsi="仿宋_GB2312"/>
          <w:b/>
          <w:sz w:val="28"/>
          <w:szCs w:val="28"/>
          <w:highlight w:val="none"/>
        </w:rPr>
        <w:t>第二部分部门决算表</w:t>
      </w:r>
    </w:p>
    <w:p w14:paraId="358D31EA">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ascii="仿宋" w:hAnsi="仿宋" w:eastAsia="仿宋" w:cs="仿宋_GB2312"/>
          <w:sz w:val="28"/>
          <w:szCs w:val="28"/>
          <w:highlight w:val="none"/>
        </w:rPr>
      </w:pPr>
      <w:r>
        <w:rPr>
          <w:rFonts w:hint="eastAsia" w:ascii="仿宋" w:hAnsi="仿宋" w:eastAsia="仿宋" w:cs="仿宋_GB2312"/>
          <w:sz w:val="28"/>
          <w:szCs w:val="28"/>
          <w:highlight w:val="none"/>
        </w:rPr>
        <w:t>一、收入支出决算总表</w:t>
      </w:r>
    </w:p>
    <w:p w14:paraId="108A29E6">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ascii="仿宋" w:hAnsi="仿宋" w:eastAsia="仿宋" w:cs="仿宋_GB2312"/>
          <w:sz w:val="28"/>
          <w:szCs w:val="28"/>
          <w:highlight w:val="none"/>
        </w:rPr>
      </w:pPr>
      <w:r>
        <w:rPr>
          <w:rFonts w:hint="eastAsia" w:ascii="仿宋" w:hAnsi="仿宋" w:eastAsia="仿宋" w:cs="仿宋_GB2312"/>
          <w:sz w:val="28"/>
          <w:szCs w:val="28"/>
          <w:highlight w:val="none"/>
        </w:rPr>
        <w:t>二、收入决算表</w:t>
      </w:r>
    </w:p>
    <w:p w14:paraId="1E674DE5">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ascii="仿宋" w:hAnsi="仿宋" w:eastAsia="仿宋" w:cs="仿宋_GB2312"/>
          <w:sz w:val="28"/>
          <w:szCs w:val="28"/>
          <w:highlight w:val="none"/>
        </w:rPr>
      </w:pPr>
      <w:r>
        <w:rPr>
          <w:rFonts w:hint="eastAsia" w:ascii="仿宋" w:hAnsi="仿宋" w:eastAsia="仿宋" w:cs="仿宋_GB2312"/>
          <w:sz w:val="28"/>
          <w:szCs w:val="28"/>
          <w:highlight w:val="none"/>
        </w:rPr>
        <w:t>三、支出决算表</w:t>
      </w:r>
    </w:p>
    <w:p w14:paraId="6220B517">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ascii="仿宋" w:hAnsi="仿宋" w:eastAsia="仿宋" w:cs="仿宋_GB2312"/>
          <w:sz w:val="28"/>
          <w:szCs w:val="28"/>
          <w:highlight w:val="none"/>
        </w:rPr>
      </w:pPr>
      <w:r>
        <w:rPr>
          <w:rFonts w:hint="eastAsia" w:ascii="仿宋" w:hAnsi="仿宋" w:eastAsia="仿宋" w:cs="仿宋_GB2312"/>
          <w:sz w:val="28"/>
          <w:szCs w:val="28"/>
          <w:highlight w:val="none"/>
        </w:rPr>
        <w:t>四、财政拨款收入支出决算总表</w:t>
      </w:r>
    </w:p>
    <w:p w14:paraId="3AD95CBD">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ascii="仿宋" w:hAnsi="仿宋" w:eastAsia="仿宋" w:cs="仿宋_GB2312"/>
          <w:sz w:val="28"/>
          <w:szCs w:val="28"/>
          <w:highlight w:val="none"/>
        </w:rPr>
      </w:pPr>
      <w:r>
        <w:rPr>
          <w:rFonts w:hint="eastAsia" w:ascii="仿宋" w:hAnsi="仿宋" w:eastAsia="仿宋" w:cs="仿宋_GB2312"/>
          <w:sz w:val="28"/>
          <w:szCs w:val="28"/>
          <w:highlight w:val="none"/>
        </w:rPr>
        <w:t>五、一般公共预算财政拨款支出决算表</w:t>
      </w:r>
    </w:p>
    <w:p w14:paraId="6A4D3B9A">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ascii="仿宋" w:hAnsi="仿宋" w:eastAsia="仿宋" w:cs="仿宋_GB2312"/>
          <w:sz w:val="28"/>
          <w:szCs w:val="28"/>
          <w:highlight w:val="none"/>
        </w:rPr>
      </w:pPr>
      <w:r>
        <w:rPr>
          <w:rFonts w:hint="eastAsia" w:ascii="仿宋" w:hAnsi="仿宋" w:eastAsia="仿宋" w:cs="仿宋_GB2312"/>
          <w:sz w:val="28"/>
          <w:szCs w:val="28"/>
          <w:highlight w:val="none"/>
        </w:rPr>
        <w:t>六、一般公共预算财政拨款基本支出决算明细表</w:t>
      </w:r>
    </w:p>
    <w:p w14:paraId="423A71E6">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ascii="仿宋" w:hAnsi="仿宋" w:eastAsia="仿宋" w:cs="仿宋_GB2312"/>
          <w:sz w:val="28"/>
          <w:szCs w:val="28"/>
          <w:highlight w:val="none"/>
        </w:rPr>
      </w:pPr>
      <w:r>
        <w:rPr>
          <w:rFonts w:hint="eastAsia" w:ascii="仿宋" w:hAnsi="仿宋" w:eastAsia="仿宋" w:cs="仿宋_GB2312"/>
          <w:sz w:val="28"/>
          <w:szCs w:val="28"/>
          <w:highlight w:val="none"/>
        </w:rPr>
        <w:t>七、政府性基金预算财政拨款收入支出决算表</w:t>
      </w:r>
    </w:p>
    <w:p w14:paraId="37CA327A">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八、国有资本经营预算财政拨款支出决算表</w:t>
      </w:r>
    </w:p>
    <w:p w14:paraId="20C38E07">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cs="仿宋_GB2312" w:asciiTheme="minorEastAsia" w:hAnsiTheme="minorEastAsia" w:eastAsiaTheme="minorEastAsia"/>
          <w:sz w:val="28"/>
          <w:szCs w:val="28"/>
          <w:highlight w:val="none"/>
        </w:rPr>
      </w:pPr>
      <w:r>
        <w:rPr>
          <w:rFonts w:hint="eastAsia" w:ascii="仿宋" w:hAnsi="仿宋" w:eastAsia="仿宋" w:cs="仿宋_GB2312"/>
          <w:sz w:val="28"/>
          <w:szCs w:val="28"/>
          <w:highlight w:val="none"/>
        </w:rPr>
        <w:t>九、财政拨款“三公”经费支出决算表</w:t>
      </w:r>
    </w:p>
    <w:p w14:paraId="3FFBF4AC">
      <w:pPr>
        <w:pStyle w:val="10"/>
        <w:keepNext w:val="0"/>
        <w:keepLines w:val="0"/>
        <w:pageBreakBefore w:val="0"/>
        <w:widowControl w:val="0"/>
        <w:kinsoku/>
        <w:wordWrap/>
        <w:overflowPunct/>
        <w:topLinePunct w:val="0"/>
        <w:bidi w:val="0"/>
        <w:adjustRightInd/>
        <w:snapToGrid/>
        <w:spacing w:beforeAutospacing="0" w:afterAutospacing="0" w:line="470" w:lineRule="exact"/>
        <w:ind w:left="0" w:firstLine="560" w:firstLineChars="200"/>
        <w:textAlignment w:val="auto"/>
        <w:rPr>
          <w:rFonts w:ascii="仿宋_GB2312" w:hAnsi="仿宋_GB2312" w:cs="仿宋_GB2312"/>
          <w:b/>
          <w:sz w:val="28"/>
          <w:szCs w:val="28"/>
          <w:highlight w:val="none"/>
        </w:rPr>
      </w:pPr>
      <w:r>
        <w:rPr>
          <w:rFonts w:hint="eastAsia" w:hAnsi="仿宋_GB2312"/>
          <w:b/>
          <w:sz w:val="28"/>
          <w:szCs w:val="28"/>
          <w:highlight w:val="none"/>
        </w:rPr>
        <w:t>第三部分部门决算情况说明</w:t>
      </w:r>
    </w:p>
    <w:p w14:paraId="4A60371F">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ascii="仿宋" w:hAnsi="仿宋" w:eastAsia="仿宋" w:cs="仿宋_GB2312"/>
          <w:sz w:val="28"/>
          <w:szCs w:val="28"/>
          <w:highlight w:val="none"/>
        </w:rPr>
      </w:pPr>
      <w:r>
        <w:rPr>
          <w:rFonts w:hint="eastAsia" w:ascii="仿宋" w:hAnsi="仿宋" w:eastAsia="仿宋" w:cs="仿宋_GB2312"/>
          <w:sz w:val="28"/>
          <w:szCs w:val="28"/>
          <w:highlight w:val="none"/>
        </w:rPr>
        <w:t>一、收入支出决算总体情况说明</w:t>
      </w:r>
    </w:p>
    <w:p w14:paraId="0FFF0276">
      <w:pPr>
        <w:keepNext w:val="0"/>
        <w:keepLines w:val="0"/>
        <w:pageBreakBefore w:val="0"/>
        <w:widowControl w:val="0"/>
        <w:kinsoku/>
        <w:wordWrap/>
        <w:overflowPunct/>
        <w:topLinePunct w:val="0"/>
        <w:bidi w:val="0"/>
        <w:snapToGrid/>
        <w:spacing w:line="470" w:lineRule="exact"/>
        <w:ind w:firstLine="700" w:firstLineChars="250"/>
        <w:jc w:val="left"/>
        <w:textAlignment w:val="auto"/>
        <w:rPr>
          <w:rFonts w:ascii="仿宋" w:hAnsi="仿宋" w:eastAsia="仿宋" w:cs="仿宋_GB2312"/>
          <w:sz w:val="28"/>
          <w:szCs w:val="28"/>
          <w:highlight w:val="none"/>
        </w:rPr>
      </w:pPr>
      <w:r>
        <w:rPr>
          <w:rFonts w:hint="eastAsia" w:ascii="仿宋" w:hAnsi="仿宋" w:eastAsia="仿宋" w:cs="仿宋_GB2312"/>
          <w:sz w:val="28"/>
          <w:szCs w:val="28"/>
          <w:highlight w:val="none"/>
        </w:rPr>
        <w:t>二、收入决算情况说明</w:t>
      </w:r>
    </w:p>
    <w:p w14:paraId="0E7D6ACA">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ascii="仿宋" w:hAnsi="仿宋" w:eastAsia="仿宋" w:cs="仿宋_GB2312"/>
          <w:color w:val="000000"/>
          <w:kern w:val="0"/>
          <w:sz w:val="28"/>
          <w:szCs w:val="28"/>
          <w:highlight w:val="none"/>
        </w:rPr>
      </w:pPr>
      <w:r>
        <w:rPr>
          <w:rFonts w:hint="eastAsia" w:ascii="仿宋" w:hAnsi="仿宋" w:eastAsia="仿宋" w:cs="仿宋_GB2312"/>
          <w:color w:val="000000"/>
          <w:kern w:val="0"/>
          <w:sz w:val="28"/>
          <w:szCs w:val="28"/>
          <w:highlight w:val="none"/>
        </w:rPr>
        <w:t>三、支出决算情况说明</w:t>
      </w:r>
    </w:p>
    <w:p w14:paraId="5C326A53">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ascii="仿宋" w:hAnsi="仿宋" w:eastAsia="仿宋" w:cs="仿宋_GB2312"/>
          <w:color w:val="000000"/>
          <w:kern w:val="0"/>
          <w:sz w:val="28"/>
          <w:szCs w:val="28"/>
          <w:highlight w:val="none"/>
        </w:rPr>
      </w:pPr>
      <w:r>
        <w:rPr>
          <w:rFonts w:hint="eastAsia" w:ascii="仿宋" w:hAnsi="仿宋" w:eastAsia="仿宋" w:cs="仿宋_GB2312"/>
          <w:color w:val="000000"/>
          <w:kern w:val="0"/>
          <w:sz w:val="28"/>
          <w:szCs w:val="28"/>
          <w:highlight w:val="none"/>
        </w:rPr>
        <w:t>四、财政拨款收入支出决算总体情况说明</w:t>
      </w:r>
    </w:p>
    <w:p w14:paraId="0F239DA8">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ascii="仿宋" w:hAnsi="仿宋" w:eastAsia="仿宋" w:cs="仿宋_GB2312"/>
          <w:color w:val="000000"/>
          <w:kern w:val="0"/>
          <w:sz w:val="28"/>
          <w:szCs w:val="28"/>
          <w:highlight w:val="none"/>
        </w:rPr>
      </w:pPr>
      <w:r>
        <w:rPr>
          <w:rFonts w:hint="eastAsia" w:ascii="仿宋" w:hAnsi="仿宋" w:eastAsia="仿宋" w:cs="仿宋_GB2312"/>
          <w:color w:val="000000"/>
          <w:kern w:val="0"/>
          <w:sz w:val="28"/>
          <w:szCs w:val="28"/>
          <w:highlight w:val="none"/>
        </w:rPr>
        <w:t>五、一般公共预算财政拨款支出决算情况说明</w:t>
      </w:r>
    </w:p>
    <w:p w14:paraId="3BC5ADFD">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ascii="仿宋" w:hAnsi="仿宋" w:eastAsia="仿宋" w:cs="仿宋_GB2312"/>
          <w:color w:val="000000"/>
          <w:kern w:val="0"/>
          <w:sz w:val="28"/>
          <w:szCs w:val="28"/>
          <w:highlight w:val="none"/>
        </w:rPr>
      </w:pPr>
      <w:r>
        <w:rPr>
          <w:rFonts w:hint="eastAsia" w:ascii="仿宋" w:hAnsi="仿宋" w:eastAsia="仿宋" w:cs="仿宋_GB2312"/>
          <w:color w:val="000000"/>
          <w:kern w:val="0"/>
          <w:sz w:val="28"/>
          <w:szCs w:val="28"/>
          <w:highlight w:val="none"/>
        </w:rPr>
        <w:t>六、一般公共预算财政拨款基本支出决算情况说明</w:t>
      </w:r>
    </w:p>
    <w:p w14:paraId="6D152379">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ascii="仿宋" w:hAnsi="仿宋" w:eastAsia="仿宋" w:cs="仿宋_GB2312"/>
          <w:color w:val="000000"/>
          <w:kern w:val="0"/>
          <w:sz w:val="28"/>
          <w:szCs w:val="28"/>
          <w:highlight w:val="none"/>
        </w:rPr>
      </w:pPr>
      <w:r>
        <w:rPr>
          <w:rFonts w:hint="eastAsia" w:ascii="仿宋" w:hAnsi="仿宋" w:eastAsia="仿宋" w:cs="仿宋_GB2312"/>
          <w:color w:val="000000"/>
          <w:kern w:val="0"/>
          <w:sz w:val="28"/>
          <w:szCs w:val="28"/>
          <w:highlight w:val="none"/>
        </w:rPr>
        <w:t>七、一般公共预算财政拨款三公经费支出决算情况说明</w:t>
      </w:r>
    </w:p>
    <w:p w14:paraId="16753D60">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ascii="仿宋" w:hAnsi="仿宋" w:eastAsia="仿宋" w:cs="仿宋_GB2312"/>
          <w:color w:val="000000"/>
          <w:kern w:val="0"/>
          <w:sz w:val="28"/>
          <w:szCs w:val="28"/>
          <w:highlight w:val="none"/>
        </w:rPr>
      </w:pPr>
      <w:r>
        <w:rPr>
          <w:rFonts w:hint="eastAsia" w:ascii="仿宋" w:hAnsi="仿宋" w:eastAsia="仿宋" w:cs="仿宋_GB2312"/>
          <w:color w:val="000000"/>
          <w:kern w:val="0"/>
          <w:sz w:val="28"/>
          <w:szCs w:val="28"/>
          <w:highlight w:val="none"/>
        </w:rPr>
        <w:t>八、政府性基金预算收入支出决算情况</w:t>
      </w:r>
    </w:p>
    <w:p w14:paraId="0FB06E26">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ascii="仿宋" w:hAnsi="仿宋" w:eastAsia="仿宋" w:cs="仿宋_GB2312"/>
          <w:color w:val="000000"/>
          <w:kern w:val="0"/>
          <w:sz w:val="28"/>
          <w:szCs w:val="28"/>
          <w:highlight w:val="none"/>
        </w:rPr>
      </w:pPr>
      <w:r>
        <w:rPr>
          <w:rFonts w:hint="eastAsia" w:ascii="仿宋" w:hAnsi="仿宋" w:eastAsia="仿宋" w:cs="仿宋_GB2312"/>
          <w:color w:val="000000"/>
          <w:kern w:val="0"/>
          <w:sz w:val="28"/>
          <w:szCs w:val="28"/>
          <w:highlight w:val="none"/>
        </w:rPr>
        <w:t>九、国有资本经营预算</w:t>
      </w:r>
      <w:r>
        <w:rPr>
          <w:rFonts w:hint="eastAsia" w:ascii="仿宋" w:hAnsi="仿宋" w:eastAsia="仿宋" w:cs="仿宋_GB2312"/>
          <w:sz w:val="28"/>
          <w:szCs w:val="28"/>
          <w:highlight w:val="none"/>
        </w:rPr>
        <w:t>财政拨款支出</w:t>
      </w:r>
      <w:r>
        <w:rPr>
          <w:rFonts w:hint="eastAsia" w:ascii="仿宋" w:hAnsi="仿宋" w:eastAsia="仿宋" w:cs="仿宋_GB2312"/>
          <w:color w:val="000000"/>
          <w:kern w:val="0"/>
          <w:sz w:val="28"/>
          <w:szCs w:val="28"/>
          <w:highlight w:val="none"/>
        </w:rPr>
        <w:t>决算情况</w:t>
      </w:r>
    </w:p>
    <w:p w14:paraId="1D033A6E">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ascii="仿宋" w:hAnsi="仿宋" w:eastAsia="仿宋" w:cs="仿宋_GB2312"/>
          <w:color w:val="000000"/>
          <w:kern w:val="0"/>
          <w:sz w:val="28"/>
          <w:szCs w:val="28"/>
          <w:highlight w:val="none"/>
        </w:rPr>
      </w:pPr>
      <w:r>
        <w:rPr>
          <w:rFonts w:hint="eastAsia" w:ascii="仿宋" w:hAnsi="仿宋" w:eastAsia="仿宋" w:cs="仿宋_GB2312"/>
          <w:color w:val="000000"/>
          <w:kern w:val="0"/>
          <w:sz w:val="28"/>
          <w:szCs w:val="28"/>
          <w:highlight w:val="none"/>
        </w:rPr>
        <w:t>十、关于机关运行经费支出说明</w:t>
      </w:r>
    </w:p>
    <w:p w14:paraId="218E3789">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ascii="仿宋" w:hAnsi="仿宋" w:eastAsia="仿宋" w:cs="仿宋_GB2312"/>
          <w:color w:val="000000"/>
          <w:kern w:val="0"/>
          <w:sz w:val="28"/>
          <w:szCs w:val="28"/>
          <w:highlight w:val="none"/>
        </w:rPr>
      </w:pPr>
      <w:r>
        <w:rPr>
          <w:rFonts w:hint="eastAsia" w:ascii="仿宋" w:hAnsi="仿宋" w:eastAsia="仿宋" w:cs="仿宋_GB2312"/>
          <w:color w:val="000000"/>
          <w:kern w:val="0"/>
          <w:sz w:val="28"/>
          <w:szCs w:val="28"/>
          <w:highlight w:val="none"/>
        </w:rPr>
        <w:t>十一、一般性支出情况说明</w:t>
      </w:r>
    </w:p>
    <w:p w14:paraId="0FDADD62">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ascii="仿宋" w:hAnsi="仿宋" w:eastAsia="仿宋" w:cs="仿宋_GB2312"/>
          <w:color w:val="000000"/>
          <w:kern w:val="0"/>
          <w:sz w:val="28"/>
          <w:szCs w:val="28"/>
          <w:highlight w:val="none"/>
        </w:rPr>
      </w:pPr>
      <w:r>
        <w:rPr>
          <w:rFonts w:hint="eastAsia" w:ascii="仿宋" w:hAnsi="仿宋" w:eastAsia="仿宋" w:cs="仿宋_GB2312"/>
          <w:color w:val="000000"/>
          <w:kern w:val="0"/>
          <w:sz w:val="28"/>
          <w:szCs w:val="28"/>
          <w:highlight w:val="none"/>
        </w:rPr>
        <w:t>十二、关于政府采购支出说明</w:t>
      </w:r>
    </w:p>
    <w:p w14:paraId="62FF67D5">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十三、关于国有资产占用情况说明</w:t>
      </w:r>
    </w:p>
    <w:p w14:paraId="27FAD4A3">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ascii="仿宋_GB2312" w:hAnsi="仿宋_GB2312" w:cs="仿宋_GB2312"/>
          <w:color w:val="000000"/>
          <w:kern w:val="0"/>
          <w:sz w:val="28"/>
          <w:szCs w:val="28"/>
          <w:highlight w:val="none"/>
        </w:rPr>
      </w:pPr>
      <w:r>
        <w:rPr>
          <w:rFonts w:hint="eastAsia" w:ascii="仿宋" w:hAnsi="仿宋" w:eastAsia="仿宋" w:cs="仿宋_GB2312"/>
          <w:sz w:val="28"/>
          <w:szCs w:val="28"/>
          <w:highlight w:val="none"/>
        </w:rPr>
        <w:t>十四、关于预算绩效情况的说明</w:t>
      </w:r>
    </w:p>
    <w:p w14:paraId="205735C9">
      <w:pPr>
        <w:keepNext w:val="0"/>
        <w:keepLines w:val="0"/>
        <w:pageBreakBefore w:val="0"/>
        <w:widowControl w:val="0"/>
        <w:kinsoku/>
        <w:wordWrap/>
        <w:overflowPunct/>
        <w:topLinePunct w:val="0"/>
        <w:autoSpaceDE w:val="0"/>
        <w:autoSpaceDN w:val="0"/>
        <w:bidi w:val="0"/>
        <w:adjustRightInd/>
        <w:snapToGrid/>
        <w:spacing w:beforeAutospacing="0" w:afterAutospacing="0" w:line="470" w:lineRule="exact"/>
        <w:ind w:left="0" w:firstLine="560" w:firstLineChars="200"/>
        <w:jc w:val="left"/>
        <w:textAlignment w:val="auto"/>
        <w:rPr>
          <w:rFonts w:ascii="黑体" w:hAnsi="黑体" w:eastAsia="黑体" w:cs="仿宋_GB2312"/>
          <w:b/>
          <w:color w:val="000000"/>
          <w:kern w:val="0"/>
          <w:sz w:val="28"/>
          <w:szCs w:val="28"/>
          <w:highlight w:val="none"/>
        </w:rPr>
      </w:pPr>
      <w:r>
        <w:rPr>
          <w:rFonts w:ascii="黑体" w:hAnsi="黑体" w:eastAsia="黑体" w:cs="黑体"/>
          <w:b/>
          <w:color w:val="000000"/>
          <w:kern w:val="0"/>
          <w:sz w:val="28"/>
          <w:szCs w:val="28"/>
          <w:highlight w:val="none"/>
        </w:rPr>
        <w:t>第四部分名词解释</w:t>
      </w:r>
    </w:p>
    <w:p w14:paraId="6A457EA4">
      <w:pPr>
        <w:keepNext w:val="0"/>
        <w:keepLines w:val="0"/>
        <w:pageBreakBefore w:val="0"/>
        <w:widowControl w:val="0"/>
        <w:kinsoku/>
        <w:wordWrap/>
        <w:overflowPunct/>
        <w:topLinePunct w:val="0"/>
        <w:bidi w:val="0"/>
        <w:snapToGrid/>
        <w:spacing w:beforeAutospacing="0" w:afterAutospacing="0" w:line="470" w:lineRule="exact"/>
        <w:ind w:left="0" w:firstLine="560" w:firstLineChars="200"/>
        <w:jc w:val="left"/>
        <w:textAlignment w:val="auto"/>
        <w:rPr>
          <w:rFonts w:ascii="黑体" w:hAnsi="黑体" w:eastAsia="黑体" w:cs="仿宋_GB2312"/>
          <w:b/>
          <w:color w:val="000000"/>
          <w:kern w:val="0"/>
          <w:sz w:val="28"/>
          <w:szCs w:val="28"/>
          <w:highlight w:val="none"/>
        </w:rPr>
      </w:pPr>
      <w:r>
        <w:rPr>
          <w:rFonts w:ascii="黑体" w:hAnsi="黑体" w:eastAsia="黑体" w:cs="黑体"/>
          <w:b/>
          <w:color w:val="000000"/>
          <w:kern w:val="0"/>
          <w:sz w:val="28"/>
          <w:szCs w:val="28"/>
          <w:highlight w:val="none"/>
        </w:rPr>
        <w:t>第五部分附件</w:t>
      </w:r>
    </w:p>
    <w:p w14:paraId="4502F7DE">
      <w:pPr>
        <w:pStyle w:val="10"/>
        <w:jc w:val="center"/>
        <w:rPr>
          <w:rFonts w:hint="eastAsia"/>
          <w:sz w:val="56"/>
          <w:szCs w:val="56"/>
          <w:highlight w:val="none"/>
        </w:rPr>
      </w:pPr>
    </w:p>
    <w:p w14:paraId="218A2AA2">
      <w:pPr>
        <w:pStyle w:val="10"/>
        <w:jc w:val="center"/>
        <w:rPr>
          <w:rFonts w:hint="eastAsia"/>
          <w:sz w:val="56"/>
          <w:szCs w:val="56"/>
          <w:highlight w:val="none"/>
        </w:rPr>
      </w:pPr>
    </w:p>
    <w:p w14:paraId="27C3B666">
      <w:pPr>
        <w:pStyle w:val="10"/>
        <w:jc w:val="center"/>
        <w:rPr>
          <w:rFonts w:hint="eastAsia"/>
          <w:sz w:val="56"/>
          <w:szCs w:val="56"/>
          <w:highlight w:val="none"/>
        </w:rPr>
      </w:pPr>
    </w:p>
    <w:p w14:paraId="337AAE80">
      <w:pPr>
        <w:pStyle w:val="10"/>
        <w:jc w:val="center"/>
        <w:rPr>
          <w:rFonts w:hint="eastAsia"/>
          <w:sz w:val="56"/>
          <w:szCs w:val="56"/>
          <w:highlight w:val="none"/>
        </w:rPr>
      </w:pPr>
    </w:p>
    <w:p w14:paraId="3DB5774F">
      <w:pPr>
        <w:pStyle w:val="10"/>
        <w:jc w:val="center"/>
        <w:rPr>
          <w:rFonts w:hint="eastAsia"/>
          <w:sz w:val="56"/>
          <w:szCs w:val="56"/>
          <w:highlight w:val="none"/>
        </w:rPr>
      </w:pPr>
    </w:p>
    <w:p w14:paraId="4972FDA7">
      <w:pPr>
        <w:pStyle w:val="10"/>
        <w:jc w:val="center"/>
        <w:rPr>
          <w:rFonts w:hint="eastAsia"/>
          <w:sz w:val="56"/>
          <w:szCs w:val="56"/>
          <w:highlight w:val="none"/>
        </w:rPr>
      </w:pPr>
    </w:p>
    <w:p w14:paraId="12EB4295">
      <w:pPr>
        <w:pStyle w:val="10"/>
        <w:jc w:val="center"/>
        <w:rPr>
          <w:sz w:val="56"/>
          <w:szCs w:val="56"/>
          <w:highlight w:val="none"/>
        </w:rPr>
      </w:pPr>
      <w:r>
        <w:rPr>
          <w:rFonts w:hint="eastAsia"/>
          <w:sz w:val="56"/>
          <w:szCs w:val="56"/>
          <w:highlight w:val="none"/>
        </w:rPr>
        <w:t>第一部分</w:t>
      </w:r>
      <w:r>
        <w:rPr>
          <w:sz w:val="56"/>
          <w:szCs w:val="56"/>
          <w:highlight w:val="none"/>
        </w:rPr>
        <w:t xml:space="preserve"> </w:t>
      </w:r>
    </w:p>
    <w:p w14:paraId="4D963E87">
      <w:pPr>
        <w:pStyle w:val="10"/>
        <w:jc w:val="center"/>
        <w:rPr>
          <w:sz w:val="56"/>
          <w:szCs w:val="56"/>
          <w:highlight w:val="none"/>
        </w:rPr>
      </w:pPr>
    </w:p>
    <w:p w14:paraId="22B31D05">
      <w:pPr>
        <w:pStyle w:val="10"/>
        <w:jc w:val="center"/>
        <w:rPr>
          <w:sz w:val="56"/>
          <w:szCs w:val="56"/>
          <w:highlight w:val="none"/>
        </w:rPr>
      </w:pPr>
      <w:r>
        <w:rPr>
          <w:rFonts w:hint="eastAsia"/>
          <w:sz w:val="56"/>
          <w:szCs w:val="56"/>
          <w:highlight w:val="none"/>
        </w:rPr>
        <w:t>怀化市委市政府机关幼儿园概况</w:t>
      </w:r>
    </w:p>
    <w:p w14:paraId="38A0EF36">
      <w:pPr>
        <w:jc w:val="center"/>
        <w:rPr>
          <w:sz w:val="72"/>
          <w:szCs w:val="72"/>
          <w:highlight w:val="none"/>
        </w:rPr>
      </w:pPr>
    </w:p>
    <w:p w14:paraId="3DE44402">
      <w:pPr>
        <w:jc w:val="center"/>
        <w:rPr>
          <w:sz w:val="72"/>
          <w:szCs w:val="72"/>
          <w:highlight w:val="none"/>
        </w:rPr>
      </w:pPr>
    </w:p>
    <w:p w14:paraId="3A56628F">
      <w:pPr>
        <w:jc w:val="center"/>
        <w:rPr>
          <w:sz w:val="72"/>
          <w:szCs w:val="72"/>
          <w:highlight w:val="none"/>
        </w:rPr>
      </w:pPr>
    </w:p>
    <w:p w14:paraId="364A2A64">
      <w:pPr>
        <w:jc w:val="center"/>
        <w:rPr>
          <w:sz w:val="72"/>
          <w:szCs w:val="72"/>
          <w:highlight w:val="none"/>
        </w:rPr>
      </w:pPr>
    </w:p>
    <w:p w14:paraId="4781E528">
      <w:pPr>
        <w:jc w:val="center"/>
        <w:rPr>
          <w:sz w:val="72"/>
          <w:szCs w:val="72"/>
          <w:highlight w:val="none"/>
        </w:rPr>
      </w:pPr>
    </w:p>
    <w:p w14:paraId="3FA021E0">
      <w:pPr>
        <w:jc w:val="center"/>
        <w:rPr>
          <w:sz w:val="72"/>
          <w:szCs w:val="72"/>
          <w:highlight w:val="none"/>
        </w:rPr>
      </w:pPr>
    </w:p>
    <w:p w14:paraId="71320FCF">
      <w:pPr>
        <w:rPr>
          <w:sz w:val="72"/>
          <w:szCs w:val="72"/>
          <w:highlight w:val="none"/>
        </w:rPr>
      </w:pPr>
      <w:r>
        <w:rPr>
          <w:sz w:val="72"/>
          <w:szCs w:val="72"/>
          <w:highlight w:val="none"/>
        </w:rPr>
        <w:br w:type="page"/>
      </w:r>
    </w:p>
    <w:p w14:paraId="26B88A76">
      <w:pPr>
        <w:pStyle w:val="11"/>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sz w:val="32"/>
          <w:szCs w:val="32"/>
          <w:highlight w:val="none"/>
        </w:rPr>
      </w:pPr>
      <w:r>
        <w:rPr>
          <w:rFonts w:hint="default" w:ascii="仿宋_GB2312" w:hAnsi="仿宋_GB2312" w:eastAsia="仿宋_GB2312" w:cs="仿宋_GB2312"/>
          <w:kern w:val="2"/>
          <w:sz w:val="32"/>
          <w:szCs w:val="32"/>
          <w:highlight w:val="none"/>
          <w:lang w:val="en-US" w:eastAsia="zh-CN" w:bidi="ar-SA"/>
        </w:rPr>
        <w:t>一、</w:t>
      </w:r>
      <w:r>
        <w:rPr>
          <w:rFonts w:hint="eastAsia" w:ascii="仿宋_GB2312" w:hAnsi="仿宋_GB2312" w:eastAsia="仿宋_GB2312" w:cs="仿宋_GB2312"/>
          <w:sz w:val="32"/>
          <w:szCs w:val="32"/>
          <w:highlight w:val="none"/>
        </w:rPr>
        <w:t>部门职责</w:t>
      </w:r>
    </w:p>
    <w:p w14:paraId="798418EC">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怀化市委市政府机关幼儿园认真贯彻执行党和国家的有关法律法规、方针、政策，坚持民主管理，依法办园，执行上级主管部门的指示和决定。实行保育和教育相结合的原则，对幼儿实施体、智、德、美诸方面全面发展的教育，促进其身心和谐发展。为家长解除后顾之忧，热忱为家长服务，向家长开展多种形式的早期教育宣传、指导等服务，促进家庭教育质量的不断提高。</w:t>
      </w:r>
    </w:p>
    <w:p w14:paraId="48365700">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Cs/>
          <w:kern w:val="0"/>
          <w:sz w:val="32"/>
          <w:szCs w:val="32"/>
          <w:highlight w:val="none"/>
        </w:rPr>
        <w:t>二、机构设置及决算单位构成</w:t>
      </w:r>
    </w:p>
    <w:p w14:paraId="614BEEB6">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（一）内设机构设置。怀化市委市政府机关幼儿园内设机构包括办公室、保教部、财务室、保健室及炊事班。</w:t>
      </w:r>
    </w:p>
    <w:p w14:paraId="1A4C1150">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（二）决算单位构成。市委市政府机关幼儿园202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年部门决算汇总公开单位构成包括：怀化市委市政府机关幼儿园市本级，为一级部门预算单位。</w:t>
      </w:r>
    </w:p>
    <w:p w14:paraId="78827FD4">
      <w:pPr>
        <w:jc w:val="left"/>
        <w:rPr>
          <w:rFonts w:ascii="仿宋_GB2312" w:eastAsia="仿宋_GB2312" w:hAnsiTheme="minorEastAsia"/>
          <w:sz w:val="28"/>
          <w:szCs w:val="32"/>
          <w:highlight w:val="none"/>
        </w:rPr>
      </w:pPr>
    </w:p>
    <w:p w14:paraId="1F550A1B">
      <w:pPr>
        <w:jc w:val="center"/>
        <w:rPr>
          <w:rFonts w:ascii="黑体" w:hAnsi="黑体" w:eastAsia="黑体"/>
          <w:sz w:val="28"/>
          <w:szCs w:val="28"/>
          <w:highlight w:val="none"/>
        </w:rPr>
      </w:pPr>
    </w:p>
    <w:p w14:paraId="28657DE6">
      <w:pPr>
        <w:jc w:val="center"/>
        <w:rPr>
          <w:rFonts w:ascii="黑体" w:hAnsi="黑体" w:eastAsia="黑体"/>
          <w:sz w:val="28"/>
          <w:szCs w:val="28"/>
          <w:highlight w:val="none"/>
        </w:rPr>
      </w:pPr>
    </w:p>
    <w:p w14:paraId="07C9D4B4">
      <w:pPr>
        <w:jc w:val="center"/>
        <w:rPr>
          <w:rFonts w:ascii="黑体" w:hAnsi="黑体" w:eastAsia="黑体"/>
          <w:sz w:val="28"/>
          <w:szCs w:val="28"/>
          <w:highlight w:val="none"/>
        </w:rPr>
      </w:pPr>
    </w:p>
    <w:p w14:paraId="27B79524">
      <w:pPr>
        <w:jc w:val="center"/>
        <w:rPr>
          <w:rFonts w:ascii="黑体" w:hAnsi="黑体" w:eastAsia="黑体"/>
          <w:sz w:val="28"/>
          <w:szCs w:val="28"/>
          <w:highlight w:val="none"/>
        </w:rPr>
      </w:pPr>
    </w:p>
    <w:p w14:paraId="41C67682">
      <w:pPr>
        <w:jc w:val="center"/>
        <w:rPr>
          <w:rFonts w:ascii="黑体" w:hAnsi="黑体" w:eastAsia="黑体"/>
          <w:sz w:val="28"/>
          <w:szCs w:val="28"/>
          <w:highlight w:val="none"/>
        </w:rPr>
      </w:pPr>
    </w:p>
    <w:p w14:paraId="622FF47D">
      <w:pPr>
        <w:jc w:val="center"/>
        <w:rPr>
          <w:rFonts w:ascii="黑体" w:hAnsi="黑体" w:eastAsia="黑体"/>
          <w:sz w:val="28"/>
          <w:szCs w:val="28"/>
          <w:highlight w:val="none"/>
        </w:rPr>
      </w:pPr>
    </w:p>
    <w:p w14:paraId="07E6C2E6">
      <w:pPr>
        <w:jc w:val="center"/>
        <w:rPr>
          <w:rFonts w:ascii="黑体" w:hAnsi="黑体" w:eastAsia="黑体"/>
          <w:sz w:val="28"/>
          <w:szCs w:val="28"/>
          <w:highlight w:val="none"/>
        </w:rPr>
      </w:pPr>
    </w:p>
    <w:p w14:paraId="2E9EB115">
      <w:pPr>
        <w:jc w:val="center"/>
        <w:rPr>
          <w:rFonts w:ascii="黑体" w:hAnsi="黑体" w:eastAsia="黑体"/>
          <w:sz w:val="28"/>
          <w:szCs w:val="28"/>
          <w:highlight w:val="none"/>
        </w:rPr>
      </w:pPr>
    </w:p>
    <w:p w14:paraId="6D94E5D5">
      <w:pPr>
        <w:jc w:val="center"/>
        <w:rPr>
          <w:rFonts w:ascii="黑体" w:hAnsi="黑体" w:eastAsia="黑体"/>
          <w:sz w:val="28"/>
          <w:szCs w:val="28"/>
          <w:highlight w:val="none"/>
        </w:rPr>
      </w:pPr>
    </w:p>
    <w:p w14:paraId="2311B873">
      <w:pPr>
        <w:jc w:val="center"/>
        <w:rPr>
          <w:rFonts w:ascii="黑体" w:hAnsi="黑体" w:eastAsia="黑体"/>
          <w:sz w:val="28"/>
          <w:szCs w:val="28"/>
          <w:highlight w:val="none"/>
        </w:rPr>
      </w:pPr>
    </w:p>
    <w:p w14:paraId="14491C78">
      <w:pPr>
        <w:jc w:val="center"/>
        <w:rPr>
          <w:rFonts w:ascii="黑体" w:hAnsi="黑体" w:eastAsia="黑体"/>
          <w:sz w:val="28"/>
          <w:szCs w:val="28"/>
          <w:highlight w:val="none"/>
        </w:rPr>
      </w:pPr>
    </w:p>
    <w:p w14:paraId="5FAEB44D">
      <w:pPr>
        <w:jc w:val="center"/>
        <w:rPr>
          <w:rFonts w:ascii="黑体" w:hAnsi="黑体" w:eastAsia="黑体" w:cs="黑体"/>
          <w:sz w:val="56"/>
          <w:szCs w:val="56"/>
          <w:highlight w:val="none"/>
        </w:rPr>
      </w:pPr>
    </w:p>
    <w:p w14:paraId="7314908E">
      <w:pPr>
        <w:jc w:val="center"/>
        <w:rPr>
          <w:rFonts w:ascii="黑体" w:hAnsi="黑体" w:eastAsia="黑体" w:cs="黑体"/>
          <w:sz w:val="56"/>
          <w:szCs w:val="56"/>
          <w:highlight w:val="none"/>
        </w:rPr>
      </w:pPr>
    </w:p>
    <w:p w14:paraId="3B151F4C">
      <w:pPr>
        <w:jc w:val="center"/>
        <w:rPr>
          <w:rFonts w:ascii="黑体" w:hAnsi="黑体" w:eastAsia="黑体" w:cs="黑体"/>
          <w:sz w:val="56"/>
          <w:szCs w:val="56"/>
          <w:highlight w:val="none"/>
        </w:rPr>
      </w:pPr>
    </w:p>
    <w:p w14:paraId="3021B630">
      <w:pPr>
        <w:jc w:val="center"/>
        <w:rPr>
          <w:rFonts w:ascii="黑体" w:hAnsi="黑体" w:eastAsia="黑体" w:cs="黑体"/>
          <w:sz w:val="56"/>
          <w:szCs w:val="56"/>
          <w:highlight w:val="none"/>
        </w:rPr>
      </w:pPr>
    </w:p>
    <w:p w14:paraId="09E50147">
      <w:pPr>
        <w:jc w:val="center"/>
        <w:rPr>
          <w:rFonts w:ascii="黑体" w:hAnsi="黑体" w:eastAsia="黑体" w:cs="黑体"/>
          <w:sz w:val="56"/>
          <w:szCs w:val="56"/>
          <w:highlight w:val="none"/>
        </w:rPr>
      </w:pPr>
    </w:p>
    <w:p w14:paraId="4B629F2F">
      <w:pPr>
        <w:jc w:val="center"/>
        <w:rPr>
          <w:rFonts w:ascii="黑体" w:hAnsi="黑体" w:eastAsia="黑体" w:cs="黑体"/>
          <w:sz w:val="56"/>
          <w:szCs w:val="56"/>
          <w:highlight w:val="none"/>
        </w:rPr>
      </w:pPr>
      <w:r>
        <w:rPr>
          <w:rFonts w:hint="eastAsia" w:ascii="黑体" w:hAnsi="黑体" w:eastAsia="黑体" w:cs="黑体"/>
          <w:sz w:val="56"/>
          <w:szCs w:val="56"/>
          <w:highlight w:val="none"/>
        </w:rPr>
        <w:t>第二部分</w:t>
      </w:r>
    </w:p>
    <w:p w14:paraId="0D9E00DB">
      <w:pPr>
        <w:jc w:val="center"/>
        <w:rPr>
          <w:rFonts w:hint="eastAsia" w:ascii="黑体" w:hAnsi="黑体" w:eastAsia="黑体" w:cs="黑体"/>
          <w:sz w:val="56"/>
          <w:szCs w:val="56"/>
          <w:highlight w:val="none"/>
          <w:lang w:val="en-US" w:eastAsia="zh-CN"/>
        </w:rPr>
      </w:pPr>
      <w:r>
        <w:rPr>
          <w:rFonts w:hint="eastAsia" w:ascii="黑体" w:hAnsi="黑体" w:eastAsia="黑体" w:cs="黑体"/>
          <w:sz w:val="56"/>
          <w:szCs w:val="56"/>
          <w:highlight w:val="none"/>
        </w:rPr>
        <w:t>部门决算</w:t>
      </w:r>
      <w:r>
        <w:rPr>
          <w:rFonts w:hint="eastAsia" w:ascii="黑体" w:hAnsi="黑体" w:eastAsia="黑体" w:cs="黑体"/>
          <w:sz w:val="56"/>
          <w:szCs w:val="56"/>
          <w:highlight w:val="none"/>
          <w:lang w:val="en-US" w:eastAsia="zh-CN"/>
        </w:rPr>
        <w:t>表</w:t>
      </w:r>
    </w:p>
    <w:p w14:paraId="2A49BA27">
      <w:pPr>
        <w:bidi w:val="0"/>
        <w:rPr>
          <w:rFonts w:hint="default" w:asciiTheme="minorHAnsi" w:hAnsiTheme="minorHAnsi" w:eastAsiaTheme="minorEastAsia" w:cstheme="minorBidi"/>
          <w:kern w:val="2"/>
          <w:sz w:val="21"/>
          <w:szCs w:val="22"/>
          <w:lang w:val="en-US" w:eastAsia="zh-CN" w:bidi="ar-SA"/>
        </w:rPr>
      </w:pPr>
    </w:p>
    <w:p w14:paraId="668FD9BE">
      <w:pPr>
        <w:bidi w:val="0"/>
        <w:rPr>
          <w:rFonts w:hint="default"/>
          <w:lang w:val="en-US" w:eastAsia="zh-CN"/>
        </w:rPr>
      </w:pPr>
    </w:p>
    <w:p w14:paraId="57013936">
      <w:pPr>
        <w:bidi w:val="0"/>
        <w:rPr>
          <w:rFonts w:hint="default"/>
          <w:lang w:val="en-US" w:eastAsia="zh-CN"/>
        </w:rPr>
      </w:pPr>
    </w:p>
    <w:p w14:paraId="513FB4CC">
      <w:pPr>
        <w:bidi w:val="0"/>
        <w:rPr>
          <w:rFonts w:hint="default"/>
          <w:lang w:val="en-US" w:eastAsia="zh-CN"/>
        </w:rPr>
      </w:pPr>
    </w:p>
    <w:p w14:paraId="60AA7E8E">
      <w:pPr>
        <w:tabs>
          <w:tab w:val="center" w:pos="5233"/>
        </w:tabs>
        <w:bidi w:val="0"/>
        <w:jc w:val="center"/>
        <w:rPr>
          <w:rFonts w:hint="default"/>
          <w:lang w:val="en-US" w:eastAsia="zh-CN"/>
        </w:rPr>
        <w:sectPr>
          <w:pgSz w:w="11906" w:h="16838"/>
          <w:pgMar w:top="720" w:right="720" w:bottom="720" w:left="720" w:header="851" w:footer="992" w:gutter="0"/>
          <w:cols w:space="425" w:num="1"/>
          <w:docGrid w:type="linesAndChars" w:linePitch="312" w:charSpace="0"/>
        </w:sectPr>
      </w:pPr>
      <w:r>
        <w:rPr>
          <w:rFonts w:hint="eastAsia" w:ascii="黑体" w:hAnsi="黑体" w:eastAsia="黑体" w:cs="黑体"/>
          <w:sz w:val="56"/>
          <w:szCs w:val="56"/>
          <w:highlight w:val="none"/>
          <w:lang w:val="en-US" w:eastAsia="zh-CN"/>
        </w:rPr>
        <w:t>见附件</w:t>
      </w:r>
    </w:p>
    <w:p w14:paraId="569F7214">
      <w:pPr>
        <w:pStyle w:val="10"/>
        <w:jc w:val="center"/>
        <w:rPr>
          <w:rFonts w:hAnsi="Calibri"/>
          <w:sz w:val="56"/>
          <w:szCs w:val="56"/>
          <w:highlight w:val="none"/>
        </w:rPr>
      </w:pPr>
    </w:p>
    <w:p w14:paraId="4D5FDC9C">
      <w:pPr>
        <w:pStyle w:val="10"/>
        <w:jc w:val="center"/>
        <w:rPr>
          <w:rFonts w:hAnsi="Calibri"/>
          <w:sz w:val="56"/>
          <w:szCs w:val="56"/>
          <w:highlight w:val="none"/>
        </w:rPr>
      </w:pPr>
      <w:bookmarkStart w:id="5" w:name="_GoBack"/>
      <w:bookmarkEnd w:id="5"/>
    </w:p>
    <w:p w14:paraId="5DF8AED9">
      <w:pPr>
        <w:pStyle w:val="10"/>
        <w:jc w:val="center"/>
        <w:rPr>
          <w:rFonts w:hAnsi="Calibri"/>
          <w:sz w:val="56"/>
          <w:szCs w:val="56"/>
          <w:highlight w:val="none"/>
        </w:rPr>
      </w:pPr>
    </w:p>
    <w:p w14:paraId="3E224964">
      <w:pPr>
        <w:pStyle w:val="10"/>
        <w:jc w:val="center"/>
        <w:rPr>
          <w:rFonts w:hAnsi="Calibri"/>
          <w:sz w:val="56"/>
          <w:szCs w:val="56"/>
          <w:highlight w:val="none"/>
        </w:rPr>
      </w:pPr>
    </w:p>
    <w:p w14:paraId="4EEB5787">
      <w:pPr>
        <w:pStyle w:val="10"/>
        <w:jc w:val="center"/>
        <w:rPr>
          <w:rFonts w:hAnsi="Calibri"/>
          <w:sz w:val="56"/>
          <w:szCs w:val="56"/>
          <w:highlight w:val="none"/>
        </w:rPr>
      </w:pPr>
    </w:p>
    <w:p w14:paraId="681292E8">
      <w:pPr>
        <w:pStyle w:val="10"/>
        <w:jc w:val="center"/>
        <w:rPr>
          <w:rFonts w:hAnsi="Calibri"/>
          <w:sz w:val="56"/>
          <w:szCs w:val="56"/>
          <w:highlight w:val="none"/>
        </w:rPr>
      </w:pPr>
    </w:p>
    <w:p w14:paraId="7154AC03">
      <w:pPr>
        <w:pStyle w:val="10"/>
        <w:jc w:val="center"/>
        <w:rPr>
          <w:rFonts w:hAnsi="Calibri"/>
          <w:sz w:val="56"/>
          <w:szCs w:val="56"/>
          <w:highlight w:val="none"/>
        </w:rPr>
      </w:pPr>
      <w:r>
        <w:rPr>
          <w:rFonts w:hint="eastAsia" w:hAnsi="Calibri"/>
          <w:sz w:val="56"/>
          <w:szCs w:val="56"/>
          <w:highlight w:val="none"/>
        </w:rPr>
        <w:t>第三部分</w:t>
      </w:r>
    </w:p>
    <w:p w14:paraId="77EA10E6">
      <w:pPr>
        <w:jc w:val="center"/>
        <w:rPr>
          <w:rFonts w:ascii="黑体" w:hAnsi="黑体" w:eastAsia="黑体"/>
          <w:sz w:val="56"/>
          <w:szCs w:val="56"/>
          <w:highlight w:val="none"/>
        </w:rPr>
      </w:pPr>
      <w:r>
        <w:rPr>
          <w:rFonts w:hint="eastAsia" w:ascii="黑体" w:hAnsi="黑体" w:eastAsia="黑体"/>
          <w:sz w:val="56"/>
          <w:szCs w:val="56"/>
          <w:highlight w:val="none"/>
        </w:rPr>
        <w:t>202</w:t>
      </w:r>
      <w:r>
        <w:rPr>
          <w:rFonts w:hint="eastAsia" w:ascii="黑体" w:hAnsi="黑体" w:eastAsia="黑体"/>
          <w:sz w:val="56"/>
          <w:szCs w:val="56"/>
          <w:highlight w:val="none"/>
          <w:lang w:val="en-US" w:eastAsia="zh-CN"/>
        </w:rPr>
        <w:t>2</w:t>
      </w:r>
      <w:r>
        <w:rPr>
          <w:rFonts w:hint="eastAsia" w:ascii="黑体" w:hAnsi="黑体" w:eastAsia="黑体"/>
          <w:sz w:val="56"/>
          <w:szCs w:val="56"/>
          <w:highlight w:val="none"/>
        </w:rPr>
        <w:t>年度部门决算情况说明</w:t>
      </w:r>
    </w:p>
    <w:p w14:paraId="7DB02152">
      <w:pPr>
        <w:widowControl/>
        <w:jc w:val="left"/>
        <w:rPr>
          <w:rFonts w:ascii="黑体" w:hAnsi="黑体" w:eastAsia="黑体"/>
          <w:sz w:val="56"/>
          <w:szCs w:val="56"/>
          <w:highlight w:val="none"/>
        </w:rPr>
      </w:pPr>
    </w:p>
    <w:p w14:paraId="71A4FB3D">
      <w:pPr>
        <w:widowControl/>
        <w:jc w:val="left"/>
        <w:rPr>
          <w:rFonts w:ascii="黑体" w:hAnsi="黑体" w:eastAsia="黑体"/>
          <w:sz w:val="56"/>
          <w:szCs w:val="56"/>
          <w:highlight w:val="none"/>
        </w:rPr>
      </w:pPr>
    </w:p>
    <w:p w14:paraId="0E25E770">
      <w:pPr>
        <w:widowControl/>
        <w:jc w:val="left"/>
        <w:rPr>
          <w:rFonts w:ascii="黑体" w:hAnsi="黑体" w:eastAsia="黑体"/>
          <w:sz w:val="56"/>
          <w:szCs w:val="56"/>
          <w:highlight w:val="none"/>
        </w:rPr>
      </w:pPr>
    </w:p>
    <w:p w14:paraId="1D215CF1">
      <w:pPr>
        <w:widowControl/>
        <w:jc w:val="left"/>
        <w:rPr>
          <w:rFonts w:ascii="黑体" w:hAnsi="黑体" w:eastAsia="黑体"/>
          <w:sz w:val="56"/>
          <w:szCs w:val="56"/>
          <w:highlight w:val="none"/>
        </w:rPr>
      </w:pPr>
    </w:p>
    <w:p w14:paraId="695FDED8">
      <w:pPr>
        <w:widowControl/>
        <w:jc w:val="left"/>
        <w:rPr>
          <w:rFonts w:ascii="黑体" w:hAnsi="黑体" w:eastAsia="黑体"/>
          <w:sz w:val="56"/>
          <w:szCs w:val="56"/>
          <w:highlight w:val="none"/>
        </w:rPr>
      </w:pPr>
    </w:p>
    <w:p w14:paraId="44DD7AED">
      <w:pPr>
        <w:widowControl/>
        <w:jc w:val="left"/>
        <w:rPr>
          <w:rFonts w:ascii="黑体" w:hAnsi="黑体" w:eastAsia="黑体"/>
          <w:sz w:val="56"/>
          <w:szCs w:val="56"/>
          <w:highlight w:val="none"/>
        </w:rPr>
      </w:pPr>
    </w:p>
    <w:p w14:paraId="4E69F38A">
      <w:pPr>
        <w:widowControl/>
        <w:jc w:val="left"/>
        <w:rPr>
          <w:rFonts w:ascii="黑体" w:hAnsi="黑体" w:eastAsia="黑体"/>
          <w:sz w:val="56"/>
          <w:szCs w:val="56"/>
          <w:highlight w:val="none"/>
        </w:rPr>
      </w:pPr>
    </w:p>
    <w:p w14:paraId="5AB47E38">
      <w:pPr>
        <w:rPr>
          <w:rFonts w:ascii="宋体" w:hAnsi="宋体" w:eastAsia="宋体"/>
          <w:bCs/>
          <w:kern w:val="0"/>
          <w:sz w:val="28"/>
          <w:szCs w:val="28"/>
          <w:highlight w:val="none"/>
        </w:rPr>
      </w:pPr>
      <w:r>
        <w:rPr>
          <w:rFonts w:ascii="宋体" w:hAnsi="宋体" w:eastAsia="宋体"/>
          <w:bCs/>
          <w:kern w:val="0"/>
          <w:sz w:val="28"/>
          <w:szCs w:val="28"/>
          <w:highlight w:val="none"/>
        </w:rPr>
        <w:br w:type="page"/>
      </w:r>
    </w:p>
    <w:p w14:paraId="5796D1EE">
      <w:pPr>
        <w:keepNext w:val="0"/>
        <w:keepLines w:val="0"/>
        <w:pageBreakBefore w:val="0"/>
        <w:widowControl/>
        <w:kinsoku/>
        <w:wordWrap/>
        <w:overflowPunct/>
        <w:topLinePunct w:val="0"/>
        <w:bidi w:val="0"/>
        <w:adjustRightInd/>
        <w:snapToGrid/>
        <w:spacing w:beforeAutospacing="0" w:afterAutospacing="0" w:line="600" w:lineRule="exact"/>
        <w:ind w:left="0" w:firstLine="646" w:firstLineChars="200"/>
        <w:textAlignment w:val="auto"/>
        <w:rPr>
          <w:rFonts w:hint="eastAsia" w:ascii="仿宋_GB2312" w:hAnsi="仿宋_GB2312" w:eastAsia="仿宋_GB2312" w:cs="仿宋_GB2312"/>
          <w:b/>
          <w:bCs/>
          <w:kern w:val="0"/>
          <w:sz w:val="32"/>
          <w:szCs w:val="32"/>
          <w:highlight w:val="none"/>
        </w:rPr>
      </w:pPr>
      <w:r>
        <w:rPr>
          <w:rFonts w:hint="eastAsia" w:ascii="仿宋_GB2312" w:hAnsi="仿宋_GB2312" w:eastAsia="仿宋_GB2312" w:cs="仿宋_GB2312"/>
          <w:kern w:val="0"/>
          <w:sz w:val="32"/>
          <w:szCs w:val="32"/>
          <w:highlight w:val="none"/>
        </w:rPr>
        <w:t>一、收入支出决算总体情况说明</w:t>
      </w:r>
    </w:p>
    <w:p w14:paraId="270676A6">
      <w:pPr>
        <w:keepNext w:val="0"/>
        <w:keepLines w:val="0"/>
        <w:pageBreakBefore w:val="0"/>
        <w:kinsoku/>
        <w:wordWrap/>
        <w:overflowPunct/>
        <w:topLinePunct w:val="0"/>
        <w:bidi w:val="0"/>
        <w:adjustRightInd/>
        <w:snapToGrid/>
        <w:spacing w:beforeAutospacing="0" w:afterAutospacing="0" w:line="600" w:lineRule="exact"/>
        <w:ind w:left="0" w:firstLine="646" w:firstLineChars="20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年度收、支</w:t>
      </w:r>
      <w:r>
        <w:rPr>
          <w:rFonts w:hint="eastAsia" w:ascii="仿宋_GB2312" w:hAnsi="仿宋_GB2312" w:eastAsia="仿宋_GB2312" w:cs="仿宋_GB2312"/>
          <w:kern w:val="0"/>
          <w:sz w:val="32"/>
          <w:szCs w:val="32"/>
          <w:highlight w:val="none"/>
          <w:lang w:val="en-US" w:eastAsia="zh-CN"/>
        </w:rPr>
        <w:t>总计均为485.3</w:t>
      </w:r>
      <w:r>
        <w:rPr>
          <w:rFonts w:hint="eastAsia" w:ascii="仿宋_GB2312" w:hAnsi="仿宋_GB2312" w:eastAsia="仿宋_GB2312" w:cs="仿宋_GB2312"/>
          <w:kern w:val="0"/>
          <w:sz w:val="32"/>
          <w:szCs w:val="32"/>
          <w:highlight w:val="none"/>
        </w:rPr>
        <w:t>万元，与</w:t>
      </w:r>
      <w:r>
        <w:rPr>
          <w:rFonts w:hint="eastAsia" w:ascii="仿宋_GB2312" w:hAnsi="仿宋_GB2312" w:eastAsia="仿宋_GB2312" w:cs="仿宋_GB2312"/>
          <w:sz w:val="32"/>
          <w:szCs w:val="32"/>
          <w:highlight w:val="none"/>
          <w:lang w:val="en-US" w:eastAsia="zh-CN"/>
        </w:rPr>
        <w:t>上年</w:t>
      </w:r>
      <w:r>
        <w:rPr>
          <w:rFonts w:hint="eastAsia" w:ascii="仿宋_GB2312" w:hAnsi="仿宋_GB2312" w:eastAsia="仿宋_GB2312" w:cs="仿宋_GB2312"/>
          <w:sz w:val="32"/>
          <w:szCs w:val="32"/>
          <w:highlight w:val="none"/>
        </w:rPr>
        <w:t>相比，</w:t>
      </w:r>
      <w:r>
        <w:rPr>
          <w:rFonts w:hint="eastAsia" w:ascii="仿宋_GB2312" w:hAnsi="仿宋_GB2312" w:eastAsia="仿宋_GB2312" w:cs="仿宋_GB2312"/>
          <w:sz w:val="32"/>
          <w:szCs w:val="32"/>
          <w:highlight w:val="none"/>
          <w:lang w:eastAsia="zh-CN"/>
        </w:rPr>
        <w:t>增加</w:t>
      </w:r>
      <w:r>
        <w:rPr>
          <w:rFonts w:hint="eastAsia" w:ascii="仿宋_GB2312" w:hAnsi="仿宋_GB2312" w:eastAsia="仿宋_GB2312" w:cs="仿宋_GB2312"/>
          <w:sz w:val="32"/>
          <w:szCs w:val="32"/>
          <w:highlight w:val="none"/>
          <w:lang w:val="en-US" w:eastAsia="zh-CN"/>
        </w:rPr>
        <w:t>46.31</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增加</w:t>
      </w:r>
      <w:r>
        <w:rPr>
          <w:rFonts w:hint="eastAsia" w:ascii="仿宋_GB2312" w:hAnsi="仿宋_GB2312" w:eastAsia="仿宋_GB2312" w:cs="仿宋_GB2312"/>
          <w:kern w:val="0"/>
          <w:sz w:val="32"/>
          <w:szCs w:val="32"/>
          <w:highlight w:val="none"/>
        </w:rPr>
        <w:t>10.</w:t>
      </w:r>
      <w:r>
        <w:rPr>
          <w:rFonts w:hint="eastAsia" w:ascii="仿宋_GB2312" w:hAnsi="仿宋_GB2312" w:eastAsia="仿宋_GB2312" w:cs="仿宋_GB2312"/>
          <w:kern w:val="0"/>
          <w:sz w:val="32"/>
          <w:szCs w:val="32"/>
          <w:highlight w:val="none"/>
          <w:lang w:val="en-US" w:eastAsia="zh-CN"/>
        </w:rPr>
        <w:t>55</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sz w:val="32"/>
          <w:szCs w:val="32"/>
          <w:highlight w:val="none"/>
        </w:rPr>
        <w:t>幼儿数量</w:t>
      </w:r>
      <w:r>
        <w:rPr>
          <w:rFonts w:hint="eastAsia" w:ascii="仿宋_GB2312" w:hAnsi="仿宋_GB2312" w:eastAsia="仿宋_GB2312" w:cs="仿宋_GB2312"/>
          <w:sz w:val="32"/>
          <w:szCs w:val="32"/>
          <w:highlight w:val="none"/>
          <w:lang w:eastAsia="zh-CN"/>
        </w:rPr>
        <w:t>增加</w:t>
      </w:r>
      <w:r>
        <w:rPr>
          <w:rFonts w:hint="eastAsia" w:ascii="仿宋_GB2312" w:hAnsi="仿宋_GB2312" w:eastAsia="仿宋_GB2312" w:cs="仿宋_GB2312"/>
          <w:sz w:val="32"/>
          <w:szCs w:val="32"/>
          <w:highlight w:val="none"/>
        </w:rPr>
        <w:t>所致，人员调整，工资福利费</w:t>
      </w:r>
      <w:r>
        <w:rPr>
          <w:rFonts w:hint="eastAsia" w:ascii="仿宋_GB2312" w:hAnsi="仿宋_GB2312" w:eastAsia="仿宋_GB2312" w:cs="仿宋_GB2312"/>
          <w:sz w:val="32"/>
          <w:szCs w:val="32"/>
          <w:highlight w:val="none"/>
          <w:lang w:eastAsia="zh-CN"/>
        </w:rPr>
        <w:t>增加</w:t>
      </w:r>
      <w:r>
        <w:rPr>
          <w:rFonts w:hint="eastAsia" w:ascii="仿宋_GB2312" w:hAnsi="仿宋_GB2312" w:eastAsia="仿宋_GB2312" w:cs="仿宋_GB2312"/>
          <w:sz w:val="32"/>
          <w:szCs w:val="32"/>
          <w:highlight w:val="none"/>
        </w:rPr>
        <w:t>。</w:t>
      </w:r>
    </w:p>
    <w:p w14:paraId="5C7EB446">
      <w:pPr>
        <w:keepNext w:val="0"/>
        <w:keepLines w:val="0"/>
        <w:pageBreakBefore w:val="0"/>
        <w:widowControl/>
        <w:kinsoku/>
        <w:wordWrap/>
        <w:overflowPunct/>
        <w:topLinePunct w:val="0"/>
        <w:bidi w:val="0"/>
        <w:adjustRightInd/>
        <w:snapToGrid/>
        <w:spacing w:beforeAutospacing="0" w:afterAutospacing="0" w:line="600" w:lineRule="exact"/>
        <w:ind w:left="0" w:firstLine="646" w:firstLineChars="20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二、收入决算情况说明</w:t>
      </w:r>
    </w:p>
    <w:p w14:paraId="6FBA7ECD">
      <w:pPr>
        <w:keepNext w:val="0"/>
        <w:keepLines w:val="0"/>
        <w:pageBreakBefore w:val="0"/>
        <w:widowControl/>
        <w:kinsoku/>
        <w:wordWrap/>
        <w:overflowPunct/>
        <w:topLinePunct w:val="0"/>
        <w:bidi w:val="0"/>
        <w:adjustRightInd/>
        <w:snapToGrid/>
        <w:spacing w:beforeAutospacing="0" w:afterAutospacing="0" w:line="600" w:lineRule="exact"/>
        <w:ind w:left="0" w:firstLine="646" w:firstLineChars="200"/>
        <w:textAlignment w:val="auto"/>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kern w:val="0"/>
          <w:sz w:val="32"/>
          <w:szCs w:val="32"/>
          <w:highlight w:val="none"/>
        </w:rPr>
        <w:t>202</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年度</w:t>
      </w:r>
      <w:r>
        <w:rPr>
          <w:rFonts w:hint="eastAsia" w:ascii="仿宋_GB2312" w:hAnsi="仿宋_GB2312" w:eastAsia="仿宋_GB2312" w:cs="仿宋_GB2312"/>
          <w:color w:val="333333"/>
          <w:sz w:val="32"/>
          <w:szCs w:val="32"/>
          <w:highlight w:val="none"/>
        </w:rPr>
        <w:t>收入合计4</w:t>
      </w:r>
      <w:r>
        <w:rPr>
          <w:rFonts w:hint="eastAsia" w:ascii="仿宋_GB2312" w:hAnsi="仿宋_GB2312" w:eastAsia="仿宋_GB2312" w:cs="仿宋_GB2312"/>
          <w:color w:val="333333"/>
          <w:sz w:val="32"/>
          <w:szCs w:val="32"/>
          <w:highlight w:val="none"/>
          <w:lang w:val="en-US" w:eastAsia="zh-CN"/>
        </w:rPr>
        <w:t>85.3</w:t>
      </w:r>
      <w:r>
        <w:rPr>
          <w:rFonts w:hint="eastAsia" w:ascii="仿宋_GB2312" w:hAnsi="仿宋_GB2312" w:eastAsia="仿宋_GB2312" w:cs="仿宋_GB2312"/>
          <w:color w:val="333333"/>
          <w:sz w:val="32"/>
          <w:szCs w:val="32"/>
          <w:highlight w:val="none"/>
        </w:rPr>
        <w:t>万元，其中：财政拨款收入4</w:t>
      </w:r>
      <w:r>
        <w:rPr>
          <w:rFonts w:hint="eastAsia" w:ascii="仿宋_GB2312" w:hAnsi="仿宋_GB2312" w:eastAsia="仿宋_GB2312" w:cs="仿宋_GB2312"/>
          <w:color w:val="333333"/>
          <w:sz w:val="32"/>
          <w:szCs w:val="32"/>
          <w:highlight w:val="none"/>
          <w:lang w:val="en-US" w:eastAsia="zh-CN"/>
        </w:rPr>
        <w:t>85.3</w:t>
      </w:r>
      <w:r>
        <w:rPr>
          <w:rFonts w:hint="eastAsia" w:ascii="仿宋_GB2312" w:hAnsi="仿宋_GB2312" w:eastAsia="仿宋_GB2312" w:cs="仿宋_GB2312"/>
          <w:color w:val="333333"/>
          <w:sz w:val="32"/>
          <w:szCs w:val="32"/>
          <w:highlight w:val="none"/>
        </w:rPr>
        <w:t>万元，占比</w:t>
      </w:r>
      <w:r>
        <w:rPr>
          <w:rFonts w:hint="eastAsia" w:ascii="仿宋_GB2312" w:hAnsi="仿宋_GB2312" w:eastAsia="仿宋_GB2312" w:cs="仿宋_GB2312"/>
          <w:color w:val="333333"/>
          <w:sz w:val="32"/>
          <w:szCs w:val="32"/>
          <w:highlight w:val="none"/>
          <w:lang w:val="en-US" w:eastAsia="zh-CN"/>
        </w:rPr>
        <w:t>100</w:t>
      </w:r>
      <w:r>
        <w:rPr>
          <w:rFonts w:hint="eastAsia" w:ascii="仿宋_GB2312" w:hAnsi="仿宋_GB2312" w:eastAsia="仿宋_GB2312" w:cs="仿宋_GB2312"/>
          <w:color w:val="333333"/>
          <w:sz w:val="32"/>
          <w:szCs w:val="32"/>
          <w:highlight w:val="none"/>
        </w:rPr>
        <w:t>%</w:t>
      </w:r>
      <w:r>
        <w:rPr>
          <w:rFonts w:hint="eastAsia" w:ascii="仿宋_GB2312" w:hAnsi="仿宋_GB2312" w:eastAsia="仿宋_GB2312" w:cs="仿宋_GB2312"/>
          <w:color w:val="333333"/>
          <w:sz w:val="32"/>
          <w:szCs w:val="32"/>
          <w:highlight w:val="none"/>
          <w:lang w:eastAsia="zh-CN"/>
        </w:rPr>
        <w:t>。</w:t>
      </w:r>
    </w:p>
    <w:p w14:paraId="4C009C45">
      <w:pPr>
        <w:keepNext w:val="0"/>
        <w:keepLines w:val="0"/>
        <w:pageBreakBefore w:val="0"/>
        <w:widowControl/>
        <w:kinsoku/>
        <w:wordWrap/>
        <w:overflowPunct/>
        <w:topLinePunct w:val="0"/>
        <w:bidi w:val="0"/>
        <w:adjustRightInd/>
        <w:snapToGrid/>
        <w:spacing w:beforeAutospacing="0" w:afterAutospacing="0" w:line="600" w:lineRule="exact"/>
        <w:ind w:left="0" w:firstLine="646" w:firstLineChars="20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三、支出决算情况说明.</w:t>
      </w:r>
    </w:p>
    <w:p w14:paraId="124F3F1D">
      <w:pPr>
        <w:pStyle w:val="5"/>
        <w:keepNext w:val="0"/>
        <w:keepLines w:val="0"/>
        <w:pageBreakBefore w:val="0"/>
        <w:widowControl/>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年度</w:t>
      </w:r>
      <w:r>
        <w:rPr>
          <w:rFonts w:hint="eastAsia" w:ascii="仿宋_GB2312" w:hAnsi="仿宋_GB2312" w:eastAsia="仿宋_GB2312" w:cs="仿宋_GB2312"/>
          <w:color w:val="333333"/>
          <w:sz w:val="32"/>
          <w:szCs w:val="32"/>
          <w:highlight w:val="none"/>
        </w:rPr>
        <w:t>支出合计</w:t>
      </w:r>
      <w:r>
        <w:rPr>
          <w:rFonts w:hint="eastAsia" w:ascii="仿宋_GB2312" w:hAnsi="仿宋_GB2312" w:eastAsia="仿宋_GB2312" w:cs="仿宋_GB2312"/>
          <w:sz w:val="32"/>
          <w:szCs w:val="32"/>
          <w:highlight w:val="none"/>
        </w:rPr>
        <w:t>4</w:t>
      </w:r>
      <w:r>
        <w:rPr>
          <w:rFonts w:hint="eastAsia" w:ascii="仿宋_GB2312" w:hAnsi="仿宋_GB2312" w:eastAsia="仿宋_GB2312" w:cs="仿宋_GB2312"/>
          <w:sz w:val="32"/>
          <w:szCs w:val="32"/>
          <w:highlight w:val="none"/>
          <w:lang w:val="en-US" w:eastAsia="zh-CN"/>
        </w:rPr>
        <w:t>85.3</w:t>
      </w:r>
      <w:r>
        <w:rPr>
          <w:rFonts w:hint="eastAsia" w:ascii="仿宋_GB2312" w:hAnsi="仿宋_GB2312" w:eastAsia="仿宋_GB2312" w:cs="仿宋_GB2312"/>
          <w:color w:val="333333"/>
          <w:sz w:val="32"/>
          <w:szCs w:val="32"/>
          <w:highlight w:val="none"/>
        </w:rPr>
        <w:t>万元，其中：基本支出</w:t>
      </w:r>
      <w:r>
        <w:rPr>
          <w:rFonts w:hint="eastAsia" w:ascii="仿宋_GB2312" w:hAnsi="仿宋_GB2312" w:eastAsia="仿宋_GB2312" w:cs="仿宋_GB2312"/>
          <w:color w:val="333333"/>
          <w:sz w:val="32"/>
          <w:szCs w:val="32"/>
          <w:highlight w:val="none"/>
          <w:lang w:val="en-US" w:eastAsia="zh-CN"/>
        </w:rPr>
        <w:t>347.94</w:t>
      </w:r>
      <w:r>
        <w:rPr>
          <w:rFonts w:hint="eastAsia" w:ascii="仿宋_GB2312" w:hAnsi="仿宋_GB2312" w:eastAsia="仿宋_GB2312" w:cs="仿宋_GB2312"/>
          <w:color w:val="333333"/>
          <w:sz w:val="32"/>
          <w:szCs w:val="32"/>
          <w:highlight w:val="none"/>
        </w:rPr>
        <w:t>万元，占比</w:t>
      </w:r>
      <w:r>
        <w:rPr>
          <w:rFonts w:hint="eastAsia" w:ascii="仿宋_GB2312" w:hAnsi="仿宋_GB2312" w:eastAsia="仿宋_GB2312" w:cs="仿宋_GB2312"/>
          <w:color w:val="333333"/>
          <w:sz w:val="32"/>
          <w:szCs w:val="32"/>
          <w:highlight w:val="none"/>
          <w:lang w:val="en-US" w:eastAsia="zh-CN"/>
        </w:rPr>
        <w:t>71.7</w:t>
      </w:r>
      <w:r>
        <w:rPr>
          <w:rFonts w:hint="eastAsia" w:ascii="仿宋_GB2312" w:hAnsi="仿宋_GB2312" w:eastAsia="仿宋_GB2312" w:cs="仿宋_GB2312"/>
          <w:color w:val="333333"/>
          <w:sz w:val="32"/>
          <w:szCs w:val="32"/>
          <w:highlight w:val="none"/>
        </w:rPr>
        <w:t>%</w:t>
      </w:r>
      <w:r>
        <w:rPr>
          <w:rFonts w:hint="eastAsia" w:ascii="仿宋_GB2312" w:hAnsi="仿宋_GB2312" w:eastAsia="仿宋_GB2312" w:cs="仿宋_GB2312"/>
          <w:color w:val="000000"/>
          <w:sz w:val="32"/>
          <w:szCs w:val="32"/>
          <w:highlight w:val="none"/>
        </w:rPr>
        <w:t>；项目支出</w:t>
      </w:r>
      <w:r>
        <w:rPr>
          <w:rFonts w:hint="eastAsia" w:ascii="仿宋_GB2312" w:hAnsi="仿宋_GB2312" w:eastAsia="仿宋_GB2312" w:cs="仿宋_GB2312"/>
          <w:color w:val="000000"/>
          <w:sz w:val="32"/>
          <w:szCs w:val="32"/>
          <w:highlight w:val="none"/>
          <w:lang w:val="en-US" w:eastAsia="zh-CN"/>
        </w:rPr>
        <w:t>137.36</w:t>
      </w:r>
      <w:r>
        <w:rPr>
          <w:rFonts w:hint="eastAsia" w:ascii="仿宋_GB2312" w:hAnsi="仿宋_GB2312" w:eastAsia="仿宋_GB2312" w:cs="仿宋_GB2312"/>
          <w:color w:val="000000"/>
          <w:sz w:val="32"/>
          <w:szCs w:val="32"/>
          <w:highlight w:val="none"/>
        </w:rPr>
        <w:t>万元，占</w:t>
      </w:r>
      <w:r>
        <w:rPr>
          <w:rFonts w:hint="eastAsia" w:ascii="仿宋_GB2312" w:hAnsi="仿宋_GB2312" w:eastAsia="仿宋_GB2312" w:cs="仿宋_GB2312"/>
          <w:color w:val="333333"/>
          <w:sz w:val="32"/>
          <w:szCs w:val="32"/>
          <w:highlight w:val="none"/>
        </w:rPr>
        <w:t>比</w:t>
      </w:r>
      <w:r>
        <w:rPr>
          <w:rFonts w:hint="eastAsia" w:ascii="仿宋_GB2312" w:hAnsi="仿宋_GB2312" w:eastAsia="仿宋_GB2312" w:cs="仿宋_GB2312"/>
          <w:color w:val="000000"/>
          <w:sz w:val="32"/>
          <w:szCs w:val="32"/>
          <w:highlight w:val="none"/>
          <w:lang w:val="en-US" w:eastAsia="zh-CN"/>
        </w:rPr>
        <w:t>28.3</w:t>
      </w:r>
      <w:r>
        <w:rPr>
          <w:rFonts w:hint="eastAsia" w:ascii="仿宋_GB2312" w:hAnsi="仿宋_GB2312" w:eastAsia="仿宋_GB2312" w:cs="仿宋_GB2312"/>
          <w:color w:val="000000"/>
          <w:sz w:val="32"/>
          <w:szCs w:val="32"/>
          <w:highlight w:val="none"/>
        </w:rPr>
        <w:t>%。</w:t>
      </w:r>
    </w:p>
    <w:p w14:paraId="05CE358F">
      <w:pPr>
        <w:keepNext w:val="0"/>
        <w:keepLines w:val="0"/>
        <w:pageBreakBefore w:val="0"/>
        <w:widowControl/>
        <w:kinsoku/>
        <w:wordWrap/>
        <w:overflowPunct/>
        <w:topLinePunct w:val="0"/>
        <w:bidi w:val="0"/>
        <w:adjustRightInd/>
        <w:snapToGrid/>
        <w:spacing w:beforeAutospacing="0" w:afterAutospacing="0" w:line="600" w:lineRule="exact"/>
        <w:ind w:left="0" w:firstLine="646" w:firstLineChars="200"/>
        <w:textAlignment w:val="auto"/>
        <w:rPr>
          <w:rFonts w:hint="eastAsia" w:ascii="仿宋_GB2312" w:hAnsi="仿宋_GB2312" w:eastAsia="仿宋_GB2312" w:cs="仿宋_GB2312"/>
          <w:color w:val="333333"/>
          <w:sz w:val="32"/>
          <w:szCs w:val="32"/>
          <w:highlight w:val="none"/>
        </w:rPr>
      </w:pPr>
      <w:r>
        <w:rPr>
          <w:rFonts w:hint="eastAsia" w:ascii="仿宋_GB2312" w:hAnsi="仿宋_GB2312" w:eastAsia="仿宋_GB2312" w:cs="仿宋_GB2312"/>
          <w:color w:val="333333"/>
          <w:sz w:val="32"/>
          <w:szCs w:val="32"/>
          <w:highlight w:val="none"/>
        </w:rPr>
        <w:t>四、财政拨款收入支出决算总体情况说明</w:t>
      </w:r>
    </w:p>
    <w:p w14:paraId="6DF17A8E">
      <w:pPr>
        <w:keepNext w:val="0"/>
        <w:keepLines w:val="0"/>
        <w:pageBreakBefore w:val="0"/>
        <w:kinsoku/>
        <w:wordWrap/>
        <w:overflowPunct/>
        <w:topLinePunct w:val="0"/>
        <w:bidi w:val="0"/>
        <w:adjustRightInd/>
        <w:snapToGrid/>
        <w:spacing w:beforeAutospacing="0" w:afterAutospacing="0" w:line="600" w:lineRule="exact"/>
        <w:ind w:left="0" w:firstLine="646"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333333"/>
          <w:sz w:val="32"/>
          <w:szCs w:val="32"/>
          <w:highlight w:val="none"/>
        </w:rPr>
        <w:t>202</w:t>
      </w:r>
      <w:r>
        <w:rPr>
          <w:rFonts w:hint="eastAsia" w:ascii="仿宋_GB2312" w:hAnsi="仿宋_GB2312" w:eastAsia="仿宋_GB2312" w:cs="仿宋_GB2312"/>
          <w:color w:val="333333"/>
          <w:sz w:val="32"/>
          <w:szCs w:val="32"/>
          <w:highlight w:val="none"/>
          <w:lang w:val="en-US" w:eastAsia="zh-CN"/>
        </w:rPr>
        <w:t>2</w:t>
      </w:r>
      <w:r>
        <w:rPr>
          <w:rFonts w:hint="eastAsia" w:ascii="仿宋_GB2312" w:hAnsi="仿宋_GB2312" w:eastAsia="仿宋_GB2312" w:cs="仿宋_GB2312"/>
          <w:color w:val="333333"/>
          <w:sz w:val="32"/>
          <w:szCs w:val="32"/>
          <w:highlight w:val="none"/>
        </w:rPr>
        <w:t>年度财政拨款收、支总计</w:t>
      </w:r>
      <w:r>
        <w:rPr>
          <w:rFonts w:hint="eastAsia" w:ascii="仿宋_GB2312" w:hAnsi="仿宋_GB2312" w:eastAsia="仿宋_GB2312" w:cs="仿宋_GB2312"/>
          <w:color w:val="333333"/>
          <w:sz w:val="32"/>
          <w:szCs w:val="32"/>
          <w:highlight w:val="none"/>
          <w:lang w:val="en-US" w:eastAsia="zh-CN"/>
        </w:rPr>
        <w:t>均为</w:t>
      </w:r>
      <w:r>
        <w:rPr>
          <w:rFonts w:hint="eastAsia" w:ascii="仿宋_GB2312" w:hAnsi="仿宋_GB2312" w:eastAsia="仿宋_GB2312" w:cs="仿宋_GB2312"/>
          <w:color w:val="333333"/>
          <w:sz w:val="32"/>
          <w:szCs w:val="32"/>
          <w:highlight w:val="none"/>
        </w:rPr>
        <w:t>4</w:t>
      </w:r>
      <w:r>
        <w:rPr>
          <w:rFonts w:hint="eastAsia" w:ascii="仿宋_GB2312" w:hAnsi="仿宋_GB2312" w:eastAsia="仿宋_GB2312" w:cs="仿宋_GB2312"/>
          <w:color w:val="333333"/>
          <w:sz w:val="32"/>
          <w:szCs w:val="32"/>
          <w:highlight w:val="none"/>
          <w:lang w:val="en-US" w:eastAsia="zh-CN"/>
        </w:rPr>
        <w:t>85.3</w:t>
      </w:r>
      <w:r>
        <w:rPr>
          <w:rFonts w:hint="eastAsia" w:ascii="仿宋_GB2312" w:hAnsi="仿宋_GB2312" w:eastAsia="仿宋_GB2312" w:cs="仿宋_GB2312"/>
          <w:color w:val="333333"/>
          <w:sz w:val="32"/>
          <w:szCs w:val="32"/>
          <w:highlight w:val="none"/>
        </w:rPr>
        <w:t>万元，</w:t>
      </w:r>
      <w:r>
        <w:rPr>
          <w:rFonts w:hint="eastAsia" w:ascii="仿宋_GB2312" w:hAnsi="仿宋_GB2312" w:eastAsia="仿宋_GB2312" w:cs="仿宋_GB2312"/>
          <w:kern w:val="0"/>
          <w:sz w:val="32"/>
          <w:szCs w:val="32"/>
          <w:highlight w:val="none"/>
        </w:rPr>
        <w:t>与</w:t>
      </w:r>
      <w:r>
        <w:rPr>
          <w:rFonts w:hint="eastAsia" w:ascii="仿宋_GB2312" w:hAnsi="仿宋_GB2312" w:eastAsia="仿宋_GB2312" w:cs="仿宋_GB2312"/>
          <w:sz w:val="32"/>
          <w:szCs w:val="32"/>
          <w:highlight w:val="none"/>
          <w:lang w:val="en-US" w:eastAsia="zh-CN"/>
        </w:rPr>
        <w:t>上年</w:t>
      </w:r>
      <w:r>
        <w:rPr>
          <w:rFonts w:hint="eastAsia" w:ascii="仿宋_GB2312" w:hAnsi="仿宋_GB2312" w:eastAsia="仿宋_GB2312" w:cs="仿宋_GB2312"/>
          <w:sz w:val="32"/>
          <w:szCs w:val="32"/>
          <w:highlight w:val="none"/>
        </w:rPr>
        <w:t>相比</w:t>
      </w:r>
      <w:r>
        <w:rPr>
          <w:rFonts w:hint="eastAsia" w:ascii="仿宋_GB2312" w:hAnsi="仿宋_GB2312" w:eastAsia="仿宋_GB2312" w:cs="仿宋_GB2312"/>
          <w:color w:val="333333"/>
          <w:sz w:val="32"/>
          <w:szCs w:val="32"/>
          <w:highlight w:val="none"/>
        </w:rPr>
        <w:t>，</w:t>
      </w:r>
      <w:r>
        <w:rPr>
          <w:rFonts w:hint="eastAsia" w:ascii="仿宋_GB2312" w:hAnsi="仿宋_GB2312" w:eastAsia="仿宋_GB2312" w:cs="仿宋_GB2312"/>
          <w:color w:val="333333"/>
          <w:sz w:val="32"/>
          <w:szCs w:val="32"/>
          <w:highlight w:val="none"/>
          <w:lang w:eastAsia="zh-CN"/>
        </w:rPr>
        <w:t>增加</w:t>
      </w:r>
      <w:r>
        <w:rPr>
          <w:rFonts w:hint="eastAsia" w:ascii="仿宋_GB2312" w:hAnsi="仿宋_GB2312" w:eastAsia="仿宋_GB2312" w:cs="仿宋_GB2312"/>
          <w:color w:val="333333"/>
          <w:sz w:val="32"/>
          <w:szCs w:val="32"/>
          <w:highlight w:val="none"/>
          <w:lang w:val="en-US" w:eastAsia="zh-CN"/>
        </w:rPr>
        <w:t>46.31</w:t>
      </w:r>
      <w:r>
        <w:rPr>
          <w:rFonts w:hint="eastAsia" w:ascii="仿宋_GB2312" w:hAnsi="仿宋_GB2312" w:eastAsia="仿宋_GB2312" w:cs="仿宋_GB2312"/>
          <w:color w:val="333333"/>
          <w:sz w:val="32"/>
          <w:szCs w:val="32"/>
          <w:highlight w:val="none"/>
        </w:rPr>
        <w:t>万元，</w:t>
      </w:r>
      <w:r>
        <w:rPr>
          <w:rFonts w:hint="eastAsia" w:ascii="仿宋_GB2312" w:hAnsi="仿宋_GB2312" w:eastAsia="仿宋_GB2312" w:cs="仿宋_GB2312"/>
          <w:color w:val="333333"/>
          <w:sz w:val="32"/>
          <w:szCs w:val="32"/>
          <w:highlight w:val="none"/>
          <w:lang w:eastAsia="zh-CN"/>
        </w:rPr>
        <w:t>增加</w:t>
      </w:r>
      <w:r>
        <w:rPr>
          <w:rFonts w:hint="eastAsia" w:ascii="仿宋_GB2312" w:hAnsi="仿宋_GB2312" w:eastAsia="仿宋_GB2312" w:cs="仿宋_GB2312"/>
          <w:color w:val="333333"/>
          <w:sz w:val="32"/>
          <w:szCs w:val="32"/>
          <w:highlight w:val="none"/>
          <w:lang w:val="en-US" w:eastAsia="zh-CN"/>
        </w:rPr>
        <w:t>10.55</w:t>
      </w:r>
      <w:r>
        <w:rPr>
          <w:rFonts w:hint="eastAsia" w:ascii="仿宋_GB2312" w:hAnsi="仿宋_GB2312" w:eastAsia="仿宋_GB2312" w:cs="仿宋_GB2312"/>
          <w:color w:val="333333"/>
          <w:sz w:val="32"/>
          <w:szCs w:val="32"/>
          <w:highlight w:val="none"/>
        </w:rPr>
        <w:t>%。主要原因</w:t>
      </w:r>
      <w:r>
        <w:rPr>
          <w:rFonts w:hint="eastAsia" w:ascii="仿宋_GB2312" w:hAnsi="仿宋_GB2312" w:eastAsia="仿宋_GB2312" w:cs="仿宋_GB2312"/>
          <w:sz w:val="32"/>
          <w:szCs w:val="32"/>
          <w:highlight w:val="none"/>
        </w:rPr>
        <w:t>幼儿数量</w:t>
      </w:r>
      <w:r>
        <w:rPr>
          <w:rFonts w:hint="eastAsia" w:ascii="仿宋_GB2312" w:hAnsi="仿宋_GB2312" w:eastAsia="仿宋_GB2312" w:cs="仿宋_GB2312"/>
          <w:sz w:val="32"/>
          <w:szCs w:val="32"/>
          <w:highlight w:val="none"/>
          <w:lang w:eastAsia="zh-CN"/>
        </w:rPr>
        <w:t>增加</w:t>
      </w:r>
      <w:r>
        <w:rPr>
          <w:rFonts w:hint="eastAsia" w:ascii="仿宋_GB2312" w:hAnsi="仿宋_GB2312" w:eastAsia="仿宋_GB2312" w:cs="仿宋_GB2312"/>
          <w:sz w:val="32"/>
          <w:szCs w:val="32"/>
          <w:highlight w:val="none"/>
        </w:rPr>
        <w:t>所致，人员调整，工资福利费</w:t>
      </w:r>
      <w:r>
        <w:rPr>
          <w:rFonts w:hint="eastAsia" w:ascii="仿宋_GB2312" w:hAnsi="仿宋_GB2312" w:eastAsia="仿宋_GB2312" w:cs="仿宋_GB2312"/>
          <w:sz w:val="32"/>
          <w:szCs w:val="32"/>
          <w:highlight w:val="none"/>
          <w:lang w:eastAsia="zh-CN"/>
        </w:rPr>
        <w:t>增加</w:t>
      </w:r>
      <w:r>
        <w:rPr>
          <w:rFonts w:hint="eastAsia" w:ascii="仿宋_GB2312" w:hAnsi="仿宋_GB2312" w:eastAsia="仿宋_GB2312" w:cs="仿宋_GB2312"/>
          <w:sz w:val="32"/>
          <w:szCs w:val="32"/>
          <w:highlight w:val="none"/>
        </w:rPr>
        <w:t>。</w:t>
      </w:r>
    </w:p>
    <w:p w14:paraId="67F24AB5">
      <w:pPr>
        <w:keepNext w:val="0"/>
        <w:keepLines w:val="0"/>
        <w:pageBreakBefore w:val="0"/>
        <w:widowControl/>
        <w:kinsoku/>
        <w:wordWrap/>
        <w:overflowPunct/>
        <w:topLinePunct w:val="0"/>
        <w:bidi w:val="0"/>
        <w:adjustRightInd/>
        <w:snapToGrid/>
        <w:spacing w:beforeAutospacing="0" w:afterAutospacing="0" w:line="600" w:lineRule="exact"/>
        <w:ind w:left="0" w:firstLine="646" w:firstLineChars="20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color w:val="333333"/>
          <w:sz w:val="32"/>
          <w:szCs w:val="32"/>
          <w:highlight w:val="none"/>
        </w:rPr>
        <w:t>五、</w:t>
      </w:r>
      <w:r>
        <w:rPr>
          <w:rFonts w:hint="eastAsia" w:ascii="仿宋_GB2312" w:hAnsi="仿宋_GB2312" w:eastAsia="仿宋_GB2312" w:cs="仿宋_GB2312"/>
          <w:kern w:val="0"/>
          <w:sz w:val="32"/>
          <w:szCs w:val="32"/>
          <w:highlight w:val="none"/>
        </w:rPr>
        <w:t>一般公共预算财政拨款支出决算情况说明</w:t>
      </w:r>
    </w:p>
    <w:p w14:paraId="3F0AB5F9">
      <w:pPr>
        <w:keepNext w:val="0"/>
        <w:keepLines w:val="0"/>
        <w:pageBreakBefore w:val="0"/>
        <w:widowControl/>
        <w:kinsoku/>
        <w:wordWrap/>
        <w:overflowPunct/>
        <w:topLinePunct w:val="0"/>
        <w:bidi w:val="0"/>
        <w:adjustRightInd/>
        <w:snapToGrid/>
        <w:spacing w:beforeAutospacing="0" w:afterAutospacing="0" w:line="600" w:lineRule="exact"/>
        <w:ind w:left="0" w:firstLine="646" w:firstLineChars="20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（一）财政拨款支出决算总体情况</w:t>
      </w:r>
    </w:p>
    <w:p w14:paraId="6F9593D4">
      <w:pPr>
        <w:pStyle w:val="5"/>
        <w:keepNext w:val="0"/>
        <w:keepLines w:val="0"/>
        <w:pageBreakBefore w:val="0"/>
        <w:widowControl/>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color w:val="333333"/>
          <w:sz w:val="32"/>
          <w:szCs w:val="32"/>
          <w:highlight w:val="none"/>
        </w:rPr>
      </w:pPr>
      <w:r>
        <w:rPr>
          <w:rFonts w:hint="eastAsia" w:ascii="仿宋_GB2312" w:hAnsi="仿宋_GB2312" w:eastAsia="仿宋_GB2312" w:cs="仿宋_GB2312"/>
          <w:color w:val="333333"/>
          <w:sz w:val="32"/>
          <w:szCs w:val="32"/>
          <w:highlight w:val="none"/>
        </w:rPr>
        <w:t>202</w:t>
      </w:r>
      <w:r>
        <w:rPr>
          <w:rFonts w:hint="eastAsia" w:ascii="仿宋_GB2312" w:hAnsi="仿宋_GB2312" w:eastAsia="仿宋_GB2312" w:cs="仿宋_GB2312"/>
          <w:color w:val="333333"/>
          <w:sz w:val="32"/>
          <w:szCs w:val="32"/>
          <w:highlight w:val="none"/>
          <w:lang w:val="en-US" w:eastAsia="zh-CN"/>
        </w:rPr>
        <w:t>2</w:t>
      </w:r>
      <w:r>
        <w:rPr>
          <w:rFonts w:hint="eastAsia" w:ascii="仿宋_GB2312" w:hAnsi="仿宋_GB2312" w:eastAsia="仿宋_GB2312" w:cs="仿宋_GB2312"/>
          <w:color w:val="333333"/>
          <w:sz w:val="32"/>
          <w:szCs w:val="32"/>
          <w:highlight w:val="none"/>
        </w:rPr>
        <w:t>年度一般公共预算财政拨款支出</w:t>
      </w:r>
      <w:r>
        <w:rPr>
          <w:rFonts w:hint="eastAsia" w:ascii="仿宋_GB2312" w:hAnsi="仿宋_GB2312" w:eastAsia="仿宋_GB2312" w:cs="仿宋_GB2312"/>
          <w:color w:val="333333"/>
          <w:sz w:val="32"/>
          <w:szCs w:val="32"/>
          <w:highlight w:val="none"/>
          <w:lang w:val="en-US" w:eastAsia="zh-CN"/>
        </w:rPr>
        <w:t>485.3</w:t>
      </w:r>
      <w:r>
        <w:rPr>
          <w:rFonts w:hint="eastAsia" w:ascii="仿宋_GB2312" w:hAnsi="仿宋_GB2312" w:eastAsia="仿宋_GB2312" w:cs="仿宋_GB2312"/>
          <w:color w:val="333333"/>
          <w:sz w:val="32"/>
          <w:szCs w:val="32"/>
          <w:highlight w:val="none"/>
        </w:rPr>
        <w:t>万元，</w:t>
      </w:r>
      <w:r>
        <w:rPr>
          <w:rFonts w:hint="eastAsia" w:ascii="仿宋_GB2312" w:hAnsi="仿宋_GB2312" w:eastAsia="仿宋_GB2312" w:cs="仿宋_GB2312"/>
          <w:color w:val="000000"/>
          <w:sz w:val="32"/>
          <w:szCs w:val="32"/>
          <w:highlight w:val="none"/>
        </w:rPr>
        <w:t>占本年支出合计的</w:t>
      </w:r>
      <w:r>
        <w:rPr>
          <w:rFonts w:hint="eastAsia" w:ascii="仿宋_GB2312" w:hAnsi="仿宋_GB2312" w:eastAsia="仿宋_GB2312" w:cs="仿宋_GB2312"/>
          <w:color w:val="000000"/>
          <w:sz w:val="32"/>
          <w:szCs w:val="32"/>
          <w:highlight w:val="none"/>
          <w:lang w:val="en-US" w:eastAsia="zh-CN"/>
        </w:rPr>
        <w:t>100</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kern w:val="0"/>
          <w:sz w:val="32"/>
          <w:szCs w:val="32"/>
          <w:highlight w:val="none"/>
        </w:rPr>
        <w:t>与</w:t>
      </w:r>
      <w:r>
        <w:rPr>
          <w:rFonts w:hint="eastAsia" w:ascii="仿宋_GB2312" w:hAnsi="仿宋_GB2312" w:eastAsia="仿宋_GB2312" w:cs="仿宋_GB2312"/>
          <w:sz w:val="32"/>
          <w:szCs w:val="32"/>
          <w:highlight w:val="none"/>
          <w:lang w:val="en-US" w:eastAsia="zh-CN"/>
        </w:rPr>
        <w:t>上年</w:t>
      </w:r>
      <w:r>
        <w:rPr>
          <w:rFonts w:hint="eastAsia" w:ascii="仿宋_GB2312" w:hAnsi="仿宋_GB2312" w:eastAsia="仿宋_GB2312" w:cs="仿宋_GB2312"/>
          <w:sz w:val="32"/>
          <w:szCs w:val="32"/>
          <w:highlight w:val="none"/>
        </w:rPr>
        <w:t>相比</w:t>
      </w:r>
      <w:r>
        <w:rPr>
          <w:rFonts w:hint="eastAsia" w:ascii="仿宋_GB2312" w:hAnsi="仿宋_GB2312" w:eastAsia="仿宋_GB2312" w:cs="仿宋_GB2312"/>
          <w:color w:val="333333"/>
          <w:sz w:val="32"/>
          <w:szCs w:val="32"/>
          <w:highlight w:val="none"/>
        </w:rPr>
        <w:t>，</w:t>
      </w:r>
      <w:r>
        <w:rPr>
          <w:rFonts w:hint="eastAsia" w:ascii="仿宋_GB2312" w:hAnsi="仿宋_GB2312" w:eastAsia="仿宋_GB2312" w:cs="仿宋_GB2312"/>
          <w:color w:val="333333"/>
          <w:sz w:val="32"/>
          <w:szCs w:val="32"/>
          <w:highlight w:val="none"/>
          <w:lang w:eastAsia="zh-CN"/>
        </w:rPr>
        <w:t>增加</w:t>
      </w:r>
      <w:r>
        <w:rPr>
          <w:rFonts w:hint="eastAsia" w:ascii="仿宋_GB2312" w:hAnsi="仿宋_GB2312" w:eastAsia="仿宋_GB2312" w:cs="仿宋_GB2312"/>
          <w:color w:val="333333"/>
          <w:sz w:val="32"/>
          <w:szCs w:val="32"/>
          <w:highlight w:val="none"/>
          <w:lang w:val="en-US" w:eastAsia="zh-CN"/>
        </w:rPr>
        <w:t>46.31</w:t>
      </w:r>
      <w:r>
        <w:rPr>
          <w:rFonts w:hint="eastAsia" w:ascii="仿宋_GB2312" w:hAnsi="仿宋_GB2312" w:eastAsia="仿宋_GB2312" w:cs="仿宋_GB2312"/>
          <w:color w:val="333333"/>
          <w:sz w:val="32"/>
          <w:szCs w:val="32"/>
          <w:highlight w:val="none"/>
        </w:rPr>
        <w:t>万元，</w:t>
      </w:r>
      <w:r>
        <w:rPr>
          <w:rFonts w:hint="eastAsia" w:ascii="仿宋_GB2312" w:hAnsi="仿宋_GB2312" w:eastAsia="仿宋_GB2312" w:cs="仿宋_GB2312"/>
          <w:color w:val="333333"/>
          <w:sz w:val="32"/>
          <w:szCs w:val="32"/>
          <w:highlight w:val="none"/>
          <w:lang w:eastAsia="zh-CN"/>
        </w:rPr>
        <w:t>增加</w:t>
      </w:r>
      <w:r>
        <w:rPr>
          <w:rFonts w:hint="eastAsia" w:ascii="仿宋_GB2312" w:hAnsi="仿宋_GB2312" w:eastAsia="仿宋_GB2312" w:cs="仿宋_GB2312"/>
          <w:color w:val="333333"/>
          <w:sz w:val="32"/>
          <w:szCs w:val="32"/>
          <w:highlight w:val="none"/>
          <w:lang w:val="en-US" w:eastAsia="zh-CN"/>
        </w:rPr>
        <w:t>4.26</w:t>
      </w:r>
      <w:r>
        <w:rPr>
          <w:rFonts w:hint="eastAsia" w:ascii="仿宋_GB2312" w:hAnsi="仿宋_GB2312" w:eastAsia="仿宋_GB2312" w:cs="仿宋_GB2312"/>
          <w:color w:val="333333"/>
          <w:sz w:val="32"/>
          <w:szCs w:val="32"/>
          <w:highlight w:val="none"/>
        </w:rPr>
        <w:t>%。主要原因</w:t>
      </w:r>
      <w:r>
        <w:rPr>
          <w:rFonts w:hint="eastAsia" w:ascii="仿宋_GB2312" w:hAnsi="仿宋_GB2312" w:eastAsia="仿宋_GB2312" w:cs="仿宋_GB2312"/>
          <w:color w:val="000000"/>
          <w:sz w:val="32"/>
          <w:szCs w:val="32"/>
          <w:highlight w:val="none"/>
        </w:rPr>
        <w:t>是因为人员经费</w:t>
      </w:r>
      <w:r>
        <w:rPr>
          <w:rFonts w:hint="eastAsia" w:ascii="仿宋_GB2312" w:hAnsi="仿宋_GB2312" w:eastAsia="仿宋_GB2312" w:cs="仿宋_GB2312"/>
          <w:color w:val="000000"/>
          <w:sz w:val="32"/>
          <w:szCs w:val="32"/>
          <w:highlight w:val="none"/>
          <w:lang w:eastAsia="zh-CN"/>
        </w:rPr>
        <w:t>增加</w:t>
      </w:r>
      <w:r>
        <w:rPr>
          <w:rFonts w:hint="eastAsia" w:ascii="仿宋_GB2312" w:hAnsi="仿宋_GB2312" w:eastAsia="仿宋_GB2312" w:cs="仿宋_GB2312"/>
          <w:color w:val="000000"/>
          <w:sz w:val="32"/>
          <w:szCs w:val="32"/>
          <w:highlight w:val="none"/>
        </w:rPr>
        <w:t>。</w:t>
      </w:r>
    </w:p>
    <w:p w14:paraId="16710156">
      <w:pPr>
        <w:keepNext w:val="0"/>
        <w:keepLines w:val="0"/>
        <w:pageBreakBefore w:val="0"/>
        <w:widowControl/>
        <w:numPr>
          <w:ilvl w:val="0"/>
          <w:numId w:val="1"/>
        </w:numPr>
        <w:kinsoku/>
        <w:wordWrap/>
        <w:overflowPunct/>
        <w:topLinePunct w:val="0"/>
        <w:bidi w:val="0"/>
        <w:adjustRightInd/>
        <w:snapToGrid/>
        <w:spacing w:beforeAutospacing="0" w:afterAutospacing="0" w:line="600" w:lineRule="exact"/>
        <w:ind w:left="0" w:firstLine="646" w:firstLineChars="20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财政拨款支出决算结构情况</w:t>
      </w:r>
    </w:p>
    <w:p w14:paraId="5E49086A">
      <w:pPr>
        <w:pStyle w:val="5"/>
        <w:keepNext w:val="0"/>
        <w:keepLines w:val="0"/>
        <w:pageBreakBefore w:val="0"/>
        <w:widowControl/>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333333"/>
          <w:sz w:val="32"/>
          <w:szCs w:val="32"/>
          <w:highlight w:val="none"/>
        </w:rPr>
        <w:t>202</w:t>
      </w:r>
      <w:r>
        <w:rPr>
          <w:rFonts w:hint="eastAsia" w:ascii="仿宋_GB2312" w:hAnsi="仿宋_GB2312" w:eastAsia="仿宋_GB2312" w:cs="仿宋_GB2312"/>
          <w:color w:val="333333"/>
          <w:sz w:val="32"/>
          <w:szCs w:val="32"/>
          <w:highlight w:val="none"/>
          <w:lang w:val="en-US" w:eastAsia="zh-CN"/>
        </w:rPr>
        <w:t>2</w:t>
      </w:r>
      <w:r>
        <w:rPr>
          <w:rFonts w:hint="eastAsia" w:ascii="仿宋_GB2312" w:hAnsi="仿宋_GB2312" w:eastAsia="仿宋_GB2312" w:cs="仿宋_GB2312"/>
          <w:color w:val="333333"/>
          <w:sz w:val="32"/>
          <w:szCs w:val="32"/>
          <w:highlight w:val="none"/>
        </w:rPr>
        <w:t>年度一般公共预算财政拨款基本支出</w:t>
      </w:r>
      <w:r>
        <w:rPr>
          <w:rFonts w:hint="eastAsia" w:ascii="仿宋_GB2312" w:hAnsi="仿宋_GB2312" w:eastAsia="仿宋_GB2312" w:cs="仿宋_GB2312"/>
          <w:color w:val="333333"/>
          <w:sz w:val="32"/>
          <w:szCs w:val="32"/>
          <w:highlight w:val="none"/>
          <w:lang w:val="en-US" w:eastAsia="zh-CN"/>
        </w:rPr>
        <w:t>485.3</w:t>
      </w:r>
      <w:r>
        <w:rPr>
          <w:rFonts w:hint="eastAsia" w:ascii="仿宋_GB2312" w:hAnsi="仿宋_GB2312" w:eastAsia="仿宋_GB2312" w:cs="仿宋_GB2312"/>
          <w:color w:val="333333"/>
          <w:sz w:val="32"/>
          <w:szCs w:val="32"/>
          <w:highlight w:val="none"/>
        </w:rPr>
        <w:t>万元，</w:t>
      </w:r>
      <w:r>
        <w:rPr>
          <w:rFonts w:hint="eastAsia" w:ascii="仿宋_GB2312" w:hAnsi="仿宋_GB2312" w:eastAsia="仿宋_GB2312" w:cs="仿宋_GB2312"/>
          <w:color w:val="000000"/>
          <w:sz w:val="32"/>
          <w:szCs w:val="32"/>
          <w:highlight w:val="none"/>
        </w:rPr>
        <w:t>主要用于以下方面：教育（类）支出</w:t>
      </w:r>
      <w:r>
        <w:rPr>
          <w:rFonts w:hint="eastAsia" w:ascii="仿宋_GB2312" w:hAnsi="仿宋_GB2312" w:eastAsia="仿宋_GB2312" w:cs="仿宋_GB2312"/>
          <w:color w:val="000000"/>
          <w:sz w:val="32"/>
          <w:szCs w:val="32"/>
          <w:highlight w:val="none"/>
          <w:lang w:val="en-US" w:eastAsia="zh-CN"/>
        </w:rPr>
        <w:t>421.67</w:t>
      </w:r>
      <w:r>
        <w:rPr>
          <w:rFonts w:hint="eastAsia" w:ascii="仿宋_GB2312" w:hAnsi="仿宋_GB2312" w:eastAsia="仿宋_GB2312" w:cs="仿宋_GB2312"/>
          <w:color w:val="000000"/>
          <w:sz w:val="32"/>
          <w:szCs w:val="32"/>
          <w:highlight w:val="none"/>
        </w:rPr>
        <w:t>万元，占</w:t>
      </w:r>
      <w:r>
        <w:rPr>
          <w:rFonts w:hint="eastAsia" w:ascii="仿宋_GB2312" w:hAnsi="仿宋_GB2312" w:eastAsia="仿宋_GB2312" w:cs="仿宋_GB2312"/>
          <w:color w:val="000000"/>
          <w:sz w:val="32"/>
          <w:szCs w:val="32"/>
          <w:highlight w:val="none"/>
          <w:lang w:val="en-US" w:eastAsia="zh-CN"/>
        </w:rPr>
        <w:t>86.89</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社会保障和就业（类）支出</w:t>
      </w:r>
      <w:r>
        <w:rPr>
          <w:rFonts w:hint="eastAsia" w:ascii="仿宋_GB2312" w:hAnsi="仿宋_GB2312" w:eastAsia="仿宋_GB2312" w:cs="仿宋_GB2312"/>
          <w:color w:val="000000"/>
          <w:sz w:val="32"/>
          <w:szCs w:val="32"/>
          <w:highlight w:val="none"/>
          <w:lang w:val="en-US" w:eastAsia="zh-CN"/>
        </w:rPr>
        <w:t>51.24</w:t>
      </w:r>
      <w:r>
        <w:rPr>
          <w:rFonts w:hint="eastAsia" w:ascii="仿宋_GB2312" w:hAnsi="仿宋_GB2312" w:eastAsia="仿宋_GB2312" w:cs="仿宋_GB2312"/>
          <w:color w:val="000000"/>
          <w:sz w:val="32"/>
          <w:szCs w:val="32"/>
          <w:highlight w:val="none"/>
        </w:rPr>
        <w:t>万元，占</w:t>
      </w:r>
      <w:r>
        <w:rPr>
          <w:rFonts w:hint="eastAsia" w:ascii="仿宋_GB2312" w:hAnsi="仿宋_GB2312" w:eastAsia="仿宋_GB2312" w:cs="仿宋_GB2312"/>
          <w:color w:val="000000"/>
          <w:sz w:val="32"/>
          <w:szCs w:val="32"/>
          <w:highlight w:val="none"/>
          <w:lang w:val="en-US" w:eastAsia="zh-CN"/>
        </w:rPr>
        <w:t>10.56</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卫生健康（类）支出12.</w:t>
      </w:r>
      <w:r>
        <w:rPr>
          <w:rFonts w:hint="eastAsia" w:ascii="仿宋_GB2312" w:hAnsi="仿宋_GB2312" w:eastAsia="仿宋_GB2312" w:cs="仿宋_GB2312"/>
          <w:color w:val="000000"/>
          <w:sz w:val="32"/>
          <w:szCs w:val="32"/>
          <w:highlight w:val="none"/>
          <w:lang w:val="en-US" w:eastAsia="zh-CN"/>
        </w:rPr>
        <w:t>38</w:t>
      </w:r>
      <w:r>
        <w:rPr>
          <w:rFonts w:hint="eastAsia" w:ascii="仿宋_GB2312" w:hAnsi="仿宋_GB2312" w:eastAsia="仿宋_GB2312" w:cs="仿宋_GB2312"/>
          <w:color w:val="000000"/>
          <w:sz w:val="32"/>
          <w:szCs w:val="32"/>
          <w:highlight w:val="none"/>
        </w:rPr>
        <w:t>万元，占2.</w:t>
      </w:r>
      <w:r>
        <w:rPr>
          <w:rFonts w:hint="eastAsia" w:ascii="仿宋_GB2312" w:hAnsi="仿宋_GB2312" w:eastAsia="仿宋_GB2312" w:cs="仿宋_GB2312"/>
          <w:color w:val="000000"/>
          <w:sz w:val="32"/>
          <w:szCs w:val="32"/>
          <w:highlight w:val="none"/>
          <w:lang w:val="en-US" w:eastAsia="zh-CN"/>
        </w:rPr>
        <w:t>55</w:t>
      </w:r>
      <w:r>
        <w:rPr>
          <w:rFonts w:hint="eastAsia" w:ascii="仿宋_GB2312" w:hAnsi="仿宋_GB2312" w:eastAsia="仿宋_GB2312" w:cs="仿宋_GB2312"/>
          <w:color w:val="000000"/>
          <w:sz w:val="32"/>
          <w:szCs w:val="32"/>
          <w:highlight w:val="none"/>
        </w:rPr>
        <w:t>%。</w:t>
      </w:r>
    </w:p>
    <w:p w14:paraId="1A098A91">
      <w:pPr>
        <w:keepNext w:val="0"/>
        <w:keepLines w:val="0"/>
        <w:pageBreakBefore w:val="0"/>
        <w:widowControl/>
        <w:kinsoku/>
        <w:wordWrap/>
        <w:overflowPunct/>
        <w:topLinePunct w:val="0"/>
        <w:bidi w:val="0"/>
        <w:adjustRightInd/>
        <w:snapToGrid/>
        <w:spacing w:beforeAutospacing="0" w:afterAutospacing="0" w:line="600" w:lineRule="exact"/>
        <w:ind w:left="0" w:firstLine="646" w:firstLineChars="20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bCs/>
          <w:kern w:val="0"/>
          <w:sz w:val="32"/>
          <w:szCs w:val="32"/>
          <w:highlight w:val="none"/>
        </w:rPr>
        <w:t>（三）财政拨款支出决算具体情况。</w:t>
      </w:r>
    </w:p>
    <w:p w14:paraId="1B251D0C">
      <w:pPr>
        <w:pStyle w:val="5"/>
        <w:keepNext w:val="0"/>
        <w:keepLines w:val="0"/>
        <w:pageBreakBefore w:val="0"/>
        <w:widowControl/>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20</w:t>
      </w:r>
      <w:r>
        <w:rPr>
          <w:rFonts w:hint="eastAsia" w:ascii="仿宋_GB2312" w:hAnsi="仿宋_GB2312" w:eastAsia="仿宋_GB2312" w:cs="仿宋_GB2312"/>
          <w:color w:val="000000"/>
          <w:sz w:val="32"/>
          <w:szCs w:val="32"/>
          <w:highlight w:val="none"/>
          <w:lang w:val="en-US" w:eastAsia="zh-CN"/>
        </w:rPr>
        <w:t>22</w:t>
      </w:r>
      <w:r>
        <w:rPr>
          <w:rFonts w:hint="eastAsia" w:ascii="仿宋_GB2312" w:hAnsi="仿宋_GB2312" w:eastAsia="仿宋_GB2312" w:cs="仿宋_GB2312"/>
          <w:color w:val="000000"/>
          <w:sz w:val="32"/>
          <w:szCs w:val="32"/>
          <w:highlight w:val="none"/>
        </w:rPr>
        <w:t>年度财政拨款支出年初预算数为</w:t>
      </w:r>
      <w:r>
        <w:rPr>
          <w:rFonts w:hint="eastAsia" w:ascii="仿宋_GB2312" w:hAnsi="仿宋_GB2312" w:eastAsia="仿宋_GB2312" w:cs="仿宋_GB2312"/>
          <w:color w:val="000000"/>
          <w:sz w:val="32"/>
          <w:szCs w:val="32"/>
          <w:highlight w:val="none"/>
          <w:lang w:val="en-US" w:eastAsia="zh-CN"/>
        </w:rPr>
        <w:t>353.36</w:t>
      </w:r>
      <w:r>
        <w:rPr>
          <w:rFonts w:hint="eastAsia" w:ascii="仿宋_GB2312" w:hAnsi="仿宋_GB2312" w:eastAsia="仿宋_GB2312" w:cs="仿宋_GB2312"/>
          <w:color w:val="000000"/>
          <w:sz w:val="32"/>
          <w:szCs w:val="32"/>
          <w:highlight w:val="none"/>
        </w:rPr>
        <w:t>万元，支出决算数为4</w:t>
      </w:r>
      <w:r>
        <w:rPr>
          <w:rFonts w:hint="eastAsia" w:ascii="仿宋_GB2312" w:hAnsi="仿宋_GB2312" w:eastAsia="仿宋_GB2312" w:cs="仿宋_GB2312"/>
          <w:color w:val="000000"/>
          <w:sz w:val="32"/>
          <w:szCs w:val="32"/>
          <w:highlight w:val="none"/>
          <w:lang w:val="en-US" w:eastAsia="zh-CN"/>
        </w:rPr>
        <w:t>85.3</w:t>
      </w:r>
      <w:r>
        <w:rPr>
          <w:rFonts w:hint="eastAsia" w:ascii="仿宋_GB2312" w:hAnsi="仿宋_GB2312" w:eastAsia="仿宋_GB2312" w:cs="仿宋_GB2312"/>
          <w:color w:val="000000"/>
          <w:sz w:val="32"/>
          <w:szCs w:val="32"/>
          <w:highlight w:val="none"/>
        </w:rPr>
        <w:t>万元，完成年初预算的</w:t>
      </w:r>
      <w:r>
        <w:rPr>
          <w:rFonts w:hint="eastAsia" w:ascii="仿宋_GB2312" w:hAnsi="仿宋_GB2312" w:eastAsia="仿宋_GB2312" w:cs="仿宋_GB2312"/>
          <w:color w:val="000000"/>
          <w:sz w:val="32"/>
          <w:szCs w:val="32"/>
          <w:highlight w:val="none"/>
          <w:lang w:val="en-US" w:eastAsia="zh-CN"/>
        </w:rPr>
        <w:t>137.34</w:t>
      </w:r>
      <w:r>
        <w:rPr>
          <w:rFonts w:hint="eastAsia" w:ascii="仿宋_GB2312" w:hAnsi="仿宋_GB2312" w:eastAsia="仿宋_GB2312" w:cs="仿宋_GB2312"/>
          <w:color w:val="000000"/>
          <w:sz w:val="32"/>
          <w:szCs w:val="32"/>
          <w:highlight w:val="none"/>
        </w:rPr>
        <w:t>%，其中：</w:t>
      </w:r>
    </w:p>
    <w:p w14:paraId="675C0D25">
      <w:pPr>
        <w:pStyle w:val="5"/>
        <w:keepNext w:val="0"/>
        <w:keepLines w:val="0"/>
        <w:pageBreakBefore w:val="0"/>
        <w:widowControl/>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rPr>
        <w:t>、教育</w:t>
      </w:r>
      <w:r>
        <w:rPr>
          <w:rFonts w:hint="eastAsia" w:ascii="仿宋_GB2312" w:hAnsi="仿宋_GB2312" w:eastAsia="仿宋_GB2312" w:cs="仿宋_GB2312"/>
          <w:color w:val="000000"/>
          <w:sz w:val="32"/>
          <w:szCs w:val="32"/>
          <w:highlight w:val="none"/>
          <w:lang w:val="en-US" w:eastAsia="zh-CN"/>
        </w:rPr>
        <w:t>支出</w:t>
      </w:r>
      <w:r>
        <w:rPr>
          <w:rFonts w:hint="eastAsia" w:ascii="仿宋_GB2312" w:hAnsi="仿宋_GB2312" w:eastAsia="仿宋_GB2312" w:cs="仿宋_GB2312"/>
          <w:color w:val="000000"/>
          <w:sz w:val="32"/>
          <w:szCs w:val="32"/>
          <w:highlight w:val="none"/>
        </w:rPr>
        <w:t>（类）普通教育（款）学前教育（项）。</w:t>
      </w:r>
    </w:p>
    <w:p w14:paraId="50D93CA3">
      <w:pPr>
        <w:pStyle w:val="5"/>
        <w:keepNext w:val="0"/>
        <w:keepLines w:val="0"/>
        <w:pageBreakBefore w:val="0"/>
        <w:widowControl/>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年初预算为</w:t>
      </w:r>
      <w:r>
        <w:rPr>
          <w:rFonts w:hint="eastAsia" w:ascii="仿宋_GB2312" w:hAnsi="仿宋_GB2312" w:eastAsia="仿宋_GB2312" w:cs="仿宋_GB2312"/>
          <w:color w:val="000000"/>
          <w:sz w:val="32"/>
          <w:szCs w:val="32"/>
          <w:highlight w:val="none"/>
          <w:lang w:val="en-US" w:eastAsia="zh-CN"/>
        </w:rPr>
        <w:t>353.36</w:t>
      </w:r>
      <w:r>
        <w:rPr>
          <w:rFonts w:hint="eastAsia" w:ascii="仿宋_GB2312" w:hAnsi="仿宋_GB2312" w:eastAsia="仿宋_GB2312" w:cs="仿宋_GB2312"/>
          <w:color w:val="000000"/>
          <w:sz w:val="32"/>
          <w:szCs w:val="32"/>
          <w:highlight w:val="none"/>
        </w:rPr>
        <w:t>万元，支出决算为</w:t>
      </w:r>
      <w:r>
        <w:rPr>
          <w:rFonts w:hint="eastAsia" w:ascii="仿宋_GB2312" w:hAnsi="仿宋_GB2312" w:eastAsia="仿宋_GB2312" w:cs="仿宋_GB2312"/>
          <w:color w:val="000000"/>
          <w:sz w:val="32"/>
          <w:szCs w:val="32"/>
          <w:highlight w:val="none"/>
          <w:lang w:val="en-US" w:eastAsia="zh-CN"/>
        </w:rPr>
        <w:t>362.73</w:t>
      </w:r>
      <w:r>
        <w:rPr>
          <w:rFonts w:hint="eastAsia" w:ascii="仿宋_GB2312" w:hAnsi="仿宋_GB2312" w:eastAsia="仿宋_GB2312" w:cs="仿宋_GB2312"/>
          <w:color w:val="000000"/>
          <w:sz w:val="32"/>
          <w:szCs w:val="32"/>
          <w:highlight w:val="none"/>
        </w:rPr>
        <w:t>万元，完成年初预算的</w:t>
      </w:r>
      <w:r>
        <w:rPr>
          <w:rFonts w:hint="eastAsia" w:ascii="仿宋_GB2312" w:hAnsi="仿宋_GB2312" w:eastAsia="仿宋_GB2312" w:cs="仿宋_GB2312"/>
          <w:color w:val="000000"/>
          <w:sz w:val="32"/>
          <w:szCs w:val="32"/>
          <w:highlight w:val="none"/>
          <w:lang w:val="en-US" w:eastAsia="zh-CN"/>
        </w:rPr>
        <w:t>102.65</w:t>
      </w:r>
      <w:r>
        <w:rPr>
          <w:rFonts w:hint="eastAsia" w:ascii="仿宋_GB2312" w:hAnsi="仿宋_GB2312" w:eastAsia="仿宋_GB2312" w:cs="仿宋_GB2312"/>
          <w:color w:val="000000"/>
          <w:sz w:val="32"/>
          <w:szCs w:val="32"/>
          <w:highlight w:val="none"/>
        </w:rPr>
        <w:t>%，决算数大于年初预算数的主要原因是：上年结转资金较多，且上年结转不纳入年初预算中。</w:t>
      </w:r>
    </w:p>
    <w:p w14:paraId="0375D408">
      <w:pPr>
        <w:pStyle w:val="5"/>
        <w:keepNext w:val="0"/>
        <w:keepLines w:val="0"/>
        <w:pageBreakBefore w:val="0"/>
        <w:widowControl/>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、教育</w:t>
      </w:r>
      <w:r>
        <w:rPr>
          <w:rFonts w:hint="eastAsia" w:ascii="仿宋_GB2312" w:hAnsi="仿宋_GB2312" w:eastAsia="仿宋_GB2312" w:cs="仿宋_GB2312"/>
          <w:color w:val="000000"/>
          <w:sz w:val="32"/>
          <w:szCs w:val="32"/>
          <w:highlight w:val="none"/>
          <w:lang w:val="en-US" w:eastAsia="zh-CN"/>
        </w:rPr>
        <w:t>支出</w:t>
      </w:r>
      <w:r>
        <w:rPr>
          <w:rFonts w:hint="eastAsia" w:ascii="仿宋_GB2312" w:hAnsi="仿宋_GB2312" w:eastAsia="仿宋_GB2312" w:cs="仿宋_GB2312"/>
          <w:color w:val="000000"/>
          <w:sz w:val="32"/>
          <w:szCs w:val="32"/>
          <w:highlight w:val="none"/>
        </w:rPr>
        <w:t>（类）普通教育（款）其他普通教育支出（项）。</w:t>
      </w:r>
    </w:p>
    <w:p w14:paraId="64B4D79A">
      <w:pPr>
        <w:pStyle w:val="5"/>
        <w:keepNext w:val="0"/>
        <w:keepLines w:val="0"/>
        <w:pageBreakBefore w:val="0"/>
        <w:widowControl/>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年初预算为0万元，支出决算为58.96万元，决算数大于年初预算数的主要原因是年中追加预算。</w:t>
      </w:r>
    </w:p>
    <w:p w14:paraId="0AA6472B">
      <w:pPr>
        <w:pStyle w:val="5"/>
        <w:keepNext w:val="0"/>
        <w:keepLines w:val="0"/>
        <w:pageBreakBefore w:val="0"/>
        <w:widowControl/>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、社会保障和就业支出（类）行政事业单位</w:t>
      </w:r>
      <w:r>
        <w:rPr>
          <w:rFonts w:hint="eastAsia" w:ascii="仿宋_GB2312" w:hAnsi="仿宋_GB2312" w:eastAsia="仿宋_GB2312" w:cs="仿宋_GB2312"/>
          <w:color w:val="000000"/>
          <w:sz w:val="32"/>
          <w:szCs w:val="32"/>
          <w:highlight w:val="none"/>
          <w:lang w:eastAsia="zh-CN"/>
        </w:rPr>
        <w:t>养老支出</w:t>
      </w:r>
      <w:r>
        <w:rPr>
          <w:rFonts w:hint="eastAsia" w:ascii="仿宋_GB2312" w:hAnsi="仿宋_GB2312" w:eastAsia="仿宋_GB2312" w:cs="仿宋_GB2312"/>
          <w:color w:val="000000"/>
          <w:sz w:val="32"/>
          <w:szCs w:val="32"/>
          <w:highlight w:val="none"/>
        </w:rPr>
        <w:t>（款）机关事业单位基本养老保险缴费支出（项）。</w:t>
      </w:r>
    </w:p>
    <w:p w14:paraId="6C1BBA39">
      <w:pPr>
        <w:pStyle w:val="5"/>
        <w:keepNext w:val="0"/>
        <w:keepLines w:val="0"/>
        <w:pageBreakBefore w:val="0"/>
        <w:widowControl/>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年初预算为0万元，支出决算为</w:t>
      </w:r>
      <w:r>
        <w:rPr>
          <w:rFonts w:hint="eastAsia" w:ascii="仿宋_GB2312" w:hAnsi="仿宋_GB2312" w:eastAsia="仿宋_GB2312" w:cs="仿宋_GB2312"/>
          <w:color w:val="000000"/>
          <w:sz w:val="32"/>
          <w:szCs w:val="32"/>
          <w:highlight w:val="none"/>
          <w:lang w:val="en-US" w:eastAsia="zh-CN"/>
        </w:rPr>
        <w:t>24.61</w:t>
      </w:r>
      <w:r>
        <w:rPr>
          <w:rFonts w:hint="eastAsia" w:ascii="仿宋_GB2312" w:hAnsi="仿宋_GB2312" w:eastAsia="仿宋_GB2312" w:cs="仿宋_GB2312"/>
          <w:color w:val="000000"/>
          <w:sz w:val="32"/>
          <w:szCs w:val="32"/>
          <w:highlight w:val="none"/>
        </w:rPr>
        <w:t>万元，决算数大于年初预算数的主要原因是：年中追加预算。</w:t>
      </w:r>
    </w:p>
    <w:p w14:paraId="1FE9CBB4">
      <w:pPr>
        <w:pStyle w:val="5"/>
        <w:keepNext w:val="0"/>
        <w:keepLines w:val="0"/>
        <w:pageBreakBefore w:val="0"/>
        <w:widowControl/>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szCs w:val="32"/>
          <w:highlight w:val="none"/>
        </w:rPr>
        <w:t>、社会保障和就业支出（类）行政事业单位</w:t>
      </w:r>
      <w:r>
        <w:rPr>
          <w:rFonts w:hint="eastAsia" w:ascii="仿宋_GB2312" w:hAnsi="仿宋_GB2312" w:eastAsia="仿宋_GB2312" w:cs="仿宋_GB2312"/>
          <w:color w:val="000000"/>
          <w:sz w:val="32"/>
          <w:szCs w:val="32"/>
          <w:highlight w:val="none"/>
          <w:lang w:eastAsia="zh-CN"/>
        </w:rPr>
        <w:t>养老支出</w:t>
      </w:r>
      <w:r>
        <w:rPr>
          <w:rFonts w:hint="eastAsia" w:ascii="仿宋_GB2312" w:hAnsi="仿宋_GB2312" w:eastAsia="仿宋_GB2312" w:cs="仿宋_GB2312"/>
          <w:color w:val="000000"/>
          <w:sz w:val="32"/>
          <w:szCs w:val="32"/>
          <w:highlight w:val="none"/>
        </w:rPr>
        <w:t>（款）</w:t>
      </w:r>
      <w:r>
        <w:rPr>
          <w:rFonts w:hint="eastAsia" w:ascii="仿宋_GB2312" w:hAnsi="仿宋_GB2312" w:eastAsia="仿宋_GB2312" w:cs="仿宋_GB2312"/>
          <w:color w:val="000000"/>
          <w:sz w:val="32"/>
          <w:szCs w:val="32"/>
          <w:highlight w:val="none"/>
          <w:lang w:eastAsia="zh-CN"/>
        </w:rPr>
        <w:t>其他行政</w:t>
      </w:r>
      <w:r>
        <w:rPr>
          <w:rFonts w:hint="eastAsia" w:ascii="仿宋_GB2312" w:hAnsi="仿宋_GB2312" w:eastAsia="仿宋_GB2312" w:cs="仿宋_GB2312"/>
          <w:color w:val="000000"/>
          <w:sz w:val="32"/>
          <w:szCs w:val="32"/>
          <w:highlight w:val="none"/>
        </w:rPr>
        <w:t>事业单位基本养老支出（项）。</w:t>
      </w:r>
    </w:p>
    <w:p w14:paraId="0E91B90D">
      <w:pPr>
        <w:pStyle w:val="5"/>
        <w:keepNext w:val="0"/>
        <w:keepLines w:val="0"/>
        <w:pageBreakBefore w:val="0"/>
        <w:widowControl/>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年初预算为0万元，支出决算为</w:t>
      </w:r>
      <w:r>
        <w:rPr>
          <w:rFonts w:hint="eastAsia" w:ascii="仿宋_GB2312" w:hAnsi="仿宋_GB2312" w:eastAsia="仿宋_GB2312" w:cs="仿宋_GB2312"/>
          <w:color w:val="000000"/>
          <w:sz w:val="32"/>
          <w:szCs w:val="32"/>
          <w:highlight w:val="none"/>
          <w:lang w:val="en-US" w:eastAsia="zh-CN"/>
        </w:rPr>
        <w:t>26.63</w:t>
      </w:r>
      <w:r>
        <w:rPr>
          <w:rFonts w:hint="eastAsia" w:ascii="仿宋_GB2312" w:hAnsi="仿宋_GB2312" w:eastAsia="仿宋_GB2312" w:cs="仿宋_GB2312"/>
          <w:color w:val="000000"/>
          <w:sz w:val="32"/>
          <w:szCs w:val="32"/>
          <w:highlight w:val="none"/>
        </w:rPr>
        <w:t>万元，决算数大于年初预算数的主要原因是：单位部分养老保险开支由财政统一管理，未纳入单位年初预算。</w:t>
      </w:r>
    </w:p>
    <w:p w14:paraId="7F319D60">
      <w:pPr>
        <w:pStyle w:val="5"/>
        <w:keepNext w:val="0"/>
        <w:keepLines w:val="0"/>
        <w:pageBreakBefore w:val="0"/>
        <w:widowControl/>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5</w:t>
      </w:r>
      <w:r>
        <w:rPr>
          <w:rFonts w:hint="eastAsia" w:ascii="仿宋_GB2312" w:hAnsi="仿宋_GB2312" w:eastAsia="仿宋_GB2312" w:cs="仿宋_GB2312"/>
          <w:color w:val="000000"/>
          <w:sz w:val="32"/>
          <w:szCs w:val="32"/>
          <w:highlight w:val="none"/>
        </w:rPr>
        <w:t>、卫生健康支出（类）行政事业单位医疗（款）</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rPr>
        <w:t>单位医疗（项）。</w:t>
      </w:r>
    </w:p>
    <w:p w14:paraId="433A021F">
      <w:pPr>
        <w:pStyle w:val="5"/>
        <w:keepNext w:val="0"/>
        <w:keepLines w:val="0"/>
        <w:pageBreakBefore w:val="0"/>
        <w:widowControl/>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年初预算为0万元，支出决算为1</w:t>
      </w:r>
      <w:r>
        <w:rPr>
          <w:rFonts w:hint="eastAsia" w:ascii="仿宋_GB2312" w:hAnsi="仿宋_GB2312" w:eastAsia="仿宋_GB2312" w:cs="仿宋_GB2312"/>
          <w:color w:val="000000"/>
          <w:sz w:val="32"/>
          <w:szCs w:val="32"/>
          <w:highlight w:val="none"/>
          <w:lang w:val="en-US" w:eastAsia="zh-CN"/>
        </w:rPr>
        <w:t>2.38</w:t>
      </w:r>
      <w:r>
        <w:rPr>
          <w:rFonts w:hint="eastAsia" w:ascii="仿宋_GB2312" w:hAnsi="仿宋_GB2312" w:eastAsia="仿宋_GB2312" w:cs="仿宋_GB2312"/>
          <w:color w:val="000000"/>
          <w:sz w:val="32"/>
          <w:szCs w:val="32"/>
          <w:highlight w:val="none"/>
        </w:rPr>
        <w:t>万元，决算数大于年初预算数的主要原因是：单位部分医疗保险开支由财政统一管理，未纳入单位年初预算。</w:t>
      </w:r>
    </w:p>
    <w:p w14:paraId="1375978B">
      <w:pPr>
        <w:keepNext w:val="0"/>
        <w:keepLines w:val="0"/>
        <w:pageBreakBefore w:val="0"/>
        <w:widowControl/>
        <w:kinsoku/>
        <w:wordWrap/>
        <w:overflowPunct/>
        <w:topLinePunct w:val="0"/>
        <w:bidi w:val="0"/>
        <w:adjustRightInd/>
        <w:snapToGrid/>
        <w:spacing w:beforeAutospacing="0" w:afterAutospacing="0" w:line="600" w:lineRule="exact"/>
        <w:ind w:left="0" w:firstLine="646" w:firstLineChars="200"/>
        <w:textAlignment w:val="auto"/>
        <w:rPr>
          <w:rFonts w:hint="eastAsia" w:ascii="仿宋_GB2312" w:hAnsi="仿宋_GB2312" w:eastAsia="仿宋_GB2312" w:cs="仿宋_GB2312"/>
          <w:bCs/>
          <w:kern w:val="0"/>
          <w:sz w:val="32"/>
          <w:szCs w:val="32"/>
          <w:highlight w:val="none"/>
        </w:rPr>
      </w:pPr>
      <w:r>
        <w:rPr>
          <w:rFonts w:hint="eastAsia" w:ascii="仿宋_GB2312" w:hAnsi="仿宋_GB2312" w:eastAsia="仿宋_GB2312" w:cs="仿宋_GB2312"/>
          <w:kern w:val="0"/>
          <w:sz w:val="32"/>
          <w:szCs w:val="32"/>
          <w:highlight w:val="none"/>
        </w:rPr>
        <w:t>六、</w:t>
      </w:r>
      <w:r>
        <w:rPr>
          <w:rFonts w:hint="eastAsia" w:ascii="仿宋_GB2312" w:hAnsi="仿宋_GB2312" w:eastAsia="仿宋_GB2312" w:cs="仿宋_GB2312"/>
          <w:bCs/>
          <w:kern w:val="0"/>
          <w:sz w:val="32"/>
          <w:szCs w:val="32"/>
          <w:highlight w:val="none"/>
        </w:rPr>
        <w:t>一般公共预算财政拨款基本支出决算情况说明</w:t>
      </w:r>
    </w:p>
    <w:p w14:paraId="2F9D364C">
      <w:pPr>
        <w:pStyle w:val="5"/>
        <w:keepNext w:val="0"/>
        <w:keepLines w:val="0"/>
        <w:pageBreakBefore w:val="0"/>
        <w:widowControl/>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202</w:t>
      </w: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年度财政拨款基本支出</w:t>
      </w:r>
      <w:r>
        <w:rPr>
          <w:rFonts w:hint="eastAsia" w:ascii="仿宋_GB2312" w:hAnsi="仿宋_GB2312" w:eastAsia="仿宋_GB2312" w:cs="仿宋_GB2312"/>
          <w:color w:val="000000"/>
          <w:sz w:val="32"/>
          <w:szCs w:val="32"/>
          <w:highlight w:val="none"/>
          <w:lang w:val="en-US" w:eastAsia="zh-CN"/>
        </w:rPr>
        <w:t>347.94</w:t>
      </w:r>
      <w:r>
        <w:rPr>
          <w:rFonts w:hint="eastAsia" w:ascii="仿宋_GB2312" w:hAnsi="仿宋_GB2312" w:eastAsia="仿宋_GB2312" w:cs="仿宋_GB2312"/>
          <w:color w:val="000000"/>
          <w:sz w:val="32"/>
          <w:szCs w:val="32"/>
          <w:highlight w:val="none"/>
        </w:rPr>
        <w:t>万元，其中：</w:t>
      </w:r>
    </w:p>
    <w:p w14:paraId="4B1E107C">
      <w:pPr>
        <w:pStyle w:val="5"/>
        <w:keepNext w:val="0"/>
        <w:keepLines w:val="0"/>
        <w:pageBreakBefore w:val="0"/>
        <w:widowControl/>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rPr>
        <w:t>人员经费</w:t>
      </w:r>
      <w:r>
        <w:rPr>
          <w:rFonts w:hint="eastAsia" w:ascii="仿宋_GB2312" w:hAnsi="仿宋_GB2312" w:eastAsia="仿宋_GB2312" w:cs="仿宋_GB2312"/>
          <w:color w:val="000000"/>
          <w:sz w:val="32"/>
          <w:szCs w:val="32"/>
          <w:highlight w:val="none"/>
          <w:lang w:val="en-US" w:eastAsia="zh-CN"/>
        </w:rPr>
        <w:t>338.64</w:t>
      </w:r>
      <w:r>
        <w:rPr>
          <w:rFonts w:hint="eastAsia" w:ascii="仿宋_GB2312" w:hAnsi="仿宋_GB2312" w:eastAsia="仿宋_GB2312" w:cs="仿宋_GB2312"/>
          <w:color w:val="000000"/>
          <w:sz w:val="32"/>
          <w:szCs w:val="32"/>
          <w:highlight w:val="none"/>
        </w:rPr>
        <w:t>万元，占基本支出的</w:t>
      </w:r>
      <w:r>
        <w:rPr>
          <w:rFonts w:hint="eastAsia" w:ascii="仿宋_GB2312" w:hAnsi="仿宋_GB2312" w:eastAsia="仿宋_GB2312" w:cs="仿宋_GB2312"/>
          <w:color w:val="000000"/>
          <w:sz w:val="32"/>
          <w:szCs w:val="32"/>
          <w:highlight w:val="none"/>
          <w:lang w:val="en-US" w:eastAsia="zh-CN"/>
        </w:rPr>
        <w:t>97.33</w:t>
      </w:r>
      <w:r>
        <w:rPr>
          <w:rFonts w:hint="eastAsia" w:ascii="仿宋_GB2312" w:hAnsi="仿宋_GB2312" w:eastAsia="仿宋_GB2312" w:cs="仿宋_GB2312"/>
          <w:color w:val="000000"/>
          <w:sz w:val="32"/>
          <w:szCs w:val="32"/>
          <w:highlight w:val="none"/>
        </w:rPr>
        <w:t>%,主要包括基本工资、津贴补贴、奖金、伙食补助费、机关事业单位基本养老保险缴费、职工基本医疗保险缴费、其他社会保障缴费、其他工资福利支出、退休费</w:t>
      </w:r>
      <w:r>
        <w:rPr>
          <w:rFonts w:hint="eastAsia" w:ascii="仿宋_GB2312" w:hAnsi="仿宋_GB2312" w:eastAsia="仿宋_GB2312" w:cs="仿宋_GB2312"/>
          <w:color w:val="000000"/>
          <w:sz w:val="32"/>
          <w:szCs w:val="32"/>
          <w:highlight w:val="none"/>
          <w:lang w:eastAsia="zh-CN"/>
        </w:rPr>
        <w:t>。</w:t>
      </w:r>
    </w:p>
    <w:p w14:paraId="582817D7">
      <w:pPr>
        <w:pStyle w:val="5"/>
        <w:keepNext w:val="0"/>
        <w:keepLines w:val="0"/>
        <w:pageBreakBefore w:val="0"/>
        <w:widowControl/>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公用经费</w:t>
      </w:r>
      <w:r>
        <w:rPr>
          <w:rFonts w:hint="eastAsia" w:ascii="仿宋_GB2312" w:hAnsi="仿宋_GB2312" w:eastAsia="仿宋_GB2312" w:cs="仿宋_GB2312"/>
          <w:color w:val="000000"/>
          <w:sz w:val="32"/>
          <w:szCs w:val="32"/>
          <w:highlight w:val="none"/>
          <w:lang w:val="en-US" w:eastAsia="zh-CN"/>
        </w:rPr>
        <w:t>9.31</w:t>
      </w:r>
      <w:r>
        <w:rPr>
          <w:rFonts w:hint="eastAsia" w:ascii="仿宋_GB2312" w:hAnsi="仿宋_GB2312" w:eastAsia="仿宋_GB2312" w:cs="仿宋_GB2312"/>
          <w:color w:val="000000"/>
          <w:sz w:val="32"/>
          <w:szCs w:val="32"/>
          <w:highlight w:val="none"/>
        </w:rPr>
        <w:t>万元，占基本支出的</w:t>
      </w:r>
      <w:r>
        <w:rPr>
          <w:rFonts w:hint="eastAsia" w:ascii="仿宋_GB2312" w:hAnsi="仿宋_GB2312" w:eastAsia="仿宋_GB2312" w:cs="仿宋_GB2312"/>
          <w:color w:val="000000"/>
          <w:sz w:val="32"/>
          <w:szCs w:val="32"/>
          <w:highlight w:val="none"/>
          <w:lang w:val="en-US" w:eastAsia="zh-CN"/>
        </w:rPr>
        <w:t>2.67</w:t>
      </w:r>
      <w:r>
        <w:rPr>
          <w:rFonts w:hint="eastAsia" w:ascii="仿宋_GB2312" w:hAnsi="仿宋_GB2312" w:eastAsia="仿宋_GB2312" w:cs="仿宋_GB2312"/>
          <w:color w:val="000000"/>
          <w:sz w:val="32"/>
          <w:szCs w:val="32"/>
          <w:highlight w:val="none"/>
        </w:rPr>
        <w:t>%，主要包括办公费、水费、电费、物业管理费、维修（护）费、差旅费、培训费、劳务费、工会经费。</w:t>
      </w:r>
    </w:p>
    <w:p w14:paraId="4D7465D4">
      <w:pPr>
        <w:keepNext w:val="0"/>
        <w:keepLines w:val="0"/>
        <w:pageBreakBefore w:val="0"/>
        <w:widowControl/>
        <w:kinsoku/>
        <w:wordWrap/>
        <w:overflowPunct/>
        <w:topLinePunct w:val="0"/>
        <w:bidi w:val="0"/>
        <w:adjustRightInd/>
        <w:snapToGrid/>
        <w:spacing w:beforeAutospacing="0" w:afterAutospacing="0" w:line="600" w:lineRule="exact"/>
        <w:ind w:left="0" w:firstLine="646" w:firstLineChars="200"/>
        <w:textAlignment w:val="auto"/>
        <w:rPr>
          <w:rFonts w:hint="eastAsia"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七、一般公共预算财政拨款“三公”经费支出决算情况说明</w:t>
      </w:r>
    </w:p>
    <w:p w14:paraId="409B4DD8">
      <w:pPr>
        <w:keepNext w:val="0"/>
        <w:keepLines w:val="0"/>
        <w:pageBreakBefore w:val="0"/>
        <w:widowControl/>
        <w:kinsoku/>
        <w:wordWrap/>
        <w:overflowPunct/>
        <w:topLinePunct w:val="0"/>
        <w:bidi w:val="0"/>
        <w:adjustRightInd/>
        <w:snapToGrid/>
        <w:spacing w:beforeAutospacing="0" w:afterAutospacing="0" w:line="600" w:lineRule="exact"/>
        <w:ind w:left="0" w:firstLine="646" w:firstLineChars="200"/>
        <w:textAlignment w:val="auto"/>
        <w:rPr>
          <w:rFonts w:hint="eastAsia"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（一）“三公”经费财政拨款支出决算总体情况说明。</w:t>
      </w:r>
    </w:p>
    <w:p w14:paraId="1635908D">
      <w:pPr>
        <w:pStyle w:val="10"/>
        <w:keepNext w:val="0"/>
        <w:keepLines w:val="0"/>
        <w:pageBreakBefore w:val="0"/>
        <w:widowControl w:val="0"/>
        <w:kinsoku/>
        <w:wordWrap/>
        <w:overflowPunct/>
        <w:topLinePunct w:val="0"/>
        <w:autoSpaceDE w:val="0"/>
        <w:autoSpaceDN w:val="0"/>
        <w:bidi w:val="0"/>
        <w:adjustRightInd/>
        <w:snapToGrid/>
        <w:spacing w:beforeAutospacing="0" w:afterAutospacing="0" w:line="600" w:lineRule="exact"/>
        <w:ind w:left="0" w:firstLine="646"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“三公”经费财政拨款支出预算为4.</w:t>
      </w:r>
      <w:r>
        <w:rPr>
          <w:rFonts w:hint="eastAsia" w:ascii="仿宋_GB2312" w:hAnsi="仿宋_GB2312" w:eastAsia="仿宋_GB2312" w:cs="仿宋_GB2312"/>
          <w:sz w:val="32"/>
          <w:szCs w:val="32"/>
          <w:highlight w:val="none"/>
          <w:lang w:val="en-US" w:eastAsia="zh-CN"/>
        </w:rPr>
        <w:t>45</w:t>
      </w:r>
      <w:r>
        <w:rPr>
          <w:rFonts w:hint="eastAsia" w:ascii="仿宋_GB2312" w:hAnsi="仿宋_GB2312" w:eastAsia="仿宋_GB2312" w:cs="仿宋_GB2312"/>
          <w:sz w:val="32"/>
          <w:szCs w:val="32"/>
          <w:highlight w:val="none"/>
        </w:rPr>
        <w:t>万元，支出决算为0万元，</w:t>
      </w:r>
      <w:r>
        <w:rPr>
          <w:rFonts w:hint="eastAsia" w:ascii="仿宋_GB2312" w:hAnsi="仿宋_GB2312" w:eastAsia="仿宋_GB2312" w:cs="仿宋_GB2312"/>
          <w:sz w:val="32"/>
          <w:szCs w:val="32"/>
          <w:highlight w:val="none"/>
          <w:lang w:val="en-US" w:eastAsia="zh-CN"/>
        </w:rPr>
        <w:t>决算金额为0万元，无法计算完成百分比。</w:t>
      </w:r>
      <w:r>
        <w:rPr>
          <w:rFonts w:hint="eastAsia" w:ascii="仿宋_GB2312" w:hAnsi="仿宋_GB2312" w:eastAsia="仿宋_GB2312" w:cs="仿宋_GB2312"/>
          <w:sz w:val="32"/>
          <w:szCs w:val="32"/>
          <w:highlight w:val="none"/>
        </w:rPr>
        <w:t>主要原因</w:t>
      </w:r>
      <w:r>
        <w:rPr>
          <w:rFonts w:hint="eastAsia" w:ascii="仿宋_GB2312" w:hAnsi="仿宋_GB2312" w:eastAsia="仿宋_GB2312" w:cs="仿宋_GB2312"/>
          <w:sz w:val="32"/>
          <w:szCs w:val="32"/>
          <w:highlight w:val="none"/>
          <w:lang w:val="en-US" w:eastAsia="zh-CN"/>
        </w:rPr>
        <w:t>是单位未发生</w:t>
      </w:r>
      <w:r>
        <w:rPr>
          <w:rFonts w:hint="eastAsia" w:ascii="仿宋_GB2312" w:hAnsi="仿宋_GB2312" w:eastAsia="仿宋_GB2312" w:cs="仿宋_GB2312"/>
          <w:sz w:val="32"/>
          <w:szCs w:val="32"/>
          <w:highlight w:val="none"/>
        </w:rPr>
        <w:t>“三公”</w:t>
      </w:r>
      <w:r>
        <w:rPr>
          <w:rFonts w:hint="eastAsia" w:ascii="仿宋_GB2312" w:hAnsi="仿宋_GB2312" w:eastAsia="仿宋_GB2312" w:cs="仿宋_GB2312"/>
          <w:sz w:val="32"/>
          <w:szCs w:val="32"/>
          <w:highlight w:val="none"/>
          <w:lang w:val="en-US" w:eastAsia="zh-CN"/>
        </w:rPr>
        <w:t>经费支出</w:t>
      </w:r>
      <w:r>
        <w:rPr>
          <w:rFonts w:hint="eastAsia" w:ascii="仿宋_GB2312" w:hAnsi="仿宋_GB2312" w:eastAsia="仿宋_GB2312" w:cs="仿宋_GB2312"/>
          <w:sz w:val="32"/>
          <w:szCs w:val="32"/>
          <w:highlight w:val="none"/>
        </w:rPr>
        <w:t>，</w:t>
      </w:r>
      <w:bookmarkStart w:id="0" w:name="OLE_LINK4"/>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主要原因是落实过“紧日子”要求，严格执行开支标准</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厉行节约</w:t>
      </w:r>
      <w:r>
        <w:rPr>
          <w:rFonts w:hint="eastAsia" w:ascii="仿宋_GB2312" w:hAnsi="仿宋_GB2312" w:eastAsia="仿宋_GB2312" w:cs="仿宋_GB2312"/>
          <w:sz w:val="32"/>
          <w:szCs w:val="32"/>
          <w:highlight w:val="none"/>
        </w:rPr>
        <w:t>。</w:t>
      </w:r>
      <w:bookmarkEnd w:id="0"/>
      <w:r>
        <w:rPr>
          <w:rFonts w:hint="eastAsia" w:ascii="仿宋_GB2312" w:hAnsi="仿宋_GB2312" w:eastAsia="仿宋_GB2312" w:cs="仿宋_GB2312"/>
          <w:sz w:val="32"/>
          <w:szCs w:val="32"/>
          <w:highlight w:val="none"/>
        </w:rPr>
        <w:t>其中：</w:t>
      </w:r>
    </w:p>
    <w:p w14:paraId="78B3DD20">
      <w:pPr>
        <w:pStyle w:val="10"/>
        <w:keepNext w:val="0"/>
        <w:keepLines w:val="0"/>
        <w:pageBreakBefore w:val="0"/>
        <w:widowControl w:val="0"/>
        <w:kinsoku/>
        <w:wordWrap/>
        <w:overflowPunct/>
        <w:topLinePunct w:val="0"/>
        <w:autoSpaceDE w:val="0"/>
        <w:autoSpaceDN w:val="0"/>
        <w:bidi w:val="0"/>
        <w:adjustRightInd/>
        <w:snapToGrid/>
        <w:spacing w:beforeAutospacing="0" w:afterAutospacing="0" w:line="600" w:lineRule="exact"/>
        <w:ind w:left="0" w:firstLine="646"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因公出国（境）费支出预算为0万元，支出决算为0万元，</w:t>
      </w:r>
      <w:bookmarkStart w:id="1" w:name="OLE_LINK2"/>
      <w:bookmarkStart w:id="2" w:name="OLE_LINK1"/>
      <w:r>
        <w:rPr>
          <w:rFonts w:hint="eastAsia" w:ascii="仿宋_GB2312" w:hAnsi="仿宋_GB2312" w:eastAsia="仿宋_GB2312" w:cs="仿宋_GB2312"/>
          <w:sz w:val="32"/>
          <w:szCs w:val="32"/>
          <w:highlight w:val="none"/>
        </w:rPr>
        <w:t>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w:t>
      </w:r>
      <w:r>
        <w:rPr>
          <w:rFonts w:hint="eastAsia" w:ascii="仿宋_GB2312" w:hAnsi="仿宋_GB2312" w:eastAsia="仿宋_GB2312" w:cs="仿宋_GB2312"/>
          <w:sz w:val="32"/>
          <w:szCs w:val="32"/>
          <w:highlight w:val="none"/>
          <w:lang w:val="en-US" w:eastAsia="zh-CN"/>
        </w:rPr>
        <w:t>是单位未</w:t>
      </w:r>
      <w:r>
        <w:rPr>
          <w:rFonts w:hint="eastAsia" w:ascii="仿宋_GB2312" w:hAnsi="仿宋_GB2312" w:eastAsia="仿宋_GB2312" w:cs="仿宋_GB2312"/>
          <w:sz w:val="32"/>
          <w:szCs w:val="32"/>
          <w:highlight w:val="none"/>
        </w:rPr>
        <w:t>因公出国（境），</w:t>
      </w:r>
      <w:bookmarkStart w:id="3" w:name="OLE_LINK5"/>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主要原因是单位未</w:t>
      </w:r>
      <w:r>
        <w:rPr>
          <w:rFonts w:hint="eastAsia" w:ascii="仿宋_GB2312" w:hAnsi="仿宋_GB2312" w:eastAsia="仿宋_GB2312" w:cs="仿宋_GB2312"/>
          <w:sz w:val="32"/>
          <w:szCs w:val="32"/>
          <w:highlight w:val="none"/>
        </w:rPr>
        <w:t>因公出国（境）。</w:t>
      </w:r>
      <w:bookmarkEnd w:id="1"/>
    </w:p>
    <w:bookmarkEnd w:id="2"/>
    <w:bookmarkEnd w:id="3"/>
    <w:p w14:paraId="00216D9B">
      <w:pPr>
        <w:pStyle w:val="10"/>
        <w:keepNext w:val="0"/>
        <w:keepLines w:val="0"/>
        <w:pageBreakBefore w:val="0"/>
        <w:kinsoku/>
        <w:wordWrap/>
        <w:overflowPunct/>
        <w:topLinePunct w:val="0"/>
        <w:bidi w:val="0"/>
        <w:adjustRightInd/>
        <w:snapToGrid/>
        <w:spacing w:beforeAutospacing="0" w:afterAutospacing="0" w:line="600" w:lineRule="exact"/>
        <w:ind w:left="0" w:firstLine="646"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公务接待费支出预算为1.</w:t>
      </w:r>
      <w:r>
        <w:rPr>
          <w:rFonts w:hint="eastAsia" w:ascii="仿宋_GB2312" w:hAnsi="仿宋_GB2312" w:eastAsia="仿宋_GB2312" w:cs="仿宋_GB2312"/>
          <w:sz w:val="32"/>
          <w:szCs w:val="32"/>
          <w:highlight w:val="none"/>
          <w:lang w:val="en-US" w:eastAsia="zh-CN"/>
        </w:rPr>
        <w:t>61</w:t>
      </w:r>
      <w:r>
        <w:rPr>
          <w:rFonts w:hint="eastAsia" w:ascii="仿宋_GB2312" w:hAnsi="仿宋_GB2312" w:eastAsia="仿宋_GB2312" w:cs="仿宋_GB2312"/>
          <w:sz w:val="32"/>
          <w:szCs w:val="32"/>
          <w:highlight w:val="none"/>
        </w:rPr>
        <w:t>万元，支出决算为0万元，</w:t>
      </w:r>
      <w:r>
        <w:rPr>
          <w:rFonts w:hint="eastAsia" w:ascii="仿宋_GB2312" w:hAnsi="仿宋_GB2312" w:eastAsia="仿宋_GB2312" w:cs="仿宋_GB2312"/>
          <w:sz w:val="32"/>
          <w:szCs w:val="32"/>
          <w:highlight w:val="none"/>
          <w:lang w:val="en-US" w:eastAsia="zh-CN"/>
        </w:rPr>
        <w:t>决算金额为0万元，无法计算完成百分比。</w:t>
      </w:r>
      <w:r>
        <w:rPr>
          <w:rFonts w:hint="eastAsia" w:ascii="仿宋_GB2312" w:hAnsi="仿宋_GB2312" w:eastAsia="仿宋_GB2312" w:cs="仿宋_GB2312"/>
          <w:sz w:val="32"/>
          <w:szCs w:val="32"/>
          <w:highlight w:val="none"/>
        </w:rPr>
        <w:t>主要原因是严格开支“三公”经费，</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 w:hAnsi="仿宋" w:eastAsia="仿宋" w:cs="仿宋"/>
          <w:sz w:val="32"/>
          <w:szCs w:val="32"/>
          <w:highlight w:val="none"/>
        </w:rPr>
        <w:t>主要原因是</w:t>
      </w:r>
      <w:r>
        <w:rPr>
          <w:rFonts w:hint="eastAsia" w:ascii="仿宋" w:hAnsi="仿宋" w:eastAsia="仿宋" w:cs="仿宋"/>
          <w:sz w:val="32"/>
          <w:szCs w:val="32"/>
          <w:highlight w:val="none"/>
          <w:lang w:val="en-US" w:eastAsia="zh-CN"/>
        </w:rPr>
        <w:t>未使用</w:t>
      </w:r>
      <w:r>
        <w:rPr>
          <w:rFonts w:hint="eastAsia" w:ascii="仿宋" w:hAnsi="仿宋" w:eastAsia="仿宋" w:cs="仿宋"/>
          <w:sz w:val="32"/>
          <w:szCs w:val="32"/>
          <w:highlight w:val="none"/>
        </w:rPr>
        <w:t>公务接待费</w:t>
      </w:r>
      <w:r>
        <w:rPr>
          <w:rFonts w:hint="eastAsia" w:ascii="仿宋" w:hAnsi="仿宋" w:eastAsia="仿宋" w:cs="仿宋"/>
          <w:sz w:val="32"/>
          <w:szCs w:val="32"/>
          <w:highlight w:val="none"/>
          <w:lang w:eastAsia="zh-CN"/>
        </w:rPr>
        <w:t>。</w:t>
      </w:r>
    </w:p>
    <w:p w14:paraId="5B1ECCAE">
      <w:pPr>
        <w:pStyle w:val="10"/>
        <w:keepNext w:val="0"/>
        <w:keepLines w:val="0"/>
        <w:pageBreakBefore w:val="0"/>
        <w:widowControl w:val="0"/>
        <w:kinsoku/>
        <w:wordWrap/>
        <w:overflowPunct/>
        <w:topLinePunct w:val="0"/>
        <w:autoSpaceDE w:val="0"/>
        <w:autoSpaceDN w:val="0"/>
        <w:bidi w:val="0"/>
        <w:adjustRightInd/>
        <w:snapToGrid/>
        <w:spacing w:beforeAutospacing="0" w:afterAutospacing="0" w:line="600" w:lineRule="exact"/>
        <w:ind w:left="0" w:firstLine="646"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公务用车购置费支出预算为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w:t>
      </w:r>
      <w:r>
        <w:rPr>
          <w:rFonts w:hint="eastAsia" w:ascii="仿宋_GB2312" w:hAnsi="仿宋_GB2312" w:eastAsia="仿宋_GB2312" w:cs="仿宋_GB2312"/>
          <w:sz w:val="32"/>
          <w:szCs w:val="32"/>
          <w:highlight w:val="none"/>
          <w:lang w:val="en-US" w:eastAsia="zh-CN"/>
        </w:rPr>
        <w:t>是未</w:t>
      </w:r>
      <w:r>
        <w:rPr>
          <w:rFonts w:hint="eastAsia" w:ascii="仿宋_GB2312" w:hAnsi="仿宋_GB2312" w:eastAsia="仿宋_GB2312" w:cs="仿宋_GB2312"/>
          <w:sz w:val="32"/>
          <w:szCs w:val="32"/>
          <w:highlight w:val="none"/>
        </w:rPr>
        <w:t>购置公务用车</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主要原因</w:t>
      </w:r>
      <w:r>
        <w:rPr>
          <w:rFonts w:hint="eastAsia" w:ascii="仿宋_GB2312" w:hAnsi="仿宋_GB2312" w:eastAsia="仿宋_GB2312" w:cs="仿宋_GB2312"/>
          <w:sz w:val="32"/>
          <w:szCs w:val="32"/>
          <w:highlight w:val="none"/>
          <w:lang w:val="en-US" w:eastAsia="zh-CN"/>
        </w:rPr>
        <w:t>是未</w:t>
      </w:r>
      <w:r>
        <w:rPr>
          <w:rFonts w:hint="eastAsia" w:ascii="仿宋_GB2312" w:hAnsi="仿宋_GB2312" w:eastAsia="仿宋_GB2312" w:cs="仿宋_GB2312"/>
          <w:sz w:val="32"/>
          <w:szCs w:val="32"/>
          <w:highlight w:val="none"/>
        </w:rPr>
        <w:t>购置公务用车</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 xml:space="preserve">  </w:t>
      </w:r>
    </w:p>
    <w:p w14:paraId="34BA9E00">
      <w:pPr>
        <w:pStyle w:val="10"/>
        <w:keepNext w:val="0"/>
        <w:keepLines w:val="0"/>
        <w:pageBreakBefore w:val="0"/>
        <w:widowControl w:val="0"/>
        <w:kinsoku/>
        <w:wordWrap/>
        <w:overflowPunct/>
        <w:topLinePunct w:val="0"/>
        <w:autoSpaceDE w:val="0"/>
        <w:autoSpaceDN w:val="0"/>
        <w:bidi w:val="0"/>
        <w:adjustRightInd/>
        <w:snapToGrid/>
        <w:spacing w:beforeAutospacing="0" w:afterAutospacing="0" w:line="600" w:lineRule="exact"/>
        <w:ind w:left="0" w:firstLine="646"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公务用车运行维护费支出预算为</w:t>
      </w:r>
      <w:r>
        <w:rPr>
          <w:rFonts w:hint="eastAsia" w:ascii="仿宋_GB2312" w:hAnsi="仿宋_GB2312" w:eastAsia="仿宋_GB2312" w:cs="仿宋_GB2312"/>
          <w:sz w:val="32"/>
          <w:szCs w:val="32"/>
          <w:highlight w:val="none"/>
          <w:lang w:val="en-US" w:eastAsia="zh-CN"/>
        </w:rPr>
        <w:t>2.84</w:t>
      </w:r>
      <w:r>
        <w:rPr>
          <w:rFonts w:hint="eastAsia" w:ascii="仿宋_GB2312" w:hAnsi="仿宋_GB2312" w:eastAsia="仿宋_GB2312" w:cs="仿宋_GB2312"/>
          <w:sz w:val="32"/>
          <w:szCs w:val="32"/>
          <w:highlight w:val="none"/>
        </w:rPr>
        <w:t>万元，支出决算为0万元，</w:t>
      </w:r>
      <w:r>
        <w:rPr>
          <w:rFonts w:hint="eastAsia" w:ascii="仿宋_GB2312" w:hAnsi="仿宋_GB2312" w:eastAsia="仿宋_GB2312" w:cs="仿宋_GB2312"/>
          <w:sz w:val="32"/>
          <w:szCs w:val="32"/>
          <w:highlight w:val="none"/>
          <w:lang w:val="en-US" w:eastAsia="zh-CN"/>
        </w:rPr>
        <w:t>决算金额为0万元，无法计算完成百分比，主要原因是未使用公务用车运行维护费，与上年相比持平均为0万元，无法计算完成百分比，主要原因是未使用公务用车运行维护费。</w:t>
      </w:r>
    </w:p>
    <w:p w14:paraId="6A628E19">
      <w:pPr>
        <w:keepNext w:val="0"/>
        <w:keepLines w:val="0"/>
        <w:pageBreakBefore w:val="0"/>
        <w:widowControl/>
        <w:kinsoku/>
        <w:wordWrap/>
        <w:overflowPunct/>
        <w:topLinePunct w:val="0"/>
        <w:bidi w:val="0"/>
        <w:adjustRightInd/>
        <w:snapToGrid/>
        <w:spacing w:beforeAutospacing="0" w:afterAutospacing="0" w:line="600" w:lineRule="exact"/>
        <w:ind w:left="0" w:firstLine="646" w:firstLineChars="200"/>
        <w:textAlignment w:val="auto"/>
        <w:rPr>
          <w:rFonts w:hint="eastAsia"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（二）“三公”经费财政拨款支出决算具体情况说明</w:t>
      </w:r>
    </w:p>
    <w:p w14:paraId="6A2D9257">
      <w:pPr>
        <w:pStyle w:val="5"/>
        <w:keepNext w:val="0"/>
        <w:keepLines w:val="0"/>
        <w:pageBreakBefore w:val="0"/>
        <w:widowControl/>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2022年度“三公”经费财政拨款支出决算中，公务接待费支出决算0万元，因公出国（境）费支出决算0万元，公务用车购置费及运行维护费支出决算0万元，其中：</w:t>
      </w:r>
    </w:p>
    <w:p w14:paraId="4431935D">
      <w:pPr>
        <w:pStyle w:val="5"/>
        <w:keepNext w:val="0"/>
        <w:keepLines w:val="0"/>
        <w:pageBreakBefore w:val="0"/>
        <w:widowControl/>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1、因公出国（境）费支出决算为0万元，全年安排因公出国（境）团组0个，累计0人次，主要无因公出国。</w:t>
      </w:r>
    </w:p>
    <w:p w14:paraId="3C6BA524">
      <w:pPr>
        <w:pStyle w:val="5"/>
        <w:keepNext w:val="0"/>
        <w:keepLines w:val="0"/>
        <w:pageBreakBefore w:val="0"/>
        <w:widowControl/>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2、公务接待费支出决算为0万元，全年共接待来访团组0个、来宾0人次，主要是无发生的接待支出。</w:t>
      </w:r>
    </w:p>
    <w:p w14:paraId="66F082FF">
      <w:pPr>
        <w:pStyle w:val="5"/>
        <w:keepNext w:val="0"/>
        <w:keepLines w:val="0"/>
        <w:pageBreakBefore w:val="0"/>
        <w:widowControl/>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3、公务用车购置费及运行维护费支出决算为0万元，其中：公务用车购置费0万元，更新公务用车0辆。公务用车运行维护费0万元，主要是无公务用车购置及维护费支出，截止2022年12月31日，我单位开支财政拨款的公务用车保有量为0辆。</w:t>
      </w:r>
    </w:p>
    <w:p w14:paraId="616A4392">
      <w:pPr>
        <w:pStyle w:val="11"/>
        <w:keepNext w:val="0"/>
        <w:keepLines w:val="0"/>
        <w:pageBreakBefore w:val="0"/>
        <w:widowControl/>
        <w:numPr>
          <w:ilvl w:val="0"/>
          <w:numId w:val="0"/>
        </w:numPr>
        <w:kinsoku/>
        <w:wordWrap/>
        <w:overflowPunct/>
        <w:topLinePunct w:val="0"/>
        <w:bidi w:val="0"/>
        <w:adjustRightInd/>
        <w:snapToGrid/>
        <w:spacing w:beforeAutospacing="0" w:afterAutospacing="0" w:line="600" w:lineRule="exact"/>
        <w:ind w:left="0" w:leftChars="0" w:firstLine="646" w:firstLineChars="200"/>
        <w:textAlignment w:val="auto"/>
        <w:rPr>
          <w:rFonts w:hint="eastAsia" w:ascii="仿宋_GB2312" w:hAnsi="仿宋_GB2312" w:eastAsia="仿宋_GB2312" w:cs="仿宋_GB2312"/>
          <w:bCs/>
          <w:kern w:val="0"/>
          <w:sz w:val="32"/>
          <w:szCs w:val="32"/>
          <w:highlight w:val="none"/>
        </w:rPr>
      </w:pPr>
      <w:r>
        <w:rPr>
          <w:rFonts w:hint="default" w:ascii="仿宋_GB2312" w:hAnsi="仿宋_GB2312" w:eastAsia="仿宋_GB2312" w:cs="仿宋_GB2312"/>
          <w:bCs/>
          <w:kern w:val="0"/>
          <w:sz w:val="32"/>
          <w:szCs w:val="32"/>
          <w:highlight w:val="none"/>
          <w:lang w:val="en-US" w:eastAsia="zh-CN" w:bidi="ar-SA"/>
        </w:rPr>
        <w:t>八、</w:t>
      </w:r>
      <w:r>
        <w:rPr>
          <w:rFonts w:hint="eastAsia" w:ascii="仿宋_GB2312" w:hAnsi="仿宋_GB2312" w:eastAsia="仿宋_GB2312" w:cs="仿宋_GB2312"/>
          <w:bCs/>
          <w:kern w:val="0"/>
          <w:sz w:val="32"/>
          <w:szCs w:val="32"/>
          <w:highlight w:val="none"/>
        </w:rPr>
        <w:t>政府性基金预算收入支出决算情况</w:t>
      </w:r>
    </w:p>
    <w:p w14:paraId="1E71327B">
      <w:pPr>
        <w:pStyle w:val="5"/>
        <w:keepNext w:val="0"/>
        <w:keepLines w:val="0"/>
        <w:pageBreakBefore w:val="0"/>
        <w:widowControl/>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2022年度本单位无政府性基金收支。</w:t>
      </w:r>
    </w:p>
    <w:p w14:paraId="4DAEEB7D">
      <w:pPr>
        <w:pStyle w:val="5"/>
        <w:keepNext w:val="0"/>
        <w:keepLines w:val="0"/>
        <w:pageBreakBefore w:val="0"/>
        <w:widowControl/>
        <w:numPr>
          <w:ilvl w:val="0"/>
          <w:numId w:val="0"/>
        </w:numPr>
        <w:kinsoku/>
        <w:wordWrap/>
        <w:overflowPunct/>
        <w:topLinePunct w:val="0"/>
        <w:bidi w:val="0"/>
        <w:adjustRightInd/>
        <w:snapToGrid/>
        <w:spacing w:before="0" w:beforeAutospacing="0" w:after="0" w:afterAutospacing="0" w:line="600" w:lineRule="exact"/>
        <w:ind w:left="0" w:leftChars="0" w:firstLine="646" w:firstLineChars="200"/>
        <w:jc w:val="both"/>
        <w:textAlignment w:val="auto"/>
        <w:rPr>
          <w:rFonts w:hint="eastAsia" w:ascii="仿宋_GB2312" w:hAnsi="仿宋_GB2312" w:eastAsia="仿宋_GB2312" w:cs="仿宋_GB2312"/>
          <w:sz w:val="32"/>
          <w:szCs w:val="32"/>
          <w:highlight w:val="none"/>
        </w:rPr>
      </w:pPr>
      <w:r>
        <w:rPr>
          <w:rFonts w:hint="default" w:ascii="仿宋_GB2312" w:hAnsi="仿宋_GB2312" w:eastAsia="仿宋_GB2312" w:cs="仿宋_GB2312"/>
          <w:kern w:val="0"/>
          <w:sz w:val="32"/>
          <w:szCs w:val="32"/>
          <w:highlight w:val="none"/>
          <w:lang w:val="en-US" w:eastAsia="zh-CN" w:bidi="ar-SA"/>
        </w:rPr>
        <w:t>九、</w:t>
      </w:r>
      <w:r>
        <w:rPr>
          <w:rFonts w:hint="eastAsia" w:ascii="仿宋_GB2312" w:hAnsi="仿宋_GB2312" w:eastAsia="仿宋_GB2312" w:cs="仿宋_GB2312"/>
          <w:color w:val="000000"/>
          <w:sz w:val="32"/>
          <w:szCs w:val="32"/>
          <w:highlight w:val="none"/>
        </w:rPr>
        <w:t>国有资本经营预算财政拨款支出决算</w:t>
      </w:r>
      <w:r>
        <w:rPr>
          <w:rFonts w:hint="eastAsia" w:ascii="仿宋_GB2312" w:hAnsi="仿宋_GB2312" w:eastAsia="仿宋_GB2312" w:cs="仿宋_GB2312"/>
          <w:color w:val="000000"/>
          <w:sz w:val="32"/>
          <w:szCs w:val="32"/>
          <w:highlight w:val="none"/>
          <w:lang w:eastAsia="zh-CN"/>
        </w:rPr>
        <w:t>情况</w:t>
      </w:r>
    </w:p>
    <w:p w14:paraId="306F25C8">
      <w:pPr>
        <w:pStyle w:val="5"/>
        <w:keepNext w:val="0"/>
        <w:keepLines w:val="0"/>
        <w:pageBreakBefore w:val="0"/>
        <w:widowControl/>
        <w:numPr>
          <w:ilvl w:val="0"/>
          <w:numId w:val="0"/>
        </w:numPr>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000000"/>
          <w:sz w:val="32"/>
          <w:szCs w:val="32"/>
          <w:highlight w:val="none"/>
          <w:lang w:eastAsia="zh-CN"/>
        </w:rPr>
        <w:t>2022年度本单位无国有资本经营预算财政拨款支出。</w:t>
      </w:r>
    </w:p>
    <w:p w14:paraId="1681C72A">
      <w:pPr>
        <w:pStyle w:val="5"/>
        <w:keepNext w:val="0"/>
        <w:keepLines w:val="0"/>
        <w:pageBreakBefore w:val="0"/>
        <w:widowControl/>
        <w:numPr>
          <w:ilvl w:val="0"/>
          <w:numId w:val="0"/>
        </w:numPr>
        <w:kinsoku/>
        <w:wordWrap/>
        <w:overflowPunct/>
        <w:topLinePunct w:val="0"/>
        <w:bidi w:val="0"/>
        <w:adjustRightInd/>
        <w:snapToGrid/>
        <w:spacing w:before="0" w:beforeAutospacing="0" w:after="0" w:afterAutospacing="0" w:line="600" w:lineRule="exact"/>
        <w:ind w:left="0" w:leftChars="0" w:firstLine="646" w:firstLineChars="200"/>
        <w:jc w:val="both"/>
        <w:textAlignment w:val="auto"/>
        <w:rPr>
          <w:rFonts w:hint="eastAsia" w:ascii="仿宋_GB2312" w:hAnsi="仿宋_GB2312" w:eastAsia="仿宋_GB2312" w:cs="仿宋_GB2312"/>
          <w:color w:val="000000"/>
          <w:sz w:val="32"/>
          <w:szCs w:val="32"/>
          <w:highlight w:val="none"/>
          <w:lang w:eastAsia="zh-CN"/>
        </w:rPr>
      </w:pPr>
      <w:r>
        <w:rPr>
          <w:rFonts w:hint="default" w:ascii="仿宋_GB2312" w:hAnsi="仿宋_GB2312" w:eastAsia="仿宋_GB2312" w:cs="仿宋_GB2312"/>
          <w:color w:val="000000"/>
          <w:kern w:val="0"/>
          <w:sz w:val="32"/>
          <w:szCs w:val="32"/>
          <w:highlight w:val="none"/>
          <w:lang w:val="en-US" w:eastAsia="zh-CN" w:bidi="ar-SA"/>
        </w:rPr>
        <w:t>十、</w:t>
      </w:r>
      <w:r>
        <w:rPr>
          <w:rFonts w:hint="eastAsia" w:ascii="仿宋_GB2312" w:hAnsi="仿宋_GB2312" w:eastAsia="仿宋_GB2312" w:cs="仿宋_GB2312"/>
          <w:color w:val="000000"/>
          <w:sz w:val="32"/>
          <w:szCs w:val="32"/>
          <w:highlight w:val="none"/>
        </w:rPr>
        <w:t>机关运行经费支出情况</w:t>
      </w:r>
      <w:r>
        <w:rPr>
          <w:rFonts w:hint="eastAsia" w:ascii="仿宋_GB2312" w:hAnsi="仿宋_GB2312" w:eastAsia="仿宋_GB2312" w:cs="仿宋_GB2312"/>
          <w:color w:val="000000"/>
          <w:sz w:val="32"/>
          <w:szCs w:val="32"/>
          <w:highlight w:val="none"/>
          <w:lang w:eastAsia="zh-CN"/>
        </w:rPr>
        <w:t>说明</w:t>
      </w:r>
    </w:p>
    <w:p w14:paraId="388F5AA0">
      <w:pPr>
        <w:pStyle w:val="5"/>
        <w:keepNext w:val="0"/>
        <w:keepLines w:val="0"/>
        <w:pageBreakBefore w:val="0"/>
        <w:widowControl/>
        <w:numPr>
          <w:ilvl w:val="0"/>
          <w:numId w:val="0"/>
        </w:numPr>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机关运行经费是为保障行政单位（包括参照公务员法管理的事业单位）运行，用一般公共预算拨款安排用于购买货物和服务的各项资金。本单位属于非参公事业单位，故没有机关运行经费支出。</w:t>
      </w:r>
    </w:p>
    <w:p w14:paraId="015CD179">
      <w:pPr>
        <w:pStyle w:val="5"/>
        <w:keepNext w:val="0"/>
        <w:keepLines w:val="0"/>
        <w:pageBreakBefore w:val="0"/>
        <w:widowControl/>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十</w:t>
      </w:r>
      <w:r>
        <w:rPr>
          <w:rFonts w:hint="eastAsia" w:ascii="仿宋_GB2312" w:hAnsi="仿宋_GB2312" w:eastAsia="仿宋_GB2312" w:cs="仿宋_GB2312"/>
          <w:color w:val="000000"/>
          <w:sz w:val="32"/>
          <w:szCs w:val="32"/>
          <w:highlight w:val="none"/>
          <w:lang w:val="en-US" w:eastAsia="zh-CN"/>
        </w:rPr>
        <w:t>一</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一般性支出情况</w:t>
      </w:r>
      <w:r>
        <w:rPr>
          <w:rFonts w:hint="eastAsia" w:ascii="仿宋_GB2312" w:hAnsi="仿宋_GB2312" w:eastAsia="仿宋_GB2312" w:cs="仿宋_GB2312"/>
          <w:color w:val="000000"/>
          <w:sz w:val="32"/>
          <w:szCs w:val="32"/>
          <w:highlight w:val="none"/>
          <w:lang w:eastAsia="zh-CN"/>
        </w:rPr>
        <w:t>说明</w:t>
      </w:r>
    </w:p>
    <w:p w14:paraId="202827DC">
      <w:pPr>
        <w:pStyle w:val="5"/>
        <w:keepNext w:val="0"/>
        <w:keepLines w:val="0"/>
        <w:pageBreakBefore w:val="0"/>
        <w:widowControl/>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202</w:t>
      </w: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年本部门开支会议费0万元；开支培</w:t>
      </w:r>
      <w:bookmarkStart w:id="4" w:name="OLE_LINK6"/>
      <w:r>
        <w:rPr>
          <w:rFonts w:hint="eastAsia" w:ascii="仿宋_GB2312" w:hAnsi="仿宋_GB2312" w:eastAsia="仿宋_GB2312" w:cs="仿宋_GB2312"/>
          <w:color w:val="000000"/>
          <w:sz w:val="32"/>
          <w:szCs w:val="32"/>
          <w:highlight w:val="none"/>
        </w:rPr>
        <w:t>训</w:t>
      </w:r>
      <w:bookmarkEnd w:id="4"/>
      <w:r>
        <w:rPr>
          <w:rFonts w:hint="eastAsia" w:ascii="仿宋_GB2312" w:hAnsi="仿宋_GB2312" w:eastAsia="仿宋_GB2312" w:cs="仿宋_GB2312"/>
          <w:color w:val="000000"/>
          <w:sz w:val="32"/>
          <w:szCs w:val="32"/>
          <w:highlight w:val="none"/>
        </w:rPr>
        <w:t>费</w:t>
      </w:r>
      <w:r>
        <w:rPr>
          <w:rFonts w:hint="eastAsia" w:ascii="仿宋_GB2312" w:hAnsi="仿宋_GB2312" w:eastAsia="仿宋_GB2312" w:cs="仿宋_GB2312"/>
          <w:color w:val="000000"/>
          <w:sz w:val="32"/>
          <w:szCs w:val="32"/>
          <w:highlight w:val="none"/>
          <w:lang w:val="en-US" w:eastAsia="zh-CN"/>
        </w:rPr>
        <w:t>0.56</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eastAsia="zh-CN"/>
        </w:rPr>
        <w:t>用于教职事业单位人员培</w:t>
      </w:r>
      <w:r>
        <w:rPr>
          <w:rFonts w:hint="eastAsia" w:ascii="仿宋_GB2312" w:hAnsi="仿宋_GB2312" w:eastAsia="仿宋_GB2312" w:cs="仿宋_GB2312"/>
          <w:color w:val="000000"/>
          <w:sz w:val="32"/>
          <w:szCs w:val="32"/>
          <w:highlight w:val="none"/>
        </w:rPr>
        <w:t>训</w:t>
      </w:r>
      <w:r>
        <w:rPr>
          <w:rFonts w:hint="eastAsia" w:ascii="仿宋_GB2312" w:hAnsi="仿宋_GB2312" w:eastAsia="仿宋_GB2312" w:cs="仿宋_GB2312"/>
          <w:color w:val="000000"/>
          <w:sz w:val="32"/>
          <w:szCs w:val="32"/>
          <w:highlight w:val="none"/>
          <w:lang w:eastAsia="zh-CN"/>
        </w:rPr>
        <w:t>；未举办节庆、晚会、论坛、赛事等活动。</w:t>
      </w:r>
    </w:p>
    <w:p w14:paraId="424993F9">
      <w:pPr>
        <w:pStyle w:val="5"/>
        <w:keepNext w:val="0"/>
        <w:keepLines w:val="0"/>
        <w:pageBreakBefore w:val="0"/>
        <w:widowControl/>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eastAsia="zh-CN"/>
        </w:rPr>
        <w:t>十</w:t>
      </w:r>
      <w:r>
        <w:rPr>
          <w:rFonts w:hint="eastAsia" w:ascii="仿宋_GB2312" w:hAnsi="仿宋_GB2312" w:eastAsia="仿宋_GB2312" w:cs="仿宋_GB2312"/>
          <w:color w:val="000000"/>
          <w:sz w:val="32"/>
          <w:szCs w:val="32"/>
          <w:highlight w:val="none"/>
          <w:lang w:val="en-US" w:eastAsia="zh-CN"/>
        </w:rPr>
        <w:t>二</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关于</w:t>
      </w:r>
      <w:r>
        <w:rPr>
          <w:rFonts w:hint="eastAsia" w:ascii="仿宋_GB2312" w:hAnsi="仿宋_GB2312" w:eastAsia="仿宋_GB2312" w:cs="仿宋_GB2312"/>
          <w:color w:val="000000"/>
          <w:sz w:val="32"/>
          <w:szCs w:val="32"/>
          <w:highlight w:val="none"/>
        </w:rPr>
        <w:t>政府采购支出</w:t>
      </w:r>
      <w:r>
        <w:rPr>
          <w:rFonts w:hint="eastAsia" w:ascii="仿宋_GB2312" w:hAnsi="仿宋_GB2312" w:eastAsia="仿宋_GB2312" w:cs="仿宋_GB2312"/>
          <w:color w:val="000000"/>
          <w:sz w:val="32"/>
          <w:szCs w:val="32"/>
          <w:highlight w:val="none"/>
          <w:lang w:val="en-US" w:eastAsia="zh-CN"/>
        </w:rPr>
        <w:t>说明</w:t>
      </w:r>
    </w:p>
    <w:p w14:paraId="3AF47772">
      <w:pPr>
        <w:pStyle w:val="5"/>
        <w:keepNext w:val="0"/>
        <w:keepLines w:val="0"/>
        <w:pageBreakBefore w:val="0"/>
        <w:widowControl/>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2022年度本部门政府采购支出总额</w:t>
      </w:r>
      <w:r>
        <w:rPr>
          <w:rFonts w:hint="eastAsia" w:ascii="仿宋_GB2312" w:hAnsi="仿宋_GB2312" w:eastAsia="仿宋_GB2312" w:cs="仿宋_GB2312"/>
          <w:color w:val="000000"/>
          <w:sz w:val="32"/>
          <w:szCs w:val="32"/>
          <w:highlight w:val="none"/>
          <w:lang w:val="en-US" w:eastAsia="zh-CN"/>
        </w:rPr>
        <w:t>0.59</w:t>
      </w:r>
      <w:r>
        <w:rPr>
          <w:rFonts w:hint="eastAsia" w:ascii="仿宋_GB2312" w:hAnsi="仿宋_GB2312" w:eastAsia="仿宋_GB2312" w:cs="仿宋_GB2312"/>
          <w:color w:val="000000"/>
          <w:sz w:val="32"/>
          <w:szCs w:val="32"/>
          <w:highlight w:val="none"/>
        </w:rPr>
        <w:t>万元，其中：政府采购货物支出</w:t>
      </w:r>
      <w:r>
        <w:rPr>
          <w:rFonts w:hint="eastAsia" w:ascii="仿宋_GB2312" w:hAnsi="仿宋_GB2312" w:eastAsia="仿宋_GB2312" w:cs="仿宋_GB2312"/>
          <w:color w:val="000000"/>
          <w:sz w:val="32"/>
          <w:szCs w:val="32"/>
          <w:highlight w:val="none"/>
          <w:lang w:val="en-US" w:eastAsia="zh-CN"/>
        </w:rPr>
        <w:t>0.59</w:t>
      </w:r>
      <w:r>
        <w:rPr>
          <w:rFonts w:hint="eastAsia" w:ascii="仿宋_GB2312" w:hAnsi="仿宋_GB2312" w:eastAsia="仿宋_GB2312" w:cs="仿宋_GB2312"/>
          <w:color w:val="000000"/>
          <w:sz w:val="32"/>
          <w:szCs w:val="32"/>
          <w:highlight w:val="none"/>
        </w:rPr>
        <w:t>万元、政府采购工程支出0万元、政府采购服务支出0万元。授予中小企业合同金额</w:t>
      </w:r>
      <w:r>
        <w:rPr>
          <w:rFonts w:hint="eastAsia" w:ascii="仿宋_GB2312" w:hAnsi="仿宋_GB2312" w:eastAsia="仿宋_GB2312" w:cs="仿宋_GB2312"/>
          <w:color w:val="000000"/>
          <w:sz w:val="32"/>
          <w:szCs w:val="32"/>
          <w:highlight w:val="none"/>
          <w:lang w:val="en-US" w:eastAsia="zh-CN"/>
        </w:rPr>
        <w:t>0.59</w:t>
      </w:r>
      <w:r>
        <w:rPr>
          <w:rFonts w:hint="eastAsia" w:ascii="仿宋_GB2312" w:hAnsi="仿宋_GB2312" w:eastAsia="仿宋_GB2312" w:cs="仿宋_GB2312"/>
          <w:color w:val="000000"/>
          <w:sz w:val="32"/>
          <w:szCs w:val="32"/>
          <w:highlight w:val="none"/>
        </w:rPr>
        <w:t>万元，占政府采购支出总额的100%。其中：授予小微企业合同金额0</w:t>
      </w:r>
      <w:r>
        <w:rPr>
          <w:rFonts w:hint="eastAsia" w:ascii="仿宋_GB2312" w:hAnsi="仿宋_GB2312" w:eastAsia="仿宋_GB2312" w:cs="仿宋_GB2312"/>
          <w:color w:val="000000"/>
          <w:sz w:val="32"/>
          <w:szCs w:val="32"/>
          <w:highlight w:val="none"/>
          <w:lang w:val="en-US" w:eastAsia="zh-CN"/>
        </w:rPr>
        <w:t>.59</w:t>
      </w:r>
      <w:r>
        <w:rPr>
          <w:rFonts w:hint="eastAsia" w:ascii="仿宋_GB2312" w:hAnsi="仿宋_GB2312" w:eastAsia="仿宋_GB2312" w:cs="仿宋_GB2312"/>
          <w:color w:val="000000"/>
          <w:sz w:val="32"/>
          <w:szCs w:val="32"/>
          <w:highlight w:val="none"/>
        </w:rPr>
        <w:t>万元，占政府采购支出总额的100%。货物采购授予中小企业合同金额占货物支出金额的</w:t>
      </w:r>
      <w:r>
        <w:rPr>
          <w:rFonts w:hint="eastAsia" w:ascii="仿宋_GB2312" w:hAnsi="仿宋_GB2312" w:eastAsia="仿宋_GB2312" w:cs="仿宋_GB2312"/>
          <w:color w:val="000000"/>
          <w:sz w:val="32"/>
          <w:szCs w:val="32"/>
          <w:highlight w:val="none"/>
          <w:lang w:val="en-US" w:eastAsia="zh-CN"/>
        </w:rPr>
        <w:t>100%</w:t>
      </w:r>
      <w:r>
        <w:rPr>
          <w:rFonts w:hint="eastAsia" w:ascii="仿宋_GB2312" w:hAnsi="仿宋_GB2312" w:eastAsia="仿宋_GB2312" w:cs="仿宋_GB2312"/>
          <w:color w:val="000000"/>
          <w:sz w:val="32"/>
          <w:szCs w:val="32"/>
          <w:highlight w:val="none"/>
        </w:rPr>
        <w:t>；由于工程支出金额为0万元，无法计算工程采购授予中小企业合同金额占工程支出金额的百分比；由于服务支出金额为0万元，无法计算服务采购授予中小企业合同金额占服务支出金额的百分比。</w:t>
      </w:r>
    </w:p>
    <w:p w14:paraId="2F653BF9">
      <w:pPr>
        <w:pStyle w:val="5"/>
        <w:keepNext w:val="0"/>
        <w:keepLines w:val="0"/>
        <w:pageBreakBefore w:val="0"/>
        <w:widowControl/>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十三、关于国有资产占用情况说明</w:t>
      </w:r>
    </w:p>
    <w:p w14:paraId="512D1DBF">
      <w:pPr>
        <w:pStyle w:val="5"/>
        <w:keepNext w:val="0"/>
        <w:keepLines w:val="0"/>
        <w:pageBreakBefore w:val="0"/>
        <w:widowControl/>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截至2022年12月31日，本单位共有车辆0辆，主要领导干部用车0辆，机要通信用车0辆、应急保障用车0辆、执法执勤用车0辆、特种专业技术用车0辆、其他用车0辆；单位价值50万元以上通用设备0台（套）；单位价值100万元以上专用设备0台（套）。 </w:t>
      </w:r>
    </w:p>
    <w:p w14:paraId="2277BB7B">
      <w:pPr>
        <w:pStyle w:val="5"/>
        <w:keepNext w:val="0"/>
        <w:keepLines w:val="0"/>
        <w:pageBreakBefore w:val="0"/>
        <w:widowControl/>
        <w:numPr>
          <w:ilvl w:val="0"/>
          <w:numId w:val="0"/>
        </w:numPr>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十四、关于预算绩效情况的说明</w:t>
      </w:r>
    </w:p>
    <w:p w14:paraId="1AF478CE">
      <w:pPr>
        <w:pStyle w:val="5"/>
        <w:keepNext w:val="0"/>
        <w:keepLines w:val="0"/>
        <w:pageBreakBefore w:val="0"/>
        <w:widowControl/>
        <w:kinsoku/>
        <w:wordWrap/>
        <w:overflowPunct/>
        <w:topLinePunct w:val="0"/>
        <w:bidi w:val="0"/>
        <w:adjustRightInd/>
        <w:snapToGrid/>
        <w:spacing w:before="0" w:beforeAutospacing="0" w:after="0" w:afterAutospacing="0" w:line="600" w:lineRule="exact"/>
        <w:ind w:left="0" w:firstLine="646"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333333"/>
          <w:sz w:val="32"/>
          <w:szCs w:val="32"/>
          <w:highlight w:val="none"/>
        </w:rPr>
        <w:t>本年度我单位进一步完善了预算绩效的管理，并根据有关规定要求，结合内部控制制度的建立，完善了202</w:t>
      </w:r>
      <w:r>
        <w:rPr>
          <w:rFonts w:hint="eastAsia" w:ascii="仿宋_GB2312" w:hAnsi="仿宋_GB2312" w:eastAsia="仿宋_GB2312" w:cs="仿宋_GB2312"/>
          <w:color w:val="333333"/>
          <w:sz w:val="32"/>
          <w:szCs w:val="32"/>
          <w:highlight w:val="none"/>
          <w:lang w:val="en-US" w:eastAsia="zh-CN"/>
        </w:rPr>
        <w:t>2</w:t>
      </w:r>
      <w:r>
        <w:rPr>
          <w:rFonts w:hint="eastAsia" w:ascii="仿宋_GB2312" w:hAnsi="仿宋_GB2312" w:eastAsia="仿宋_GB2312" w:cs="仿宋_GB2312"/>
          <w:color w:val="333333"/>
          <w:sz w:val="32"/>
          <w:szCs w:val="32"/>
          <w:highlight w:val="none"/>
        </w:rPr>
        <w:t>年度预算绩效管理工作考核办法，进一步提高工作考核的科学性和有效性。</w:t>
      </w:r>
      <w:r>
        <w:rPr>
          <w:rFonts w:hint="eastAsia" w:ascii="仿宋_GB2312" w:hAnsi="仿宋_GB2312" w:eastAsia="仿宋_GB2312" w:cs="仿宋_GB2312"/>
          <w:color w:val="000000"/>
          <w:sz w:val="32"/>
          <w:szCs w:val="32"/>
          <w:highlight w:val="none"/>
        </w:rPr>
        <w:t>根据预算绩效管理要求，本年度我单位进一步完善了预算绩效的管理，通过设定绩效目标</w:t>
      </w:r>
      <w:r>
        <w:rPr>
          <w:rFonts w:hint="eastAsia" w:ascii="仿宋_GB2312" w:hAnsi="仿宋_GB2312" w:eastAsia="仿宋_GB2312" w:cs="仿宋_GB2312"/>
          <w:sz w:val="32"/>
          <w:szCs w:val="32"/>
          <w:highlight w:val="none"/>
        </w:rPr>
        <w:t>，执行上级主管部门的指示和决定。实行保育和教育相结合的原则，对幼儿实施体、智、德、美诸方面全面发展的教育，促进其身心和谐发展。为家长解除后顾之忧，热忱为家长服务</w:t>
      </w:r>
      <w:r>
        <w:rPr>
          <w:rFonts w:hint="eastAsia" w:ascii="仿宋_GB2312" w:hAnsi="仿宋_GB2312" w:eastAsia="仿宋_GB2312" w:cs="仿宋_GB2312"/>
          <w:color w:val="000000"/>
          <w:sz w:val="32"/>
          <w:szCs w:val="32"/>
          <w:highlight w:val="none"/>
        </w:rPr>
        <w:t>。自评报告见附件。</w:t>
      </w:r>
    </w:p>
    <w:p w14:paraId="52D53604">
      <w:pPr>
        <w:ind w:firstLine="566" w:firstLineChars="200"/>
        <w:rPr>
          <w:rFonts w:ascii="宋体" w:hAnsi="宋体" w:eastAsia="宋体" w:cs="黑体"/>
          <w:color w:val="000000"/>
          <w:kern w:val="0"/>
          <w:sz w:val="28"/>
          <w:szCs w:val="28"/>
          <w:highlight w:val="none"/>
        </w:rPr>
      </w:pPr>
    </w:p>
    <w:p w14:paraId="0AB0E1EA">
      <w:pPr>
        <w:pStyle w:val="10"/>
        <w:jc w:val="center"/>
        <w:rPr>
          <w:rFonts w:ascii="宋体" w:hAnsi="宋体" w:eastAsia="宋体"/>
          <w:sz w:val="72"/>
          <w:szCs w:val="72"/>
          <w:highlight w:val="none"/>
        </w:rPr>
      </w:pPr>
    </w:p>
    <w:p w14:paraId="052A5F28">
      <w:pPr>
        <w:pStyle w:val="10"/>
        <w:rPr>
          <w:rFonts w:ascii="宋体" w:hAnsi="宋体" w:eastAsia="宋体"/>
          <w:sz w:val="72"/>
          <w:szCs w:val="72"/>
          <w:highlight w:val="none"/>
        </w:rPr>
      </w:pPr>
    </w:p>
    <w:p w14:paraId="07158A5D">
      <w:pPr>
        <w:pStyle w:val="10"/>
        <w:jc w:val="center"/>
        <w:rPr>
          <w:rFonts w:hint="eastAsia" w:ascii="宋体" w:hAnsi="宋体" w:eastAsia="宋体"/>
          <w:sz w:val="72"/>
          <w:szCs w:val="72"/>
          <w:highlight w:val="none"/>
        </w:rPr>
      </w:pPr>
    </w:p>
    <w:p w14:paraId="045DC6D3">
      <w:pPr>
        <w:pStyle w:val="10"/>
        <w:jc w:val="center"/>
        <w:rPr>
          <w:rFonts w:hint="eastAsia" w:ascii="宋体" w:hAnsi="宋体" w:eastAsia="宋体"/>
          <w:sz w:val="72"/>
          <w:szCs w:val="72"/>
          <w:highlight w:val="none"/>
        </w:rPr>
      </w:pPr>
    </w:p>
    <w:p w14:paraId="21F77754">
      <w:pPr>
        <w:pStyle w:val="10"/>
        <w:jc w:val="center"/>
        <w:rPr>
          <w:rFonts w:hint="eastAsia" w:ascii="宋体" w:hAnsi="宋体" w:eastAsia="宋体"/>
          <w:sz w:val="72"/>
          <w:szCs w:val="72"/>
          <w:highlight w:val="none"/>
        </w:rPr>
      </w:pPr>
    </w:p>
    <w:p w14:paraId="391049BB">
      <w:pPr>
        <w:pStyle w:val="10"/>
        <w:jc w:val="center"/>
        <w:rPr>
          <w:rFonts w:hint="eastAsia" w:ascii="宋体" w:hAnsi="宋体" w:eastAsia="宋体"/>
          <w:sz w:val="72"/>
          <w:szCs w:val="72"/>
          <w:highlight w:val="none"/>
        </w:rPr>
      </w:pPr>
    </w:p>
    <w:p w14:paraId="33534079">
      <w:pPr>
        <w:pStyle w:val="10"/>
        <w:jc w:val="center"/>
        <w:rPr>
          <w:rFonts w:ascii="宋体" w:hAnsi="宋体" w:eastAsia="宋体"/>
          <w:sz w:val="72"/>
          <w:szCs w:val="72"/>
          <w:highlight w:val="none"/>
        </w:rPr>
      </w:pPr>
      <w:r>
        <w:rPr>
          <w:rFonts w:hint="eastAsia" w:ascii="宋体" w:hAnsi="宋体" w:eastAsia="宋体"/>
          <w:sz w:val="72"/>
          <w:szCs w:val="72"/>
          <w:highlight w:val="none"/>
        </w:rPr>
        <w:t>第四部分</w:t>
      </w:r>
    </w:p>
    <w:p w14:paraId="7A4CFB9D">
      <w:pPr>
        <w:jc w:val="center"/>
        <w:rPr>
          <w:rFonts w:ascii="宋体" w:hAnsi="宋体" w:eastAsia="宋体" w:cs="黑体"/>
          <w:color w:val="000000"/>
          <w:kern w:val="0"/>
          <w:sz w:val="70"/>
          <w:szCs w:val="70"/>
          <w:highlight w:val="none"/>
        </w:rPr>
      </w:pPr>
    </w:p>
    <w:p w14:paraId="5EEC5380">
      <w:pPr>
        <w:jc w:val="center"/>
        <w:rPr>
          <w:rFonts w:ascii="宋体" w:hAnsi="宋体" w:eastAsia="宋体" w:cs="黑体"/>
          <w:color w:val="000000"/>
          <w:kern w:val="0"/>
          <w:sz w:val="70"/>
          <w:szCs w:val="70"/>
          <w:highlight w:val="none"/>
        </w:rPr>
      </w:pPr>
      <w:r>
        <w:rPr>
          <w:rFonts w:hint="eastAsia" w:ascii="宋体" w:hAnsi="宋体" w:eastAsia="宋体" w:cs="黑体"/>
          <w:color w:val="000000"/>
          <w:kern w:val="0"/>
          <w:sz w:val="70"/>
          <w:szCs w:val="70"/>
          <w:highlight w:val="none"/>
        </w:rPr>
        <w:t>名词解释</w:t>
      </w:r>
    </w:p>
    <w:p w14:paraId="59595379">
      <w:pPr>
        <w:widowControl/>
        <w:jc w:val="left"/>
        <w:rPr>
          <w:rFonts w:hint="eastAsia" w:ascii="仿宋_GB2312" w:hAnsi="仿宋_GB2312" w:eastAsia="仿宋_GB2312" w:cs="仿宋_GB2312"/>
          <w:color w:val="000000"/>
          <w:kern w:val="0"/>
          <w:sz w:val="32"/>
          <w:szCs w:val="32"/>
          <w:highlight w:val="none"/>
        </w:rPr>
      </w:pPr>
      <w:r>
        <w:rPr>
          <w:rFonts w:ascii="黑体" w:eastAsia="黑体" w:cs="黑体"/>
          <w:color w:val="000000"/>
          <w:kern w:val="0"/>
          <w:sz w:val="70"/>
          <w:szCs w:val="70"/>
          <w:highlight w:val="none"/>
        </w:rPr>
        <w:br w:type="page"/>
      </w:r>
    </w:p>
    <w:p w14:paraId="3A3AD6DB">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600" w:lineRule="atLeast"/>
        <w:ind w:firstLine="646"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1、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47F90869">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600" w:lineRule="atLeast"/>
        <w:ind w:firstLine="646"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1FD840DA">
      <w:pPr>
        <w:ind w:firstLine="420"/>
        <w:rPr>
          <w:rFonts w:asciiTheme="minorEastAsia" w:hAnsiTheme="minorEastAsia"/>
          <w:i/>
          <w:color w:val="FF0000"/>
          <w:sz w:val="32"/>
          <w:szCs w:val="32"/>
          <w:highlight w:val="none"/>
        </w:rPr>
      </w:pPr>
      <w:r>
        <w:rPr>
          <w:rFonts w:asciiTheme="minorEastAsia" w:hAnsiTheme="minorEastAsia"/>
          <w:i/>
          <w:color w:val="FF0000"/>
          <w:sz w:val="32"/>
          <w:szCs w:val="32"/>
          <w:highlight w:val="none"/>
        </w:rPr>
        <w:br w:type="page"/>
      </w:r>
    </w:p>
    <w:p w14:paraId="5FF226CB">
      <w:pPr>
        <w:pStyle w:val="10"/>
        <w:jc w:val="center"/>
        <w:rPr>
          <w:sz w:val="72"/>
          <w:szCs w:val="72"/>
          <w:highlight w:val="none"/>
        </w:rPr>
      </w:pPr>
    </w:p>
    <w:p w14:paraId="6EDF70EE">
      <w:pPr>
        <w:pStyle w:val="10"/>
        <w:jc w:val="center"/>
        <w:rPr>
          <w:sz w:val="72"/>
          <w:szCs w:val="72"/>
          <w:highlight w:val="none"/>
        </w:rPr>
      </w:pPr>
    </w:p>
    <w:p w14:paraId="458A86A7">
      <w:pPr>
        <w:pStyle w:val="10"/>
        <w:jc w:val="center"/>
        <w:rPr>
          <w:sz w:val="72"/>
          <w:szCs w:val="72"/>
          <w:highlight w:val="none"/>
        </w:rPr>
      </w:pPr>
    </w:p>
    <w:p w14:paraId="1B4AD9A6">
      <w:pPr>
        <w:pStyle w:val="10"/>
        <w:jc w:val="center"/>
        <w:rPr>
          <w:sz w:val="72"/>
          <w:szCs w:val="72"/>
          <w:highlight w:val="none"/>
        </w:rPr>
      </w:pPr>
    </w:p>
    <w:p w14:paraId="3B7F59FC">
      <w:pPr>
        <w:pStyle w:val="10"/>
        <w:jc w:val="center"/>
        <w:rPr>
          <w:sz w:val="72"/>
          <w:szCs w:val="72"/>
          <w:highlight w:val="none"/>
        </w:rPr>
      </w:pPr>
    </w:p>
    <w:p w14:paraId="6E131C43">
      <w:pPr>
        <w:pStyle w:val="10"/>
        <w:jc w:val="center"/>
        <w:rPr>
          <w:sz w:val="72"/>
          <w:szCs w:val="72"/>
          <w:highlight w:val="none"/>
        </w:rPr>
      </w:pPr>
      <w:r>
        <w:rPr>
          <w:rFonts w:hint="eastAsia"/>
          <w:sz w:val="72"/>
          <w:szCs w:val="72"/>
          <w:highlight w:val="none"/>
        </w:rPr>
        <w:t>第五部分</w:t>
      </w:r>
    </w:p>
    <w:p w14:paraId="0D00AF16">
      <w:pPr>
        <w:jc w:val="center"/>
        <w:rPr>
          <w:rFonts w:ascii="黑体" w:eastAsia="黑体" w:cs="黑体"/>
          <w:color w:val="000000"/>
          <w:kern w:val="0"/>
          <w:sz w:val="70"/>
          <w:szCs w:val="70"/>
          <w:highlight w:val="none"/>
        </w:rPr>
      </w:pPr>
    </w:p>
    <w:p w14:paraId="105918F1">
      <w:pPr>
        <w:jc w:val="center"/>
        <w:rPr>
          <w:rFonts w:ascii="黑体" w:eastAsia="黑体" w:cs="黑体"/>
          <w:color w:val="000000"/>
          <w:kern w:val="0"/>
          <w:sz w:val="70"/>
          <w:szCs w:val="70"/>
          <w:highlight w:val="none"/>
        </w:rPr>
      </w:pPr>
      <w:r>
        <w:rPr>
          <w:rFonts w:hint="eastAsia" w:ascii="黑体" w:eastAsia="黑体" w:cs="黑体"/>
          <w:color w:val="000000"/>
          <w:kern w:val="0"/>
          <w:sz w:val="70"/>
          <w:szCs w:val="70"/>
          <w:highlight w:val="none"/>
        </w:rPr>
        <w:t>附件</w:t>
      </w:r>
    </w:p>
    <w:p w14:paraId="6B18E992">
      <w:pPr>
        <w:widowControl/>
        <w:jc w:val="left"/>
        <w:rPr>
          <w:rFonts w:ascii="黑体" w:eastAsia="黑体" w:cs="黑体"/>
          <w:color w:val="000000"/>
          <w:kern w:val="0"/>
          <w:sz w:val="70"/>
          <w:szCs w:val="70"/>
          <w:highlight w:val="none"/>
        </w:rPr>
      </w:pPr>
      <w:r>
        <w:rPr>
          <w:rFonts w:ascii="黑体" w:eastAsia="黑体" w:cs="黑体"/>
          <w:color w:val="000000"/>
          <w:kern w:val="0"/>
          <w:sz w:val="70"/>
          <w:szCs w:val="70"/>
          <w:highlight w:val="none"/>
        </w:rPr>
        <w:br w:type="page"/>
      </w:r>
    </w:p>
    <w:p w14:paraId="75E7EF97">
      <w:pPr>
        <w:jc w:val="center"/>
        <w:rPr>
          <w:rFonts w:hint="eastAsia" w:ascii="仿宋_GB2312" w:hAnsi="仿宋_GB2312" w:eastAsia="仿宋_GB2312" w:cs="仿宋_GB2312"/>
          <w:color w:val="000000"/>
          <w:kern w:val="0"/>
          <w:sz w:val="32"/>
          <w:szCs w:val="32"/>
          <w:highlight w:val="none"/>
        </w:rPr>
      </w:pPr>
    </w:p>
    <w:p w14:paraId="67224FA1">
      <w:pPr>
        <w:spacing w:line="600" w:lineRule="exact"/>
        <w:ind w:firstLine="646"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1、2022年度部门决算表</w:t>
      </w:r>
    </w:p>
    <w:p w14:paraId="4445BE05">
      <w:pPr>
        <w:ind w:firstLine="646" w:firstLineChars="200"/>
        <w:rPr>
          <w:rFonts w:ascii="Times New Roman" w:hAnsi="Times New Roman" w:eastAsia="方正小标宋_GBK" w:cs="Times New Roman"/>
          <w:sz w:val="52"/>
          <w:szCs w:val="52"/>
          <w:highlight w:val="none"/>
        </w:rPr>
      </w:pPr>
      <w:r>
        <w:rPr>
          <w:rFonts w:hint="eastAsia" w:ascii="仿宋_GB2312" w:hAnsi="仿宋_GB2312" w:eastAsia="仿宋_GB2312" w:cs="仿宋_GB2312"/>
          <w:sz w:val="32"/>
          <w:szCs w:val="32"/>
          <w:highlight w:val="none"/>
        </w:rPr>
        <w:t>2、2022年度部门整体支出绩效评价报告</w:t>
      </w:r>
    </w:p>
    <w:p w14:paraId="49834E92">
      <w:pPr>
        <w:ind w:firstLine="646" w:firstLineChars="200"/>
        <w:jc w:val="left"/>
        <w:rPr>
          <w:rFonts w:cs="黑体" w:asciiTheme="minorEastAsia" w:hAnsiTheme="minorEastAsia"/>
          <w:color w:val="000000"/>
          <w:kern w:val="0"/>
          <w:sz w:val="32"/>
          <w:szCs w:val="32"/>
          <w:highlight w:val="none"/>
        </w:rPr>
      </w:pPr>
    </w:p>
    <w:sectPr>
      <w:pgSz w:w="11906" w:h="16838"/>
      <w:pgMar w:top="720" w:right="720" w:bottom="720" w:left="720" w:header="851" w:footer="992" w:gutter="0"/>
      <w:cols w:space="0" w:num="1"/>
      <w:rtlGutter w:val="0"/>
      <w:docGrid w:type="linesAndChars" w:linePitch="317" w:charSpace="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305A5B5-B7D5-4E42-95CD-6856C655107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33D95E7-5A25-4AE8-976A-2F41BECEAD92}"/>
  </w:font>
  <w:font w:name="仿宋_GB2312">
    <w:panose1 w:val="02010609030101010101"/>
    <w:charset w:val="86"/>
    <w:family w:val="modern"/>
    <w:pitch w:val="default"/>
    <w:sig w:usb0="00000001" w:usb1="080E0000" w:usb2="00000000" w:usb3="00000000" w:csb0="00040000" w:csb1="00000000"/>
    <w:embedRegular r:id="rId3" w:fontKey="{DC5A6374-E276-4425-BAAA-B1D2D35CCA9B}"/>
  </w:font>
  <w:font w:name="仿宋">
    <w:panose1 w:val="02010609060101010101"/>
    <w:charset w:val="86"/>
    <w:family w:val="auto"/>
    <w:pitch w:val="default"/>
    <w:sig w:usb0="800002BF" w:usb1="38CF7CFA" w:usb2="00000016" w:usb3="00000000" w:csb0="00040001" w:csb1="00000000"/>
    <w:embedRegular r:id="rId4" w:fontKey="{490E9EF8-7E70-4DC1-B089-5A27B5C0C3D9}"/>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embedRegular r:id="rId5" w:fontKey="{B5EB94E7-750B-49D0-AD6C-C289300D6FD4}"/>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33CFA4"/>
    <w:multiLevelType w:val="singleLevel"/>
    <w:tmpl w:val="8E33CFA4"/>
    <w:lvl w:ilvl="0" w:tentative="0">
      <w:start w:val="2"/>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7"/>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4ODRlYjhhM2RkNGEyZjY1NTA1YWZhOWU0YjkxY2YifQ=="/>
  </w:docVars>
  <w:rsids>
    <w:rsidRoot w:val="004506F9"/>
    <w:rsid w:val="0002229B"/>
    <w:rsid w:val="00024CB6"/>
    <w:rsid w:val="000273BD"/>
    <w:rsid w:val="00034F8B"/>
    <w:rsid w:val="000415B7"/>
    <w:rsid w:val="00047DF6"/>
    <w:rsid w:val="00063B59"/>
    <w:rsid w:val="000658A3"/>
    <w:rsid w:val="00072199"/>
    <w:rsid w:val="00074155"/>
    <w:rsid w:val="0008240F"/>
    <w:rsid w:val="000A3F69"/>
    <w:rsid w:val="000A4E93"/>
    <w:rsid w:val="000A57FB"/>
    <w:rsid w:val="000A7C35"/>
    <w:rsid w:val="000B3BE1"/>
    <w:rsid w:val="000B6F01"/>
    <w:rsid w:val="000C1C35"/>
    <w:rsid w:val="001346F8"/>
    <w:rsid w:val="00137463"/>
    <w:rsid w:val="00152C6D"/>
    <w:rsid w:val="001530A6"/>
    <w:rsid w:val="00154491"/>
    <w:rsid w:val="00157BB7"/>
    <w:rsid w:val="00162D39"/>
    <w:rsid w:val="00171CD8"/>
    <w:rsid w:val="00175D99"/>
    <w:rsid w:val="0018278A"/>
    <w:rsid w:val="00184FC2"/>
    <w:rsid w:val="00196D00"/>
    <w:rsid w:val="001A67DB"/>
    <w:rsid w:val="001B5FF8"/>
    <w:rsid w:val="001C6CE7"/>
    <w:rsid w:val="001D31E9"/>
    <w:rsid w:val="001D51E5"/>
    <w:rsid w:val="001E5B7A"/>
    <w:rsid w:val="001F0C3B"/>
    <w:rsid w:val="001F0D4A"/>
    <w:rsid w:val="00204367"/>
    <w:rsid w:val="00205231"/>
    <w:rsid w:val="0020556F"/>
    <w:rsid w:val="00213A27"/>
    <w:rsid w:val="00214427"/>
    <w:rsid w:val="00233BB4"/>
    <w:rsid w:val="0024264C"/>
    <w:rsid w:val="0024420A"/>
    <w:rsid w:val="00252149"/>
    <w:rsid w:val="00254774"/>
    <w:rsid w:val="002622BE"/>
    <w:rsid w:val="0026441B"/>
    <w:rsid w:val="0026474C"/>
    <w:rsid w:val="00265724"/>
    <w:rsid w:val="0027426B"/>
    <w:rsid w:val="0027483F"/>
    <w:rsid w:val="00297328"/>
    <w:rsid w:val="002A221C"/>
    <w:rsid w:val="002E6C7C"/>
    <w:rsid w:val="003000D9"/>
    <w:rsid w:val="00311D18"/>
    <w:rsid w:val="0031506E"/>
    <w:rsid w:val="00326780"/>
    <w:rsid w:val="0033466F"/>
    <w:rsid w:val="00337B12"/>
    <w:rsid w:val="003479BD"/>
    <w:rsid w:val="003652EB"/>
    <w:rsid w:val="00375FA4"/>
    <w:rsid w:val="003768D5"/>
    <w:rsid w:val="003A1245"/>
    <w:rsid w:val="003B00B7"/>
    <w:rsid w:val="003B0B60"/>
    <w:rsid w:val="003B77DD"/>
    <w:rsid w:val="003D4F64"/>
    <w:rsid w:val="0042519C"/>
    <w:rsid w:val="00431318"/>
    <w:rsid w:val="004320A1"/>
    <w:rsid w:val="00444E68"/>
    <w:rsid w:val="004506F9"/>
    <w:rsid w:val="004533D1"/>
    <w:rsid w:val="004717A2"/>
    <w:rsid w:val="0047312D"/>
    <w:rsid w:val="00491741"/>
    <w:rsid w:val="004A518F"/>
    <w:rsid w:val="004A78D6"/>
    <w:rsid w:val="004D2E9E"/>
    <w:rsid w:val="004E1056"/>
    <w:rsid w:val="00500E5F"/>
    <w:rsid w:val="005122EF"/>
    <w:rsid w:val="00517C33"/>
    <w:rsid w:val="00523644"/>
    <w:rsid w:val="0054069E"/>
    <w:rsid w:val="00551F1A"/>
    <w:rsid w:val="00553CB3"/>
    <w:rsid w:val="0056101B"/>
    <w:rsid w:val="005767CC"/>
    <w:rsid w:val="00590D9F"/>
    <w:rsid w:val="00594E2D"/>
    <w:rsid w:val="00595D26"/>
    <w:rsid w:val="005A02C1"/>
    <w:rsid w:val="005A74E6"/>
    <w:rsid w:val="005D2B19"/>
    <w:rsid w:val="005D4D55"/>
    <w:rsid w:val="005E2CFB"/>
    <w:rsid w:val="005E3DEC"/>
    <w:rsid w:val="006152C5"/>
    <w:rsid w:val="0062378F"/>
    <w:rsid w:val="00626909"/>
    <w:rsid w:val="006321C0"/>
    <w:rsid w:val="00642C13"/>
    <w:rsid w:val="00651EEC"/>
    <w:rsid w:val="00695534"/>
    <w:rsid w:val="006A1560"/>
    <w:rsid w:val="006A351B"/>
    <w:rsid w:val="006A6988"/>
    <w:rsid w:val="006B0422"/>
    <w:rsid w:val="006C1B53"/>
    <w:rsid w:val="006C4EB9"/>
    <w:rsid w:val="006D7730"/>
    <w:rsid w:val="006E5284"/>
    <w:rsid w:val="006F083B"/>
    <w:rsid w:val="006F3EB5"/>
    <w:rsid w:val="006F5EA0"/>
    <w:rsid w:val="00702E34"/>
    <w:rsid w:val="00704395"/>
    <w:rsid w:val="007045AD"/>
    <w:rsid w:val="007157AE"/>
    <w:rsid w:val="00720FF1"/>
    <w:rsid w:val="00756D51"/>
    <w:rsid w:val="00762ED3"/>
    <w:rsid w:val="007A1549"/>
    <w:rsid w:val="007E190A"/>
    <w:rsid w:val="007E40FB"/>
    <w:rsid w:val="00812ED5"/>
    <w:rsid w:val="008277D9"/>
    <w:rsid w:val="008349B1"/>
    <w:rsid w:val="00845B2D"/>
    <w:rsid w:val="00853CB4"/>
    <w:rsid w:val="008A3E8D"/>
    <w:rsid w:val="008C0633"/>
    <w:rsid w:val="008C0BF4"/>
    <w:rsid w:val="008D0332"/>
    <w:rsid w:val="008E0E80"/>
    <w:rsid w:val="0091131F"/>
    <w:rsid w:val="0091556E"/>
    <w:rsid w:val="00917684"/>
    <w:rsid w:val="009237C4"/>
    <w:rsid w:val="009278A7"/>
    <w:rsid w:val="00935434"/>
    <w:rsid w:val="00950252"/>
    <w:rsid w:val="009527EE"/>
    <w:rsid w:val="009555B1"/>
    <w:rsid w:val="00967F5D"/>
    <w:rsid w:val="00973404"/>
    <w:rsid w:val="00992115"/>
    <w:rsid w:val="009A0F95"/>
    <w:rsid w:val="009B3ADF"/>
    <w:rsid w:val="009B606B"/>
    <w:rsid w:val="009C3B52"/>
    <w:rsid w:val="009D786B"/>
    <w:rsid w:val="00A01D6B"/>
    <w:rsid w:val="00A12272"/>
    <w:rsid w:val="00A335EC"/>
    <w:rsid w:val="00A3727C"/>
    <w:rsid w:val="00A42218"/>
    <w:rsid w:val="00A55D9A"/>
    <w:rsid w:val="00A70249"/>
    <w:rsid w:val="00A72A8D"/>
    <w:rsid w:val="00A81667"/>
    <w:rsid w:val="00AA0071"/>
    <w:rsid w:val="00AC1965"/>
    <w:rsid w:val="00AC421F"/>
    <w:rsid w:val="00AE3992"/>
    <w:rsid w:val="00B21FC9"/>
    <w:rsid w:val="00B33BEA"/>
    <w:rsid w:val="00B33D98"/>
    <w:rsid w:val="00B4700D"/>
    <w:rsid w:val="00B57C9F"/>
    <w:rsid w:val="00B6250E"/>
    <w:rsid w:val="00B65F28"/>
    <w:rsid w:val="00B67D62"/>
    <w:rsid w:val="00B74C95"/>
    <w:rsid w:val="00B845B3"/>
    <w:rsid w:val="00B85D8B"/>
    <w:rsid w:val="00B865F5"/>
    <w:rsid w:val="00B96715"/>
    <w:rsid w:val="00BD09C8"/>
    <w:rsid w:val="00BE3674"/>
    <w:rsid w:val="00C27B79"/>
    <w:rsid w:val="00C3049A"/>
    <w:rsid w:val="00C31B1E"/>
    <w:rsid w:val="00C55F04"/>
    <w:rsid w:val="00C77645"/>
    <w:rsid w:val="00C817FC"/>
    <w:rsid w:val="00CA03F5"/>
    <w:rsid w:val="00CC32C6"/>
    <w:rsid w:val="00CE04C3"/>
    <w:rsid w:val="00CE6EC8"/>
    <w:rsid w:val="00CE76A0"/>
    <w:rsid w:val="00CF559C"/>
    <w:rsid w:val="00D05437"/>
    <w:rsid w:val="00D148C6"/>
    <w:rsid w:val="00D43967"/>
    <w:rsid w:val="00D44AFC"/>
    <w:rsid w:val="00D4669B"/>
    <w:rsid w:val="00D746F0"/>
    <w:rsid w:val="00D91AA4"/>
    <w:rsid w:val="00DD06FF"/>
    <w:rsid w:val="00DD2B13"/>
    <w:rsid w:val="00DD5FE9"/>
    <w:rsid w:val="00DD738F"/>
    <w:rsid w:val="00DF5960"/>
    <w:rsid w:val="00E00C7A"/>
    <w:rsid w:val="00E15CAD"/>
    <w:rsid w:val="00E17126"/>
    <w:rsid w:val="00E27285"/>
    <w:rsid w:val="00E3204C"/>
    <w:rsid w:val="00E4646A"/>
    <w:rsid w:val="00E55B68"/>
    <w:rsid w:val="00E57EE2"/>
    <w:rsid w:val="00E64454"/>
    <w:rsid w:val="00E652F2"/>
    <w:rsid w:val="00E70857"/>
    <w:rsid w:val="00E7262A"/>
    <w:rsid w:val="00E75674"/>
    <w:rsid w:val="00E833FC"/>
    <w:rsid w:val="00EA4995"/>
    <w:rsid w:val="00EC5448"/>
    <w:rsid w:val="00EE763C"/>
    <w:rsid w:val="00EF1A5C"/>
    <w:rsid w:val="00F14FFF"/>
    <w:rsid w:val="00F5036D"/>
    <w:rsid w:val="00F61BC7"/>
    <w:rsid w:val="00F65C9D"/>
    <w:rsid w:val="00F724FA"/>
    <w:rsid w:val="00F74360"/>
    <w:rsid w:val="00FA5D5A"/>
    <w:rsid w:val="00FB462F"/>
    <w:rsid w:val="00FC3E35"/>
    <w:rsid w:val="00FE16FA"/>
    <w:rsid w:val="00FE328A"/>
    <w:rsid w:val="00FF4D94"/>
    <w:rsid w:val="00FF57E7"/>
    <w:rsid w:val="01197FD8"/>
    <w:rsid w:val="0216281D"/>
    <w:rsid w:val="05DE2976"/>
    <w:rsid w:val="07482036"/>
    <w:rsid w:val="08354E1D"/>
    <w:rsid w:val="08443F00"/>
    <w:rsid w:val="0B2B7AF9"/>
    <w:rsid w:val="0C3E18BB"/>
    <w:rsid w:val="0E236E8B"/>
    <w:rsid w:val="0E493B56"/>
    <w:rsid w:val="109C2465"/>
    <w:rsid w:val="15C9608E"/>
    <w:rsid w:val="16583AD2"/>
    <w:rsid w:val="17284F4E"/>
    <w:rsid w:val="18CD697F"/>
    <w:rsid w:val="1E002731"/>
    <w:rsid w:val="1EE66043"/>
    <w:rsid w:val="209E4495"/>
    <w:rsid w:val="210400AB"/>
    <w:rsid w:val="220F48E4"/>
    <w:rsid w:val="24E20CE6"/>
    <w:rsid w:val="26BE363C"/>
    <w:rsid w:val="27275C0A"/>
    <w:rsid w:val="28420576"/>
    <w:rsid w:val="297665B1"/>
    <w:rsid w:val="2CDD64C4"/>
    <w:rsid w:val="2CFE0EFF"/>
    <w:rsid w:val="2D776454"/>
    <w:rsid w:val="2F0E2D4D"/>
    <w:rsid w:val="32281C2E"/>
    <w:rsid w:val="32C47B2D"/>
    <w:rsid w:val="34562CDC"/>
    <w:rsid w:val="34A2691C"/>
    <w:rsid w:val="35345E9F"/>
    <w:rsid w:val="356A3CE3"/>
    <w:rsid w:val="38A76C8C"/>
    <w:rsid w:val="3A3C67FB"/>
    <w:rsid w:val="3A72247D"/>
    <w:rsid w:val="3C1C5E3E"/>
    <w:rsid w:val="3D346110"/>
    <w:rsid w:val="3EFD6405"/>
    <w:rsid w:val="402363AA"/>
    <w:rsid w:val="40CC7E49"/>
    <w:rsid w:val="441B7BDF"/>
    <w:rsid w:val="453F20F9"/>
    <w:rsid w:val="47174AD8"/>
    <w:rsid w:val="4A8C4EB0"/>
    <w:rsid w:val="4AAB4561"/>
    <w:rsid w:val="4AD35694"/>
    <w:rsid w:val="4AE86DE3"/>
    <w:rsid w:val="4C1C5F2C"/>
    <w:rsid w:val="4D0A5413"/>
    <w:rsid w:val="4D602609"/>
    <w:rsid w:val="4DD54DA5"/>
    <w:rsid w:val="502634E0"/>
    <w:rsid w:val="50521399"/>
    <w:rsid w:val="519108A5"/>
    <w:rsid w:val="533F2EA3"/>
    <w:rsid w:val="543409E5"/>
    <w:rsid w:val="556F788D"/>
    <w:rsid w:val="559A7839"/>
    <w:rsid w:val="58D5449A"/>
    <w:rsid w:val="5AFB41BA"/>
    <w:rsid w:val="5F70492E"/>
    <w:rsid w:val="5F9371E0"/>
    <w:rsid w:val="627526B6"/>
    <w:rsid w:val="63D4270A"/>
    <w:rsid w:val="63FC70D8"/>
    <w:rsid w:val="661C3134"/>
    <w:rsid w:val="662F58D0"/>
    <w:rsid w:val="67064D50"/>
    <w:rsid w:val="686B33C5"/>
    <w:rsid w:val="696D1EDE"/>
    <w:rsid w:val="6970320D"/>
    <w:rsid w:val="6C637DE8"/>
    <w:rsid w:val="6EDF387E"/>
    <w:rsid w:val="6F062BB9"/>
    <w:rsid w:val="73DC608A"/>
    <w:rsid w:val="75456D79"/>
    <w:rsid w:val="75F669BB"/>
    <w:rsid w:val="76970762"/>
    <w:rsid w:val="7851544F"/>
    <w:rsid w:val="796C0DB6"/>
    <w:rsid w:val="79F27C8B"/>
    <w:rsid w:val="7B767318"/>
    <w:rsid w:val="7B767595"/>
    <w:rsid w:val="7C901792"/>
    <w:rsid w:val="7C9E5F7D"/>
    <w:rsid w:val="7CDA1AC5"/>
    <w:rsid w:val="7D3732E0"/>
    <w:rsid w:val="7D424D1B"/>
    <w:rsid w:val="7D953FC4"/>
    <w:rsid w:val="7DF562A7"/>
    <w:rsid w:val="7E5C419C"/>
    <w:rsid w:val="7E7B39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4EE2E-87A9-4A3A-A3F1-E85D0991B1C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7691</Words>
  <Characters>10107</Characters>
  <Lines>58</Lines>
  <Paragraphs>16</Paragraphs>
  <TotalTime>12</TotalTime>
  <ScaleCrop>false</ScaleCrop>
  <LinksUpToDate>false</LinksUpToDate>
  <CharactersWithSpaces>10727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C＇estbon</cp:lastModifiedBy>
  <cp:lastPrinted>2020-07-15T07:25:00Z</cp:lastPrinted>
  <dcterms:modified xsi:type="dcterms:W3CDTF">2024-10-17T11:17:29Z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EB12A644C9A54DEEAD5FB07F07C870CA_13</vt:lpwstr>
  </property>
</Properties>
</file>