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kinsoku/>
        <w:overflowPunct/>
        <w:topLinePunct w:val="0"/>
        <w:bidi w:val="0"/>
        <w:snapToGrid/>
        <w:spacing w:line="600" w:lineRule="exact"/>
        <w:ind w:right="0"/>
        <w:jc w:val="center"/>
        <w:rPr>
          <w:rFonts w:hint="eastAsia" w:ascii="仿宋" w:hAnsi="仿宋" w:eastAsia="仿宋" w:cs="仿宋"/>
          <w:b/>
          <w:bCs/>
          <w:color w:val="auto"/>
          <w:sz w:val="48"/>
          <w:szCs w:val="48"/>
          <w:lang w:val="en-US" w:eastAsia="zh-CN"/>
        </w:rPr>
      </w:pPr>
      <w:r>
        <w:rPr>
          <w:rFonts w:hint="eastAsia" w:ascii="仿宋" w:hAnsi="仿宋" w:eastAsia="仿宋" w:cs="仿宋"/>
          <w:b/>
          <w:bCs/>
          <w:color w:val="auto"/>
          <w:sz w:val="48"/>
          <w:szCs w:val="48"/>
        </w:rPr>
        <w:t>202</w:t>
      </w:r>
      <w:r>
        <w:rPr>
          <w:rFonts w:hint="eastAsia" w:ascii="仿宋" w:hAnsi="仿宋" w:eastAsia="仿宋" w:cs="仿宋"/>
          <w:b/>
          <w:bCs/>
          <w:color w:val="auto"/>
          <w:sz w:val="48"/>
          <w:szCs w:val="48"/>
          <w:lang w:val="en-US" w:eastAsia="zh-CN"/>
        </w:rPr>
        <w:t>1</w:t>
      </w:r>
      <w:r>
        <w:rPr>
          <w:rFonts w:hint="eastAsia" w:ascii="仿宋" w:hAnsi="仿宋" w:eastAsia="仿宋" w:cs="仿宋"/>
          <w:b/>
          <w:bCs/>
          <w:color w:val="auto"/>
          <w:sz w:val="48"/>
          <w:szCs w:val="48"/>
        </w:rPr>
        <w:t>年度</w:t>
      </w:r>
      <w:r>
        <w:rPr>
          <w:rFonts w:hint="eastAsia" w:ascii="仿宋" w:hAnsi="仿宋" w:eastAsia="仿宋" w:cs="仿宋"/>
          <w:b/>
          <w:bCs/>
          <w:color w:val="auto"/>
          <w:sz w:val="48"/>
          <w:szCs w:val="48"/>
          <w:lang w:val="en-US" w:eastAsia="zh-CN"/>
        </w:rPr>
        <w:t>怀化市中心特殊教育学校</w:t>
      </w:r>
    </w:p>
    <w:p>
      <w:pPr>
        <w:pStyle w:val="12"/>
        <w:keepNext w:val="0"/>
        <w:keepLines w:val="0"/>
        <w:pageBreakBefore w:val="0"/>
        <w:kinsoku/>
        <w:overflowPunct/>
        <w:topLinePunct w:val="0"/>
        <w:bidi w:val="0"/>
        <w:snapToGrid/>
        <w:spacing w:line="600" w:lineRule="exact"/>
        <w:ind w:right="0"/>
        <w:jc w:val="center"/>
        <w:rPr>
          <w:rFonts w:hint="eastAsia" w:ascii="仿宋" w:hAnsi="仿宋" w:eastAsia="仿宋" w:cs="仿宋"/>
          <w:b/>
          <w:bCs/>
          <w:color w:val="auto"/>
          <w:sz w:val="48"/>
          <w:szCs w:val="48"/>
        </w:rPr>
      </w:pPr>
      <w:r>
        <w:rPr>
          <w:rFonts w:hint="eastAsia" w:ascii="仿宋" w:hAnsi="仿宋" w:eastAsia="仿宋" w:cs="仿宋"/>
          <w:b/>
          <w:bCs/>
          <w:color w:val="auto"/>
          <w:sz w:val="48"/>
          <w:szCs w:val="48"/>
        </w:rPr>
        <w:t>部门决算</w:t>
      </w:r>
    </w:p>
    <w:p>
      <w:pPr>
        <w:pStyle w:val="12"/>
        <w:keepNext w:val="0"/>
        <w:keepLines w:val="0"/>
        <w:pageBreakBefore w:val="0"/>
        <w:kinsoku/>
        <w:overflowPunct/>
        <w:topLinePunct w:val="0"/>
        <w:bidi w:val="0"/>
        <w:snapToGrid/>
        <w:spacing w:line="600" w:lineRule="exact"/>
        <w:ind w:right="0"/>
        <w:jc w:val="center"/>
        <w:rPr>
          <w:rFonts w:hint="eastAsia" w:ascii="仿宋" w:hAnsi="仿宋" w:eastAsia="仿宋" w:cs="仿宋"/>
          <w:b/>
          <w:bCs/>
          <w:color w:val="auto"/>
          <w:sz w:val="48"/>
          <w:szCs w:val="48"/>
        </w:rPr>
      </w:pPr>
    </w:p>
    <w:p>
      <w:pPr>
        <w:pStyle w:val="12"/>
        <w:keepNext w:val="0"/>
        <w:keepLines w:val="0"/>
        <w:pageBreakBefore w:val="0"/>
        <w:kinsoku/>
        <w:overflowPunct/>
        <w:topLinePunct w:val="0"/>
        <w:bidi w:val="0"/>
        <w:snapToGrid/>
        <w:spacing w:line="600" w:lineRule="exact"/>
        <w:ind w:right="0"/>
        <w:jc w:val="center"/>
        <w:rPr>
          <w:rFonts w:hint="eastAsia" w:ascii="黑体" w:hAnsi="黑体" w:eastAsia="黑体" w:cs="黑体"/>
          <w:b/>
          <w:color w:val="auto"/>
          <w:sz w:val="32"/>
          <w:szCs w:val="32"/>
        </w:rPr>
      </w:pPr>
      <w:r>
        <w:rPr>
          <w:rFonts w:hint="eastAsia" w:ascii="黑体" w:hAnsi="黑体" w:eastAsia="黑体" w:cs="黑体"/>
          <w:b/>
          <w:color w:val="auto"/>
          <w:sz w:val="32"/>
          <w:szCs w:val="32"/>
        </w:rPr>
        <w:t>目</w:t>
      </w:r>
      <w:r>
        <w:rPr>
          <w:rFonts w:hint="eastAsia" w:hAnsi="黑体" w:cs="黑体"/>
          <w:b/>
          <w:color w:val="auto"/>
          <w:sz w:val="32"/>
          <w:szCs w:val="32"/>
          <w:lang w:val="en-US" w:eastAsia="zh-CN"/>
        </w:rPr>
        <w:tab/>
      </w:r>
      <w:r>
        <w:rPr>
          <w:rFonts w:hint="eastAsia" w:ascii="黑体" w:hAnsi="黑体" w:eastAsia="黑体" w:cs="黑体"/>
          <w:b/>
          <w:color w:val="auto"/>
          <w:sz w:val="32"/>
          <w:szCs w:val="32"/>
        </w:rPr>
        <w:t>录</w:t>
      </w:r>
    </w:p>
    <w:p>
      <w:pPr>
        <w:pStyle w:val="12"/>
        <w:keepNext w:val="0"/>
        <w:keepLines w:val="0"/>
        <w:pageBreakBefore w:val="0"/>
        <w:kinsoku/>
        <w:overflowPunct/>
        <w:topLinePunct w:val="0"/>
        <w:bidi w:val="0"/>
        <w:snapToGrid/>
        <w:spacing w:line="600" w:lineRule="exact"/>
        <w:ind w:right="0"/>
        <w:jc w:val="center"/>
        <w:rPr>
          <w:rFonts w:hint="eastAsia" w:ascii="黑体" w:hAnsi="黑体" w:eastAsia="黑体" w:cs="黑体"/>
          <w:b/>
          <w:color w:val="auto"/>
          <w:sz w:val="32"/>
          <w:szCs w:val="32"/>
        </w:rPr>
      </w:pP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color w:val="auto"/>
          <w:sz w:val="32"/>
          <w:szCs w:val="32"/>
        </w:rPr>
      </w:pPr>
      <w:r>
        <w:rPr>
          <w:rFonts w:hint="eastAsia" w:ascii="黑体" w:hAnsi="黑体" w:eastAsia="黑体" w:cs="黑体"/>
          <w:b/>
          <w:color w:val="auto"/>
          <w:sz w:val="32"/>
          <w:szCs w:val="32"/>
        </w:rPr>
        <w:t>第一部分</w:t>
      </w:r>
      <w:r>
        <w:rPr>
          <w:rFonts w:hint="eastAsia" w:ascii="黑体" w:hAnsi="黑体" w:eastAsia="黑体" w:cs="黑体"/>
          <w:b/>
          <w:color w:val="auto"/>
          <w:sz w:val="32"/>
          <w:szCs w:val="32"/>
          <w:lang w:val="en-US" w:eastAsia="zh-CN"/>
        </w:rPr>
        <w:t>怀化市中心特殊教育学校</w:t>
      </w:r>
      <w:r>
        <w:rPr>
          <w:rFonts w:hint="eastAsia" w:ascii="黑体" w:hAnsi="黑体" w:eastAsia="黑体" w:cs="黑体"/>
          <w:b/>
          <w:color w:val="auto"/>
          <w:sz w:val="32"/>
          <w:szCs w:val="32"/>
        </w:rPr>
        <w:t>单位概况</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二、机构设置</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color w:val="auto"/>
          <w:sz w:val="32"/>
          <w:szCs w:val="32"/>
        </w:rPr>
      </w:pPr>
      <w:r>
        <w:rPr>
          <w:rFonts w:hint="eastAsia" w:ascii="黑体" w:hAnsi="黑体" w:eastAsia="黑体" w:cs="黑体"/>
          <w:b/>
          <w:color w:val="auto"/>
          <w:sz w:val="32"/>
          <w:szCs w:val="32"/>
        </w:rPr>
        <w:t>第二部分2021年度部门决算表</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一、收入支出决算总表</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二、收入决算表</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三、支出决算表</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四、财政拨款收入支出决算总表</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五、一般公共预算财政拨款支出决算表</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六、一般公共预算财政拨款基本支出决算明细表</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七、一般公共预算财政拨款“三公”经费支出决算表</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八、政府性基金预算财政拨款收入支出决算表</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九、国有资本经营预算财政拨款支出决算表</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color w:val="auto"/>
          <w:sz w:val="32"/>
          <w:szCs w:val="32"/>
        </w:rPr>
      </w:pPr>
      <w:r>
        <w:rPr>
          <w:rFonts w:hint="eastAsia" w:ascii="黑体" w:hAnsi="黑体" w:eastAsia="黑体" w:cs="黑体"/>
          <w:b/>
          <w:color w:val="auto"/>
          <w:sz w:val="32"/>
          <w:szCs w:val="32"/>
        </w:rPr>
        <w:t>第三部分2021年度部门决算情况说明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一、收入支出决算总体情况说明</w:t>
      </w:r>
    </w:p>
    <w:p>
      <w:pPr>
        <w:keepNext w:val="0"/>
        <w:keepLines w:val="0"/>
        <w:pageBreakBefore w:val="0"/>
        <w:kinsoku/>
        <w:overflowPunct/>
        <w:topLinePunct w:val="0"/>
        <w:bidi w:val="0"/>
        <w:snapToGrid/>
        <w:spacing w:line="600" w:lineRule="exact"/>
        <w:ind w:left="0" w:leftChars="0" w:right="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二、收入决算情况说明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四、财政拨款收入支出决算总体情况说明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八、政府性基金预算收入支出决算情况说明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九、国有资本经营预算财政拨款支出决算情况说明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十、关于机关运行经费支出说明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十一、一般性支出情况说明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十二、关于政府采购支出说明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十三、关于国有资产占用情况说明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十四、关于2021年度预算绩效情况的说明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黑体" w:hAnsi="黑体" w:eastAsia="黑体" w:cs="黑体"/>
          <w:b/>
          <w:color w:val="auto"/>
          <w:kern w:val="0"/>
          <w:sz w:val="32"/>
          <w:szCs w:val="32"/>
        </w:rPr>
      </w:pPr>
      <w:r>
        <w:rPr>
          <w:rFonts w:hint="eastAsia" w:ascii="黑体" w:hAnsi="黑体" w:eastAsia="黑体" w:cs="黑体"/>
          <w:b/>
          <w:color w:val="auto"/>
          <w:kern w:val="0"/>
          <w:sz w:val="32"/>
          <w:szCs w:val="32"/>
        </w:rPr>
        <w:t>第四部分名词解释</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黑体" w:hAnsi="黑体" w:eastAsia="黑体" w:cs="黑体"/>
          <w:b/>
          <w:color w:val="auto"/>
          <w:kern w:val="0"/>
          <w:sz w:val="32"/>
          <w:szCs w:val="32"/>
        </w:rPr>
      </w:pPr>
      <w:r>
        <w:rPr>
          <w:rFonts w:hint="eastAsia" w:ascii="黑体" w:hAnsi="黑体" w:eastAsia="黑体" w:cs="黑体"/>
          <w:b/>
          <w:color w:val="auto"/>
          <w:kern w:val="0"/>
          <w:sz w:val="32"/>
          <w:szCs w:val="32"/>
        </w:rPr>
        <w:t>第五部分附件</w:t>
      </w: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left="0" w:leftChars="0" w:right="0" w:firstLine="640" w:firstLineChars="200"/>
        <w:jc w:val="center"/>
        <w:rPr>
          <w:rFonts w:hint="eastAsia" w:ascii="仿宋" w:hAnsi="仿宋" w:eastAsia="仿宋" w:cs="仿宋"/>
          <w:color w:val="auto"/>
          <w:sz w:val="32"/>
          <w:szCs w:val="32"/>
        </w:rPr>
      </w:pPr>
    </w:p>
    <w:p>
      <w:pPr>
        <w:pStyle w:val="12"/>
        <w:keepNext w:val="0"/>
        <w:keepLines w:val="0"/>
        <w:pageBreakBefore w:val="0"/>
        <w:kinsoku/>
        <w:overflowPunct/>
        <w:topLinePunct w:val="0"/>
        <w:bidi w:val="0"/>
        <w:snapToGrid/>
        <w:spacing w:line="600" w:lineRule="exact"/>
        <w:ind w:right="0"/>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rPr>
        <w:t>第一部分</w:t>
      </w:r>
      <w:r>
        <w:rPr>
          <w:rFonts w:hint="eastAsia" w:ascii="黑体" w:hAnsi="黑体" w:eastAsia="黑体" w:cs="黑体"/>
          <w:b/>
          <w:bCs/>
          <w:color w:val="auto"/>
          <w:sz w:val="44"/>
          <w:szCs w:val="44"/>
          <w:lang w:val="en-US" w:eastAsia="zh-CN"/>
        </w:rPr>
        <w:t>怀化市中心特殊教育学校</w:t>
      </w:r>
      <w:r>
        <w:rPr>
          <w:rFonts w:hint="eastAsia" w:ascii="黑体" w:hAnsi="黑体" w:eastAsia="黑体" w:cs="黑体"/>
          <w:b/>
          <w:bCs/>
          <w:color w:val="auto"/>
          <w:sz w:val="44"/>
          <w:szCs w:val="44"/>
        </w:rPr>
        <w:t>概况</w:t>
      </w:r>
    </w:p>
    <w:p>
      <w:pPr>
        <w:pStyle w:val="13"/>
        <w:keepNext w:val="0"/>
        <w:keepLines w:val="0"/>
        <w:pageBreakBefore w:val="0"/>
        <w:kinsoku/>
        <w:overflowPunct/>
        <w:topLinePunct w:val="0"/>
        <w:bidi w:val="0"/>
        <w:snapToGrid/>
        <w:spacing w:line="600" w:lineRule="exact"/>
        <w:ind w:left="0" w:leftChars="0" w:right="0" w:firstLine="640" w:firstLineChars="200"/>
        <w:jc w:val="left"/>
        <w:rPr>
          <w:rFonts w:hint="eastAsia" w:ascii="仿宋" w:hAnsi="仿宋" w:eastAsia="仿宋" w:cs="仿宋"/>
          <w:color w:val="auto"/>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黑体" w:hAnsi="黑体" w:eastAsia="黑体" w:cs="黑体"/>
          <w:b w:val="0"/>
          <w:bCs/>
          <w:i w:val="0"/>
          <w:iCs w:val="0"/>
          <w:caps w:val="0"/>
          <w:color w:val="auto"/>
          <w:spacing w:val="0"/>
          <w:sz w:val="32"/>
          <w:szCs w:val="32"/>
        </w:rPr>
      </w:pPr>
      <w:r>
        <w:rPr>
          <w:rStyle w:val="9"/>
          <w:rFonts w:hint="eastAsia" w:ascii="黑体" w:hAnsi="黑体" w:eastAsia="黑体" w:cs="黑体"/>
          <w:b w:val="0"/>
          <w:bCs/>
          <w:i w:val="0"/>
          <w:iCs w:val="0"/>
          <w:caps w:val="0"/>
          <w:color w:val="auto"/>
          <w:spacing w:val="0"/>
          <w:sz w:val="32"/>
          <w:szCs w:val="32"/>
          <w:shd w:val="clear" w:color="auto" w:fill="FFFFFF"/>
        </w:rPr>
        <w:t>一、部门职责</w:t>
      </w: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 w:val="0"/>
          <w:i w:val="0"/>
          <w:caps w:val="0"/>
          <w:color w:val="auto"/>
          <w:spacing w:val="0"/>
          <w:sz w:val="32"/>
          <w:szCs w:val="32"/>
          <w:shd w:val="clear" w:fill="FFFFFF"/>
          <w:lang w:val="en-US" w:eastAsia="zh-CN"/>
        </w:rPr>
      </w:pPr>
      <w:r>
        <w:rPr>
          <w:rFonts w:hint="eastAsia" w:ascii="仿宋" w:hAnsi="仿宋" w:eastAsia="仿宋" w:cs="仿宋"/>
          <w:b w:val="0"/>
          <w:i w:val="0"/>
          <w:caps w:val="0"/>
          <w:color w:val="auto"/>
          <w:spacing w:val="0"/>
          <w:sz w:val="32"/>
          <w:szCs w:val="32"/>
          <w:shd w:val="clear" w:fill="FFFFFF"/>
          <w:lang w:val="en-US" w:eastAsia="zh-CN"/>
        </w:rPr>
        <w:t>怀化市中心特殊教育学校直属怀化市教育局管理，主要担负鹤城、中方、新晃、通道四县市区残障儿童少年和怀化各县市区听障儿童少年的教育教学以及县级特校教师培训及业务指导工作，是一所集康复教育、学前教育、小学、初中、高中于一体的十二年一贯制特殊教育学校。 </w:t>
      </w: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二、机构设置及决算单位构成</w:t>
      </w: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Cs/>
          <w:color w:val="auto"/>
          <w:kern w:val="0"/>
          <w:sz w:val="32"/>
          <w:szCs w:val="32"/>
        </w:rPr>
      </w:pPr>
      <w:r>
        <w:rPr>
          <w:rFonts w:hint="eastAsia" w:ascii="仿宋" w:hAnsi="仿宋" w:eastAsia="仿宋" w:cs="仿宋"/>
          <w:b/>
          <w:bCs w:val="0"/>
          <w:color w:val="auto"/>
          <w:kern w:val="0"/>
          <w:sz w:val="32"/>
          <w:szCs w:val="32"/>
        </w:rPr>
        <w:t>（一）内设机构设置。</w:t>
      </w:r>
      <w:r>
        <w:rPr>
          <w:rFonts w:hint="eastAsia" w:ascii="仿宋" w:hAnsi="仿宋" w:eastAsia="仿宋" w:cs="仿宋"/>
          <w:bCs/>
          <w:color w:val="auto"/>
          <w:kern w:val="0"/>
          <w:sz w:val="32"/>
          <w:szCs w:val="32"/>
        </w:rPr>
        <w:t>怀化市中心特殊教育学校</w:t>
      </w:r>
      <w:r>
        <w:rPr>
          <w:rFonts w:hint="eastAsia" w:ascii="仿宋" w:hAnsi="仿宋" w:eastAsia="仿宋" w:cs="仿宋"/>
          <w:bCs/>
          <w:color w:val="auto"/>
          <w:kern w:val="0"/>
          <w:sz w:val="32"/>
          <w:szCs w:val="32"/>
          <w:lang w:val="en-US" w:eastAsia="zh-CN"/>
        </w:rPr>
        <w:t>为</w:t>
      </w:r>
      <w:r>
        <w:rPr>
          <w:rFonts w:hint="eastAsia" w:ascii="仿宋" w:hAnsi="仿宋" w:eastAsia="仿宋" w:cs="仿宋"/>
          <w:bCs/>
          <w:color w:val="auto"/>
          <w:kern w:val="0"/>
          <w:sz w:val="32"/>
          <w:szCs w:val="32"/>
        </w:rPr>
        <w:t>一级部门预算单位</w:t>
      </w:r>
      <w:r>
        <w:rPr>
          <w:rFonts w:hint="eastAsia" w:ascii="仿宋" w:hAnsi="仿宋" w:eastAsia="仿宋" w:cs="仿宋"/>
          <w:bCs/>
          <w:color w:val="auto"/>
          <w:kern w:val="0"/>
          <w:sz w:val="32"/>
          <w:szCs w:val="32"/>
          <w:lang w:eastAsia="zh-CN"/>
        </w:rPr>
        <w:t>，</w:t>
      </w:r>
      <w:r>
        <w:rPr>
          <w:rFonts w:hint="eastAsia" w:ascii="仿宋" w:hAnsi="仿宋" w:eastAsia="仿宋" w:cs="仿宋"/>
          <w:bCs/>
          <w:color w:val="auto"/>
          <w:kern w:val="0"/>
          <w:sz w:val="32"/>
          <w:szCs w:val="32"/>
        </w:rPr>
        <w:t>内设机构包括：办公室、教导处、总务处、</w:t>
      </w:r>
      <w:r>
        <w:rPr>
          <w:rFonts w:hint="eastAsia" w:ascii="仿宋" w:hAnsi="仿宋" w:eastAsia="仿宋" w:cs="仿宋"/>
          <w:bCs/>
          <w:color w:val="auto"/>
          <w:kern w:val="0"/>
          <w:sz w:val="32"/>
          <w:szCs w:val="32"/>
          <w:lang w:val="en-US" w:eastAsia="zh-CN"/>
        </w:rPr>
        <w:t>校安办、督导室、德育室</w:t>
      </w:r>
      <w:r>
        <w:rPr>
          <w:rFonts w:hint="eastAsia" w:ascii="仿宋" w:hAnsi="仿宋" w:eastAsia="仿宋" w:cs="仿宋"/>
          <w:bCs/>
          <w:color w:val="auto"/>
          <w:kern w:val="0"/>
          <w:sz w:val="32"/>
          <w:szCs w:val="32"/>
        </w:rPr>
        <w:t>等</w:t>
      </w:r>
      <w:r>
        <w:rPr>
          <w:rFonts w:hint="eastAsia" w:ascii="仿宋" w:hAnsi="仿宋" w:eastAsia="仿宋" w:cs="仿宋"/>
          <w:bCs/>
          <w:color w:val="auto"/>
          <w:kern w:val="0"/>
          <w:sz w:val="32"/>
          <w:szCs w:val="32"/>
          <w:lang w:val="en-US" w:eastAsia="zh-CN"/>
        </w:rPr>
        <w:t>6</w:t>
      </w:r>
      <w:r>
        <w:rPr>
          <w:rFonts w:hint="eastAsia" w:ascii="仿宋" w:hAnsi="仿宋" w:eastAsia="仿宋" w:cs="仿宋"/>
          <w:bCs/>
          <w:color w:val="auto"/>
          <w:kern w:val="0"/>
          <w:sz w:val="32"/>
          <w:szCs w:val="32"/>
        </w:rPr>
        <w:t>个处室。</w:t>
      </w: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
          <w:bCs w:val="0"/>
          <w:color w:val="auto"/>
          <w:kern w:val="0"/>
          <w:sz w:val="32"/>
          <w:szCs w:val="32"/>
        </w:rPr>
        <w:t>（二）决算单位构成。</w:t>
      </w:r>
      <w:r>
        <w:rPr>
          <w:rFonts w:hint="eastAsia" w:ascii="仿宋" w:hAnsi="仿宋" w:eastAsia="仿宋" w:cs="仿宋"/>
          <w:bCs/>
          <w:color w:val="auto"/>
          <w:kern w:val="0"/>
          <w:sz w:val="32"/>
          <w:szCs w:val="32"/>
        </w:rPr>
        <w:t>怀化市中心特殊教育学校202</w:t>
      </w:r>
      <w:r>
        <w:rPr>
          <w:rFonts w:hint="eastAsia" w:ascii="仿宋" w:hAnsi="仿宋" w:eastAsia="仿宋" w:cs="仿宋"/>
          <w:bCs/>
          <w:color w:val="auto"/>
          <w:kern w:val="0"/>
          <w:sz w:val="32"/>
          <w:szCs w:val="32"/>
          <w:lang w:val="en-US" w:eastAsia="zh-CN"/>
        </w:rPr>
        <w:t>1</w:t>
      </w:r>
      <w:r>
        <w:rPr>
          <w:rFonts w:hint="eastAsia" w:ascii="仿宋" w:hAnsi="仿宋" w:eastAsia="仿宋" w:cs="仿宋"/>
          <w:bCs/>
          <w:color w:val="auto"/>
          <w:kern w:val="0"/>
          <w:sz w:val="32"/>
          <w:szCs w:val="32"/>
        </w:rPr>
        <w:t>年部门决算公开单位构成</w:t>
      </w:r>
      <w:r>
        <w:rPr>
          <w:rFonts w:hint="eastAsia" w:ascii="仿宋" w:hAnsi="仿宋" w:eastAsia="仿宋" w:cs="仿宋"/>
          <w:bCs/>
          <w:color w:val="auto"/>
          <w:kern w:val="0"/>
          <w:sz w:val="32"/>
          <w:szCs w:val="32"/>
          <w:lang w:val="en-US" w:eastAsia="zh-CN"/>
        </w:rPr>
        <w:t>的只有怀化市中心特殊教育学校本级。</w:t>
      </w: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Cs/>
          <w:color w:val="auto"/>
          <w:kern w:val="0"/>
          <w:sz w:val="32"/>
          <w:szCs w:val="32"/>
          <w:lang w:val="en-US" w:eastAsia="zh-CN"/>
        </w:rPr>
      </w:pP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Cs/>
          <w:color w:val="auto"/>
          <w:kern w:val="0"/>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Style w:val="9"/>
          <w:rFonts w:hint="eastAsia" w:ascii="黑体" w:hAnsi="黑体" w:eastAsia="黑体" w:cs="黑体"/>
          <w:i w:val="0"/>
          <w:iCs w:val="0"/>
          <w:caps w:val="0"/>
          <w:color w:val="auto"/>
          <w:spacing w:val="0"/>
          <w:sz w:val="44"/>
          <w:szCs w:val="44"/>
          <w:highlight w:val="none"/>
          <w:shd w:val="clear" w:color="auto" w:fill="FFFFFF"/>
        </w:rPr>
      </w:pPr>
      <w:r>
        <w:rPr>
          <w:rStyle w:val="9"/>
          <w:rFonts w:hint="eastAsia" w:ascii="黑体" w:hAnsi="黑体" w:eastAsia="黑体" w:cs="黑体"/>
          <w:i w:val="0"/>
          <w:iCs w:val="0"/>
          <w:caps w:val="0"/>
          <w:color w:val="auto"/>
          <w:spacing w:val="0"/>
          <w:sz w:val="44"/>
          <w:szCs w:val="44"/>
          <w:highlight w:val="none"/>
          <w:shd w:val="clear" w:color="auto" w:fill="FFFFFF"/>
        </w:rPr>
        <w:t>第二部分 2021年度部门决算表</w:t>
      </w:r>
    </w:p>
    <w:p>
      <w:pPr>
        <w:keepNext w:val="0"/>
        <w:keepLines w:val="0"/>
        <w:pageBreakBefore w:val="0"/>
        <w:kinsoku/>
        <w:wordWrap/>
        <w:overflowPunct/>
        <w:topLinePunct w:val="0"/>
        <w:autoSpaceDE/>
        <w:autoSpaceDN/>
        <w:bidi w:val="0"/>
        <w:adjustRightInd/>
        <w:snapToGrid/>
        <w:spacing w:line="600" w:lineRule="exact"/>
        <w:jc w:val="center"/>
        <w:textAlignment w:val="auto"/>
        <w:rPr>
          <w:rStyle w:val="9"/>
          <w:rFonts w:hint="eastAsia" w:ascii="仿宋" w:hAnsi="仿宋" w:eastAsia="仿宋" w:cs="仿宋"/>
          <w:i w:val="0"/>
          <w:iCs w:val="0"/>
          <w:caps w:val="0"/>
          <w:color w:val="auto"/>
          <w:spacing w:val="0"/>
          <w:sz w:val="32"/>
          <w:szCs w:val="32"/>
          <w:highlight w:val="yellow"/>
          <w:shd w:val="clear" w:color="auto" w:fill="FFFFFF"/>
          <w:lang w:val="en-US" w:eastAsia="zh-CN"/>
        </w:rPr>
      </w:pPr>
      <w:r>
        <w:rPr>
          <w:rStyle w:val="9"/>
          <w:rFonts w:hint="eastAsia" w:ascii="仿宋" w:hAnsi="仿宋" w:eastAsia="仿宋" w:cs="仿宋"/>
          <w:i w:val="0"/>
          <w:iCs w:val="0"/>
          <w:caps w:val="0"/>
          <w:color w:val="auto"/>
          <w:spacing w:val="0"/>
          <w:sz w:val="32"/>
          <w:szCs w:val="32"/>
          <w:highlight w:val="none"/>
          <w:shd w:val="clear" w:color="auto" w:fill="FFFFFF"/>
          <w:lang w:val="en-US" w:eastAsia="zh-CN"/>
        </w:rPr>
        <w:t>见附表</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Fonts w:hint="eastAsia" w:ascii="仿宋" w:hAnsi="仿宋" w:eastAsia="仿宋" w:cs="仿宋"/>
          <w:b/>
          <w:bCs/>
          <w:color w:val="auto"/>
          <w:sz w:val="32"/>
          <w:szCs w:val="32"/>
        </w:rPr>
        <w:t> </w:t>
      </w:r>
      <w:r>
        <w:rPr>
          <w:rStyle w:val="9"/>
          <w:rFonts w:hint="eastAsia" w:ascii="黑体" w:hAnsi="黑体" w:eastAsia="黑体" w:cs="黑体"/>
          <w:i w:val="0"/>
          <w:iCs w:val="0"/>
          <w:caps w:val="0"/>
          <w:color w:val="auto"/>
          <w:spacing w:val="0"/>
          <w:sz w:val="44"/>
          <w:szCs w:val="44"/>
          <w:shd w:val="clear" w:color="auto" w:fill="FFFFFF"/>
        </w:rPr>
        <w:t>第三部分 2021年度部门决算情况说明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Style w:val="9"/>
          <w:rFonts w:hint="eastAsia" w:ascii="黑体" w:hAnsi="黑体" w:eastAsia="黑体" w:cs="黑体"/>
          <w:b w:val="0"/>
          <w:bCs w:val="0"/>
          <w:i w:val="0"/>
          <w:iCs w:val="0"/>
          <w:caps w:val="0"/>
          <w:color w:val="auto"/>
          <w:spacing w:val="0"/>
          <w:sz w:val="32"/>
          <w:szCs w:val="32"/>
          <w:shd w:val="clear" w:color="auto" w:fill="FFFFFF"/>
        </w:rPr>
      </w:pPr>
      <w:r>
        <w:rPr>
          <w:rStyle w:val="9"/>
          <w:rFonts w:hint="eastAsia" w:ascii="黑体" w:hAnsi="黑体" w:eastAsia="黑体" w:cs="黑体"/>
          <w:b w:val="0"/>
          <w:bCs w:val="0"/>
          <w:i w:val="0"/>
          <w:iCs w:val="0"/>
          <w:caps w:val="0"/>
          <w:color w:val="auto"/>
          <w:spacing w:val="0"/>
          <w:sz w:val="32"/>
          <w:szCs w:val="32"/>
          <w:shd w:val="clear" w:color="auto" w:fill="FFFFFF"/>
        </w:rPr>
        <w:t>收入支出决算总体情况说明</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righ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年度收、支总计</w:t>
      </w:r>
      <w:r>
        <w:rPr>
          <w:rFonts w:hint="eastAsia" w:ascii="仿宋" w:hAnsi="仿宋" w:eastAsia="仿宋" w:cs="仿宋"/>
          <w:color w:val="auto"/>
          <w:sz w:val="32"/>
          <w:szCs w:val="32"/>
          <w:lang w:val="en-US" w:eastAsia="zh-CN"/>
        </w:rPr>
        <w:t>各2,334.63</w:t>
      </w:r>
      <w:r>
        <w:rPr>
          <w:rFonts w:hint="eastAsia" w:ascii="仿宋" w:hAnsi="仿宋" w:eastAsia="仿宋" w:cs="仿宋"/>
          <w:color w:val="auto"/>
          <w:sz w:val="32"/>
          <w:szCs w:val="32"/>
        </w:rPr>
        <w:t>万元。与上年2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980.71万元相比，</w:t>
      </w:r>
      <w:r>
        <w:rPr>
          <w:rFonts w:hint="eastAsia" w:ascii="仿宋" w:hAnsi="仿宋" w:eastAsia="仿宋" w:cs="仿宋"/>
          <w:color w:val="auto"/>
          <w:sz w:val="32"/>
          <w:szCs w:val="32"/>
          <w:lang w:val="en-US" w:eastAsia="zh-CN"/>
        </w:rPr>
        <w:t>减少646.08</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减少21.68</w:t>
      </w:r>
      <w:r>
        <w:rPr>
          <w:rFonts w:hint="eastAsia" w:ascii="仿宋" w:hAnsi="仿宋" w:eastAsia="仿宋" w:cs="仿宋"/>
          <w:color w:val="auto"/>
          <w:sz w:val="32"/>
          <w:szCs w:val="32"/>
        </w:rPr>
        <w:t>%，主要是因为本年</w:t>
      </w:r>
      <w:r>
        <w:rPr>
          <w:rFonts w:hint="eastAsia" w:ascii="仿宋" w:hAnsi="仿宋" w:eastAsia="仿宋" w:cs="仿宋"/>
          <w:color w:val="auto"/>
          <w:sz w:val="32"/>
          <w:szCs w:val="32"/>
          <w:lang w:val="en-US" w:eastAsia="zh-CN"/>
        </w:rPr>
        <w:t>学校一期改扩建</w:t>
      </w:r>
      <w:r>
        <w:rPr>
          <w:rFonts w:hint="eastAsia" w:ascii="仿宋" w:hAnsi="仿宋" w:eastAsia="仿宋" w:cs="仿宋"/>
          <w:color w:val="auto"/>
          <w:sz w:val="32"/>
          <w:szCs w:val="32"/>
        </w:rPr>
        <w:t>工程建设项目</w:t>
      </w:r>
      <w:r>
        <w:rPr>
          <w:rFonts w:hint="eastAsia" w:ascii="仿宋" w:hAnsi="仿宋" w:eastAsia="仿宋" w:cs="仿宋"/>
          <w:color w:val="auto"/>
          <w:sz w:val="32"/>
          <w:szCs w:val="32"/>
          <w:lang w:val="en-US" w:eastAsia="zh-CN"/>
        </w:rPr>
        <w:t>已完工，大部分工程款已支付</w:t>
      </w:r>
      <w:r>
        <w:rPr>
          <w:rFonts w:hint="eastAsia" w:ascii="仿宋" w:hAnsi="仿宋" w:eastAsia="仿宋" w:cs="仿宋"/>
          <w:color w:val="auto"/>
          <w:sz w:val="32"/>
          <w:szCs w:val="32"/>
        </w:rPr>
        <w:t>所致</w:t>
      </w:r>
      <w:r>
        <w:rPr>
          <w:rFonts w:hint="eastAsia" w:ascii="仿宋" w:hAnsi="仿宋" w:eastAsia="仿宋" w:cs="仿宋"/>
          <w:color w:val="auto"/>
          <w:sz w:val="32"/>
          <w:szCs w:val="32"/>
          <w:lang w:eastAsia="zh-CN"/>
        </w:rPr>
        <w:t>。</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2021年度收入合计</w:t>
      </w:r>
      <w:r>
        <w:rPr>
          <w:rFonts w:hint="eastAsia" w:ascii="仿宋" w:hAnsi="仿宋" w:eastAsia="仿宋" w:cs="仿宋"/>
          <w:color w:val="auto"/>
          <w:sz w:val="32"/>
          <w:szCs w:val="32"/>
          <w:lang w:val="en-US" w:eastAsia="zh-CN"/>
        </w:rPr>
        <w:t>1,073.55</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eastAsia="zh-CN"/>
        </w:rPr>
        <w:t>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063.55</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99.07</w:t>
      </w:r>
      <w:r>
        <w:rPr>
          <w:rFonts w:hint="eastAsia" w:ascii="仿宋" w:hAnsi="仿宋" w:eastAsia="仿宋" w:cs="仿宋"/>
          <w:color w:val="auto"/>
          <w:sz w:val="32"/>
          <w:szCs w:val="32"/>
        </w:rPr>
        <w:t>%；上级补助收入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%；事业收入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%；附属单位上缴收入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%；其他收入</w:t>
      </w:r>
      <w:r>
        <w:rPr>
          <w:rFonts w:hint="eastAsia" w:ascii="仿宋" w:hAnsi="仿宋" w:eastAsia="仿宋" w:cs="仿宋"/>
          <w:color w:val="auto"/>
          <w:sz w:val="32"/>
          <w:szCs w:val="32"/>
          <w:lang w:eastAsia="zh-CN"/>
        </w:rPr>
        <w:t>10</w:t>
      </w:r>
      <w:r>
        <w:rPr>
          <w:rFonts w:hint="eastAsia" w:ascii="仿宋" w:hAnsi="仿宋" w:eastAsia="仿宋" w:cs="仿宋"/>
          <w:color w:val="auto"/>
          <w:sz w:val="32"/>
          <w:szCs w:val="32"/>
        </w:rPr>
        <w:t>万元，0.</w:t>
      </w:r>
      <w:r>
        <w:rPr>
          <w:rFonts w:hint="eastAsia" w:ascii="仿宋" w:hAnsi="仿宋" w:eastAsia="仿宋" w:cs="仿宋"/>
          <w:color w:val="auto"/>
          <w:sz w:val="32"/>
          <w:szCs w:val="32"/>
          <w:lang w:val="en-US" w:eastAsia="zh-CN"/>
        </w:rPr>
        <w:t>93</w:t>
      </w:r>
      <w:r>
        <w:rPr>
          <w:rFonts w:hint="eastAsia" w:ascii="仿宋" w:hAnsi="仿宋" w:eastAsia="仿宋" w:cs="仿宋"/>
          <w:color w:val="auto"/>
          <w:sz w:val="32"/>
          <w:szCs w:val="32"/>
        </w:rPr>
        <w:t>%。</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2021年度支出合计</w:t>
      </w:r>
      <w:r>
        <w:rPr>
          <w:rFonts w:hint="eastAsia" w:ascii="仿宋" w:hAnsi="仿宋" w:eastAsia="仿宋" w:cs="仿宋"/>
          <w:color w:val="auto"/>
          <w:sz w:val="32"/>
          <w:szCs w:val="32"/>
          <w:lang w:val="en-US" w:eastAsia="zh-CN"/>
        </w:rPr>
        <w:t>2,334.63</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eastAsia="zh-CN"/>
        </w:rPr>
        <w:t>952.69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40.81</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eastAsia="zh-CN"/>
        </w:rPr>
        <w:t>1,381.94</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59.19</w:t>
      </w:r>
      <w:r>
        <w:rPr>
          <w:rFonts w:hint="eastAsia" w:ascii="仿宋" w:hAnsi="仿宋" w:eastAsia="仿宋" w:cs="仿宋"/>
          <w:color w:val="auto"/>
          <w:sz w:val="32"/>
          <w:szCs w:val="32"/>
        </w:rPr>
        <w:t>%；上缴上级支出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%；对附属单位补助支出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年度财政拨款收、支总计</w:t>
      </w:r>
      <w:r>
        <w:rPr>
          <w:rFonts w:hint="eastAsia" w:ascii="仿宋" w:hAnsi="仿宋" w:eastAsia="仿宋" w:cs="仿宋"/>
          <w:color w:val="auto"/>
          <w:sz w:val="32"/>
          <w:szCs w:val="32"/>
          <w:lang w:val="en-US" w:eastAsia="zh-CN"/>
        </w:rPr>
        <w:t>各2,324.63</w:t>
      </w:r>
      <w:r>
        <w:rPr>
          <w:rFonts w:hint="eastAsia" w:ascii="仿宋" w:hAnsi="仿宋" w:eastAsia="仿宋" w:cs="仿宋"/>
          <w:color w:val="auto"/>
          <w:sz w:val="32"/>
          <w:szCs w:val="32"/>
        </w:rPr>
        <w:t>万元，与上年2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968.75</w:t>
      </w:r>
      <w:r>
        <w:rPr>
          <w:rFonts w:hint="eastAsia" w:ascii="仿宋" w:hAnsi="仿宋" w:eastAsia="仿宋" w:cs="仿宋"/>
          <w:color w:val="auto"/>
          <w:sz w:val="32"/>
          <w:szCs w:val="32"/>
          <w:lang w:val="en-US" w:eastAsia="zh-CN"/>
        </w:rPr>
        <w:t>万元</w:t>
      </w:r>
      <w:r>
        <w:rPr>
          <w:rFonts w:hint="eastAsia" w:ascii="仿宋" w:hAnsi="仿宋" w:eastAsia="仿宋" w:cs="仿宋"/>
          <w:color w:val="auto"/>
          <w:sz w:val="32"/>
          <w:szCs w:val="32"/>
        </w:rPr>
        <w:t>相比，</w:t>
      </w:r>
      <w:r>
        <w:rPr>
          <w:rFonts w:hint="eastAsia" w:ascii="仿宋" w:hAnsi="仿宋" w:eastAsia="仿宋" w:cs="仿宋"/>
          <w:color w:val="auto"/>
          <w:sz w:val="32"/>
          <w:szCs w:val="32"/>
          <w:lang w:val="en-US" w:eastAsia="zh-CN"/>
        </w:rPr>
        <w:t>减少644.12</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减少21.70</w:t>
      </w:r>
      <w:r>
        <w:rPr>
          <w:rFonts w:hint="eastAsia" w:ascii="仿宋" w:hAnsi="仿宋" w:eastAsia="仿宋" w:cs="仿宋"/>
          <w:color w:val="auto"/>
          <w:sz w:val="32"/>
          <w:szCs w:val="32"/>
        </w:rPr>
        <w:t>%，主要是因为本年</w:t>
      </w:r>
      <w:r>
        <w:rPr>
          <w:rFonts w:hint="eastAsia" w:ascii="仿宋" w:hAnsi="仿宋" w:eastAsia="仿宋" w:cs="仿宋"/>
          <w:color w:val="auto"/>
          <w:sz w:val="32"/>
          <w:szCs w:val="32"/>
          <w:lang w:val="en-US" w:eastAsia="zh-CN"/>
        </w:rPr>
        <w:t>学校一期改扩建建设工程款为上年结转，工程于本年完工，大部分工程款于本年支付</w:t>
      </w:r>
      <w:r>
        <w:rPr>
          <w:rFonts w:hint="eastAsia" w:ascii="仿宋" w:hAnsi="仿宋" w:eastAsia="仿宋" w:cs="仿宋"/>
          <w:color w:val="auto"/>
          <w:sz w:val="32"/>
          <w:szCs w:val="32"/>
          <w:lang w:eastAsia="zh-CN"/>
        </w:rPr>
        <w:t>。</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（一）财政拨款支出决算总体情况</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2021年度财政拨款支出</w:t>
      </w:r>
      <w:r>
        <w:rPr>
          <w:rFonts w:hint="eastAsia" w:ascii="仿宋" w:hAnsi="仿宋" w:eastAsia="仿宋" w:cs="仿宋"/>
          <w:color w:val="auto"/>
          <w:sz w:val="32"/>
          <w:szCs w:val="32"/>
          <w:lang w:val="en-US" w:eastAsia="zh-CN"/>
        </w:rPr>
        <w:t>2,317.63</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99.27</w:t>
      </w:r>
      <w:r>
        <w:rPr>
          <w:rFonts w:hint="eastAsia" w:ascii="仿宋" w:hAnsi="仿宋" w:eastAsia="仿宋" w:cs="仿宋"/>
          <w:color w:val="auto"/>
          <w:sz w:val="32"/>
          <w:szCs w:val="32"/>
        </w:rPr>
        <w:t>%，与上年相比，财政拨款支出增加</w:t>
      </w:r>
      <w:r>
        <w:rPr>
          <w:rFonts w:hint="eastAsia" w:ascii="仿宋" w:hAnsi="仿宋" w:eastAsia="仿宋" w:cs="仿宋"/>
          <w:color w:val="auto"/>
          <w:sz w:val="32"/>
          <w:szCs w:val="32"/>
          <w:lang w:val="en-US" w:eastAsia="zh-CN"/>
        </w:rPr>
        <w:t>1,351.07</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139.78</w:t>
      </w:r>
      <w:r>
        <w:rPr>
          <w:rFonts w:hint="eastAsia" w:ascii="仿宋" w:hAnsi="仿宋" w:eastAsia="仿宋" w:cs="仿宋"/>
          <w:color w:val="auto"/>
          <w:sz w:val="32"/>
          <w:szCs w:val="32"/>
        </w:rPr>
        <w:t>%，主要是因为</w:t>
      </w:r>
      <w:r>
        <w:rPr>
          <w:rFonts w:hint="eastAsia" w:ascii="仿宋" w:hAnsi="仿宋" w:eastAsia="仿宋" w:cs="仿宋"/>
          <w:color w:val="auto"/>
          <w:sz w:val="32"/>
          <w:szCs w:val="32"/>
          <w:lang w:val="en-US" w:eastAsia="zh-CN"/>
        </w:rPr>
        <w:t>本年增加学校一期改扩建工程款1,249.38万元、校舍维修33.78万元以及学生生活费补助78.46万元所致。</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（二）财政拨款支出决算结构情况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2021年度财政拨款支出</w:t>
      </w:r>
      <w:r>
        <w:rPr>
          <w:rFonts w:hint="eastAsia" w:ascii="仿宋" w:hAnsi="仿宋" w:eastAsia="仿宋" w:cs="仿宋"/>
          <w:color w:val="auto"/>
          <w:sz w:val="32"/>
          <w:szCs w:val="32"/>
          <w:lang w:val="en-US" w:eastAsia="zh-CN"/>
        </w:rPr>
        <w:t>2,317.63</w:t>
      </w:r>
      <w:r>
        <w:rPr>
          <w:rFonts w:hint="eastAsia" w:ascii="仿宋" w:hAnsi="仿宋" w:eastAsia="仿宋" w:cs="仿宋"/>
          <w:color w:val="auto"/>
          <w:sz w:val="32"/>
          <w:szCs w:val="32"/>
        </w:rPr>
        <w:t>万元，主要用于以下方面：</w:t>
      </w:r>
      <w:r>
        <w:rPr>
          <w:rFonts w:hint="eastAsia" w:ascii="仿宋" w:hAnsi="仿宋" w:eastAsia="仿宋" w:cs="仿宋"/>
          <w:color w:val="auto"/>
          <w:sz w:val="32"/>
          <w:szCs w:val="32"/>
          <w:lang w:val="en-US" w:eastAsia="zh-CN"/>
        </w:rPr>
        <w:t>教育支出2,221.41万元，占95.85%；社会保障和就业支出67.95万元，占2.93%；卫生健康支出28.27万元，占1.22%。</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（三）财政拨款支出决算具体情况</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2021年度财政拨款支出年初预算数为</w:t>
      </w:r>
      <w:r>
        <w:rPr>
          <w:rFonts w:hint="eastAsia" w:ascii="仿宋" w:hAnsi="仿宋" w:eastAsia="仿宋" w:cs="仿宋"/>
          <w:color w:val="auto"/>
          <w:sz w:val="32"/>
          <w:szCs w:val="32"/>
          <w:lang w:val="en-US" w:eastAsia="zh-CN"/>
        </w:rPr>
        <w:t>551.41</w:t>
      </w:r>
      <w:r>
        <w:rPr>
          <w:rFonts w:hint="eastAsia" w:ascii="仿宋" w:hAnsi="仿宋" w:eastAsia="仿宋" w:cs="仿宋"/>
          <w:color w:val="auto"/>
          <w:sz w:val="32"/>
          <w:szCs w:val="32"/>
        </w:rPr>
        <w:t>万元，支出决算数为</w:t>
      </w:r>
      <w:r>
        <w:rPr>
          <w:rFonts w:hint="eastAsia" w:ascii="仿宋" w:hAnsi="仿宋" w:eastAsia="仿宋" w:cs="仿宋"/>
          <w:color w:val="auto"/>
          <w:sz w:val="32"/>
          <w:szCs w:val="32"/>
          <w:lang w:val="en-US" w:eastAsia="zh-CN"/>
        </w:rPr>
        <w:t>2,317.63</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420.31</w:t>
      </w:r>
      <w:r>
        <w:rPr>
          <w:rFonts w:hint="eastAsia" w:ascii="仿宋" w:hAnsi="仿宋" w:eastAsia="仿宋" w:cs="仿宋"/>
          <w:color w:val="auto"/>
          <w:sz w:val="32"/>
          <w:szCs w:val="32"/>
        </w:rPr>
        <w:t>%，其中：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1.教育支出（类）普通教育（款）其他普通教育支出（项）。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年初预算为0万元，支出决算为685.72万元，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lang w:val="en-US" w:eastAsia="zh-CN"/>
        </w:rPr>
        <w:t>决算数大于年初预算数的主要原因有些项目资金未纳入预算，如公用生均经费支出及学生生活费补助项目、贫困生补助资金、部分临聘人员经费等由教科文统一年初预算，学校没有做预算。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2.教育支出（类）特殊教育（款）特殊学校教育（项）。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年初预算为551.41万元，支出决算为750.53万元，完成预算的136.11%，决算数大于年初预算数的主要原因是：本年学校教师工资调整而致福利支出增加，由于教师增加年终绩效奖金增加等。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3.教育支出（类）进修及培训（款）教师进修支出（项）。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年初预算为0万元，支出决算为3.05万元，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lang w:val="en-US" w:eastAsia="zh-CN"/>
        </w:rPr>
        <w:t>决算数大于年初预算数的主要原因是：年初预算数0万元，但由于学校实际需要，年中进行预算追加调整了教师送教上门培训项目的经费支出3.05万元。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4.教育支出（类）其他教育支出（款）其他教育支出（项）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年初预算为0万元，支出决算为782.11万元，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lang w:val="en-US" w:eastAsia="zh-CN"/>
        </w:rPr>
        <w:t>决算数大于年初预算数的主要原因是：此笔资金支出为学校一期改扩建工程年初结转的建设工程款于本年支付所致；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5.社会保障和就业支出（类）行政事业单位养老支出（款）机关事业单位基本养老保险缴费支出（项）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年初预算为0万元，支出决算为56.54万元，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lang w:val="en-US" w:eastAsia="zh-CN"/>
        </w:rPr>
        <w:t>决算数大于年初预算数的主要原因是：此笔资金用于学校教师的养老保险支出，学校未做预算，由财政年中追加预算。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6.社会保障和就业支出（类）行政事业单位养老支出（款）其他行政事业单位养老支出（项）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年初预算为0万元，支出决算为11.4万元，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lang w:val="en-US" w:eastAsia="zh-CN"/>
        </w:rPr>
        <w:t>决算数大于年初预算数的主要原因是：此笔资金用于学校教师的养老保险支出，学校未做预算，由财政年中追加预算。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7.卫生健康支出（类）行政事业单位医疗（款）行政单位医疗（项）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年初预算为0万元，支出决算为26万元，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lang w:val="en-US" w:eastAsia="zh-CN"/>
        </w:rPr>
        <w:t>决算数大于年初预算数的主要原因是：此笔资金用于教师的医疗保险支出，学校未做预算，由财政年中追加预算。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8.卫生健康支出（类）行政事业单位医疗（款）其他行政事业单位医疗支出（项）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年初预算为0万元，支出决算为2.27万元，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lang w:val="en-US" w:eastAsia="zh-CN"/>
        </w:rPr>
        <w:t>决算数大于年初预算数的主要原因是：此笔资金用于年末教师的医疗保险追加支出，学校未做预算，由财政年中追加预算。</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i/>
          <w:color w:val="auto"/>
          <w:sz w:val="32"/>
          <w:szCs w:val="32"/>
        </w:rPr>
      </w:pP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i/>
          <w:color w:val="auto"/>
          <w:sz w:val="32"/>
          <w:szCs w:val="32"/>
        </w:rPr>
      </w:pPr>
      <w:r>
        <w:rPr>
          <w:rFonts w:hint="eastAsia" w:ascii="黑体" w:hAnsi="黑体" w:eastAsia="黑体" w:cs="黑体"/>
          <w:b w:val="0"/>
          <w:bCs/>
          <w:color w:val="auto"/>
          <w:sz w:val="32"/>
          <w:szCs w:val="32"/>
        </w:rPr>
        <w:t>六、一般公共预算财政拨款基本支出决算情况说明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eastAsia="zh-CN"/>
        </w:rPr>
        <w:t>945.69</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eastAsia="zh-CN"/>
        </w:rPr>
        <w:t>797</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84.28</w:t>
      </w:r>
      <w:r>
        <w:rPr>
          <w:rFonts w:hint="eastAsia" w:ascii="仿宋" w:hAnsi="仿宋" w:eastAsia="仿宋" w:cs="仿宋"/>
          <w:color w:val="auto"/>
          <w:sz w:val="32"/>
          <w:szCs w:val="32"/>
        </w:rPr>
        <w:t>%,主要包括基本工资</w:t>
      </w:r>
      <w:r>
        <w:rPr>
          <w:rFonts w:hint="eastAsia" w:ascii="仿宋" w:hAnsi="仿宋" w:eastAsia="仿宋" w:cs="仿宋"/>
          <w:color w:val="auto"/>
          <w:sz w:val="32"/>
          <w:szCs w:val="32"/>
          <w:lang w:val="en-US" w:eastAsia="zh-CN"/>
        </w:rPr>
        <w:t>200.31</w:t>
      </w:r>
      <w:r>
        <w:rPr>
          <w:rFonts w:hint="eastAsia" w:ascii="仿宋" w:hAnsi="仿宋" w:eastAsia="仿宋" w:cs="仿宋"/>
          <w:color w:val="auto"/>
          <w:sz w:val="32"/>
          <w:szCs w:val="32"/>
        </w:rPr>
        <w:t>万元、津贴补贴</w:t>
      </w:r>
      <w:r>
        <w:rPr>
          <w:rFonts w:hint="eastAsia" w:ascii="仿宋" w:hAnsi="仿宋" w:eastAsia="仿宋" w:cs="仿宋"/>
          <w:color w:val="auto"/>
          <w:sz w:val="32"/>
          <w:szCs w:val="32"/>
          <w:lang w:val="en-US" w:eastAsia="zh-CN"/>
        </w:rPr>
        <w:t>198.59</w:t>
      </w:r>
      <w:r>
        <w:rPr>
          <w:rFonts w:hint="eastAsia" w:ascii="仿宋" w:hAnsi="仿宋" w:eastAsia="仿宋" w:cs="仿宋"/>
          <w:color w:val="auto"/>
          <w:sz w:val="32"/>
          <w:szCs w:val="32"/>
        </w:rPr>
        <w:t>万元、奖金</w:t>
      </w:r>
      <w:r>
        <w:rPr>
          <w:rFonts w:hint="eastAsia" w:ascii="仿宋" w:hAnsi="仿宋" w:eastAsia="仿宋" w:cs="仿宋"/>
          <w:color w:val="auto"/>
          <w:sz w:val="32"/>
          <w:szCs w:val="32"/>
          <w:lang w:val="en-US" w:eastAsia="zh-CN"/>
        </w:rPr>
        <w:t>116.68</w:t>
      </w:r>
      <w:r>
        <w:rPr>
          <w:rFonts w:hint="eastAsia" w:ascii="仿宋" w:hAnsi="仿宋" w:eastAsia="仿宋" w:cs="仿宋"/>
          <w:color w:val="auto"/>
          <w:sz w:val="32"/>
          <w:szCs w:val="32"/>
        </w:rPr>
        <w:t>万元、绩效工资</w:t>
      </w:r>
      <w:r>
        <w:rPr>
          <w:rFonts w:hint="eastAsia" w:ascii="仿宋" w:hAnsi="仿宋" w:eastAsia="仿宋" w:cs="仿宋"/>
          <w:color w:val="auto"/>
          <w:sz w:val="32"/>
          <w:szCs w:val="32"/>
          <w:lang w:val="en-US" w:eastAsia="zh-CN"/>
        </w:rPr>
        <w:t>40.09</w:t>
      </w:r>
      <w:r>
        <w:rPr>
          <w:rFonts w:hint="eastAsia" w:ascii="仿宋" w:hAnsi="仿宋" w:eastAsia="仿宋" w:cs="仿宋"/>
          <w:color w:val="auto"/>
          <w:sz w:val="32"/>
          <w:szCs w:val="32"/>
        </w:rPr>
        <w:t>万元、机关事业单位基本养老保险缴费</w:t>
      </w:r>
      <w:r>
        <w:rPr>
          <w:rFonts w:hint="eastAsia" w:ascii="仿宋" w:hAnsi="仿宋" w:eastAsia="仿宋" w:cs="仿宋"/>
          <w:color w:val="auto"/>
          <w:sz w:val="32"/>
          <w:szCs w:val="32"/>
          <w:lang w:val="en-US" w:eastAsia="zh-CN"/>
        </w:rPr>
        <w:t>56.96</w:t>
      </w:r>
      <w:r>
        <w:rPr>
          <w:rFonts w:hint="eastAsia" w:ascii="仿宋" w:hAnsi="仿宋" w:eastAsia="仿宋" w:cs="仿宋"/>
          <w:color w:val="auto"/>
          <w:sz w:val="32"/>
          <w:szCs w:val="32"/>
        </w:rPr>
        <w:t>万元、职工基本医疗保险缴费</w:t>
      </w:r>
      <w:r>
        <w:rPr>
          <w:rFonts w:hint="eastAsia" w:ascii="仿宋" w:hAnsi="仿宋" w:eastAsia="仿宋" w:cs="仿宋"/>
          <w:color w:val="auto"/>
          <w:sz w:val="32"/>
          <w:szCs w:val="32"/>
          <w:lang w:val="en-US" w:eastAsia="zh-CN"/>
        </w:rPr>
        <w:t>29.05</w:t>
      </w:r>
      <w:r>
        <w:rPr>
          <w:rFonts w:hint="eastAsia" w:ascii="仿宋" w:hAnsi="仿宋" w:eastAsia="仿宋" w:cs="仿宋"/>
          <w:color w:val="auto"/>
          <w:sz w:val="32"/>
          <w:szCs w:val="32"/>
        </w:rPr>
        <w:t>万元、其他社会保障缴费</w:t>
      </w:r>
      <w:r>
        <w:rPr>
          <w:rFonts w:hint="eastAsia" w:ascii="仿宋" w:hAnsi="仿宋" w:eastAsia="仿宋" w:cs="仿宋"/>
          <w:color w:val="auto"/>
          <w:sz w:val="32"/>
          <w:szCs w:val="32"/>
          <w:lang w:val="en-US" w:eastAsia="zh-CN"/>
        </w:rPr>
        <w:t>7.14</w:t>
      </w:r>
      <w:r>
        <w:rPr>
          <w:rFonts w:hint="eastAsia" w:ascii="仿宋" w:hAnsi="仿宋" w:eastAsia="仿宋" w:cs="仿宋"/>
          <w:color w:val="auto"/>
          <w:sz w:val="32"/>
          <w:szCs w:val="32"/>
        </w:rPr>
        <w:t>万元、其他工资福利支出</w:t>
      </w:r>
      <w:r>
        <w:rPr>
          <w:rFonts w:hint="eastAsia" w:ascii="仿宋" w:hAnsi="仿宋" w:eastAsia="仿宋" w:cs="仿宋"/>
          <w:color w:val="auto"/>
          <w:sz w:val="32"/>
          <w:szCs w:val="32"/>
          <w:lang w:val="en-US" w:eastAsia="zh-CN"/>
        </w:rPr>
        <w:t>102.81</w:t>
      </w:r>
      <w:r>
        <w:rPr>
          <w:rFonts w:hint="eastAsia" w:ascii="仿宋" w:hAnsi="仿宋" w:eastAsia="仿宋" w:cs="仿宋"/>
          <w:color w:val="auto"/>
          <w:sz w:val="32"/>
          <w:szCs w:val="32"/>
        </w:rPr>
        <w:t>万元、生活补助</w:t>
      </w:r>
      <w:r>
        <w:rPr>
          <w:rFonts w:hint="eastAsia" w:ascii="仿宋" w:hAnsi="仿宋" w:eastAsia="仿宋" w:cs="仿宋"/>
          <w:color w:val="auto"/>
          <w:sz w:val="32"/>
          <w:szCs w:val="32"/>
          <w:lang w:val="en-US" w:eastAsia="zh-CN"/>
        </w:rPr>
        <w:t>36.39</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医疗费补助9万元</w:t>
      </w:r>
      <w:r>
        <w:rPr>
          <w:rFonts w:hint="eastAsia" w:ascii="仿宋" w:hAnsi="仿宋" w:eastAsia="仿宋" w:cs="仿宋"/>
          <w:color w:val="auto"/>
          <w:sz w:val="32"/>
          <w:szCs w:val="32"/>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公用经费</w:t>
      </w:r>
      <w:r>
        <w:rPr>
          <w:rFonts w:hint="eastAsia" w:ascii="仿宋" w:hAnsi="仿宋" w:eastAsia="仿宋" w:cs="仿宋"/>
          <w:color w:val="auto"/>
          <w:sz w:val="32"/>
          <w:szCs w:val="32"/>
          <w:lang w:val="en-US" w:eastAsia="zh-CN"/>
        </w:rPr>
        <w:t>148.69</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15.72</w:t>
      </w:r>
      <w:r>
        <w:rPr>
          <w:rFonts w:hint="eastAsia" w:ascii="仿宋" w:hAnsi="仿宋" w:eastAsia="仿宋" w:cs="仿宋"/>
          <w:color w:val="auto"/>
          <w:sz w:val="32"/>
          <w:szCs w:val="32"/>
        </w:rPr>
        <w:t>%，主要包括办公费</w:t>
      </w:r>
      <w:r>
        <w:rPr>
          <w:rFonts w:hint="eastAsia" w:ascii="仿宋" w:hAnsi="仿宋" w:eastAsia="仿宋" w:cs="仿宋"/>
          <w:color w:val="auto"/>
          <w:sz w:val="32"/>
          <w:szCs w:val="32"/>
          <w:lang w:val="en-US" w:eastAsia="zh-CN"/>
        </w:rPr>
        <w:t>16.50</w:t>
      </w:r>
      <w:r>
        <w:rPr>
          <w:rFonts w:hint="eastAsia" w:ascii="仿宋" w:hAnsi="仿宋" w:eastAsia="仿宋" w:cs="仿宋"/>
          <w:color w:val="auto"/>
          <w:sz w:val="32"/>
          <w:szCs w:val="32"/>
        </w:rPr>
        <w:t>万元、水费</w:t>
      </w:r>
      <w:r>
        <w:rPr>
          <w:rFonts w:hint="eastAsia" w:ascii="仿宋" w:hAnsi="仿宋" w:eastAsia="仿宋" w:cs="仿宋"/>
          <w:color w:val="auto"/>
          <w:sz w:val="32"/>
          <w:szCs w:val="32"/>
          <w:lang w:val="en-US" w:eastAsia="zh-CN"/>
        </w:rPr>
        <w:t>4.55</w:t>
      </w:r>
      <w:r>
        <w:rPr>
          <w:rFonts w:hint="eastAsia" w:ascii="仿宋" w:hAnsi="仿宋" w:eastAsia="仿宋" w:cs="仿宋"/>
          <w:color w:val="auto"/>
          <w:sz w:val="32"/>
          <w:szCs w:val="32"/>
        </w:rPr>
        <w:t>万元、电费</w:t>
      </w:r>
      <w:r>
        <w:rPr>
          <w:rFonts w:hint="eastAsia" w:ascii="仿宋" w:hAnsi="仿宋" w:eastAsia="仿宋" w:cs="仿宋"/>
          <w:color w:val="auto"/>
          <w:sz w:val="32"/>
          <w:szCs w:val="32"/>
          <w:lang w:val="en-US" w:eastAsia="zh-CN"/>
        </w:rPr>
        <w:t>11.50</w:t>
      </w:r>
      <w:r>
        <w:rPr>
          <w:rFonts w:hint="eastAsia" w:ascii="仿宋" w:hAnsi="仿宋" w:eastAsia="仿宋" w:cs="仿宋"/>
          <w:color w:val="auto"/>
          <w:sz w:val="32"/>
          <w:szCs w:val="32"/>
        </w:rPr>
        <w:t>万元、物业管理费</w:t>
      </w:r>
      <w:r>
        <w:rPr>
          <w:rFonts w:hint="eastAsia" w:ascii="仿宋" w:hAnsi="仿宋" w:eastAsia="仿宋" w:cs="仿宋"/>
          <w:color w:val="auto"/>
          <w:sz w:val="32"/>
          <w:szCs w:val="32"/>
          <w:lang w:val="en-US" w:eastAsia="zh-CN"/>
        </w:rPr>
        <w:t>15.29</w:t>
      </w:r>
      <w:r>
        <w:rPr>
          <w:rFonts w:hint="eastAsia" w:ascii="仿宋" w:hAnsi="仿宋" w:eastAsia="仿宋" w:cs="仿宋"/>
          <w:color w:val="auto"/>
          <w:sz w:val="32"/>
          <w:szCs w:val="32"/>
        </w:rPr>
        <w:t>万元、差旅费</w:t>
      </w:r>
      <w:r>
        <w:rPr>
          <w:rFonts w:hint="eastAsia" w:ascii="仿宋" w:hAnsi="仿宋" w:eastAsia="仿宋" w:cs="仿宋"/>
          <w:color w:val="auto"/>
          <w:sz w:val="32"/>
          <w:szCs w:val="32"/>
          <w:lang w:val="en-US" w:eastAsia="zh-CN"/>
        </w:rPr>
        <w:t>1.54</w:t>
      </w:r>
      <w:r>
        <w:rPr>
          <w:rFonts w:hint="eastAsia" w:ascii="仿宋" w:hAnsi="仿宋" w:eastAsia="仿宋" w:cs="仿宋"/>
          <w:color w:val="auto"/>
          <w:sz w:val="32"/>
          <w:szCs w:val="32"/>
        </w:rPr>
        <w:t>万元、维修（护）费</w:t>
      </w:r>
      <w:r>
        <w:rPr>
          <w:rFonts w:hint="eastAsia" w:ascii="仿宋" w:hAnsi="仿宋" w:eastAsia="仿宋" w:cs="仿宋"/>
          <w:color w:val="auto"/>
          <w:sz w:val="32"/>
          <w:szCs w:val="32"/>
          <w:lang w:val="en-US" w:eastAsia="zh-CN"/>
        </w:rPr>
        <w:t>18.06</w:t>
      </w:r>
      <w:r>
        <w:rPr>
          <w:rFonts w:hint="eastAsia" w:ascii="仿宋" w:hAnsi="仿宋" w:eastAsia="仿宋" w:cs="仿宋"/>
          <w:color w:val="auto"/>
          <w:sz w:val="32"/>
          <w:szCs w:val="32"/>
        </w:rPr>
        <w:t>万元、培训费</w:t>
      </w:r>
      <w:r>
        <w:rPr>
          <w:rFonts w:hint="eastAsia" w:ascii="仿宋" w:hAnsi="仿宋" w:eastAsia="仿宋" w:cs="仿宋"/>
          <w:color w:val="auto"/>
          <w:sz w:val="32"/>
          <w:szCs w:val="32"/>
          <w:lang w:val="en-US" w:eastAsia="zh-CN"/>
        </w:rPr>
        <w:t>3.65</w:t>
      </w:r>
      <w:r>
        <w:rPr>
          <w:rFonts w:hint="eastAsia" w:ascii="仿宋" w:hAnsi="仿宋" w:eastAsia="仿宋" w:cs="仿宋"/>
          <w:color w:val="auto"/>
          <w:sz w:val="32"/>
          <w:szCs w:val="32"/>
        </w:rPr>
        <w:t>万元、劳务费</w:t>
      </w:r>
      <w:r>
        <w:rPr>
          <w:rFonts w:hint="eastAsia" w:ascii="仿宋" w:hAnsi="仿宋" w:eastAsia="仿宋" w:cs="仿宋"/>
          <w:color w:val="auto"/>
          <w:sz w:val="32"/>
          <w:szCs w:val="32"/>
          <w:lang w:val="en-US" w:eastAsia="zh-CN"/>
        </w:rPr>
        <w:t>2.13</w:t>
      </w:r>
      <w:r>
        <w:rPr>
          <w:rFonts w:hint="eastAsia" w:ascii="仿宋" w:hAnsi="仿宋" w:eastAsia="仿宋" w:cs="仿宋"/>
          <w:color w:val="auto"/>
          <w:sz w:val="32"/>
          <w:szCs w:val="32"/>
        </w:rPr>
        <w:t>万元、工会经费1</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福利费11.72万元、其他交通费用5.58万元、</w:t>
      </w:r>
      <w:r>
        <w:rPr>
          <w:rFonts w:hint="eastAsia" w:ascii="仿宋" w:hAnsi="仿宋" w:eastAsia="仿宋" w:cs="仿宋"/>
          <w:color w:val="auto"/>
          <w:sz w:val="32"/>
          <w:szCs w:val="32"/>
        </w:rPr>
        <w:t>其他商品和服务支出</w:t>
      </w:r>
      <w:r>
        <w:rPr>
          <w:rFonts w:hint="eastAsia" w:ascii="仿宋" w:hAnsi="仿宋" w:eastAsia="仿宋" w:cs="仿宋"/>
          <w:color w:val="auto"/>
          <w:sz w:val="32"/>
          <w:szCs w:val="32"/>
          <w:lang w:val="en-US" w:eastAsia="zh-CN"/>
        </w:rPr>
        <w:t>41.02</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办公设备购置6.13万元</w:t>
      </w:r>
      <w:r>
        <w:rPr>
          <w:rFonts w:hint="eastAsia" w:ascii="仿宋" w:hAnsi="仿宋" w:eastAsia="仿宋" w:cs="仿宋"/>
          <w:color w:val="auto"/>
          <w:sz w:val="32"/>
          <w:szCs w:val="32"/>
        </w:rPr>
        <w:t>。</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七、一般公共预算财政拨款“三公”经费支出决算情况说明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（一）“三公”经费财政拨款支出决算总体情况说明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2021年度“三公”经费财政拨款支出预算为</w:t>
      </w:r>
      <w:r>
        <w:rPr>
          <w:rFonts w:hint="eastAsia" w:ascii="仿宋" w:hAnsi="仿宋" w:eastAsia="仿宋" w:cs="仿宋"/>
          <w:color w:val="auto"/>
          <w:sz w:val="32"/>
          <w:szCs w:val="32"/>
          <w:lang w:val="en-US" w:eastAsia="zh-CN"/>
        </w:rPr>
        <w:t>3.91</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0.11</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2.81</w:t>
      </w:r>
      <w:r>
        <w:rPr>
          <w:rFonts w:hint="eastAsia" w:ascii="仿宋" w:hAnsi="仿宋" w:eastAsia="仿宋" w:cs="仿宋"/>
          <w:color w:val="auto"/>
          <w:sz w:val="32"/>
          <w:szCs w:val="32"/>
        </w:rPr>
        <w:t>%，其中：</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因公出国（境）费支出预算为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万元，决算数与预算数相等，与上年相比持平。主要原因</w:t>
      </w:r>
      <w:r>
        <w:rPr>
          <w:rFonts w:hint="eastAsia" w:ascii="仿宋" w:hAnsi="仿宋" w:eastAsia="仿宋" w:cs="仿宋"/>
          <w:color w:val="auto"/>
          <w:sz w:val="32"/>
          <w:szCs w:val="32"/>
          <w:lang w:val="en-US" w:eastAsia="zh-CN"/>
        </w:rPr>
        <w:t>本年度未安排因公出国(境)</w:t>
      </w:r>
      <w:r>
        <w:rPr>
          <w:rFonts w:hint="eastAsia" w:ascii="仿宋" w:hAnsi="仿宋" w:eastAsia="仿宋" w:cs="仿宋"/>
          <w:color w:val="auto"/>
          <w:sz w:val="32"/>
          <w:szCs w:val="32"/>
          <w:lang w:eastAsia="zh-CN"/>
        </w:rPr>
        <w:t>。</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kern w:val="0"/>
          <w:sz w:val="32"/>
          <w:szCs w:val="32"/>
          <w:lang w:val="en-US" w:eastAsia="zh-CN" w:bidi="ar"/>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公务接待费支出预算为</w:t>
      </w:r>
      <w:r>
        <w:rPr>
          <w:rFonts w:hint="eastAsia" w:ascii="仿宋" w:hAnsi="仿宋" w:eastAsia="仿宋" w:cs="仿宋"/>
          <w:color w:val="auto"/>
          <w:sz w:val="32"/>
          <w:szCs w:val="32"/>
          <w:lang w:val="en-US" w:eastAsia="zh-CN"/>
        </w:rPr>
        <w:t>1.07</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0.11</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10.28</w:t>
      </w:r>
      <w:r>
        <w:rPr>
          <w:rFonts w:hint="eastAsia" w:ascii="仿宋" w:hAnsi="仿宋" w:eastAsia="仿宋" w:cs="仿宋"/>
          <w:color w:val="auto"/>
          <w:sz w:val="32"/>
          <w:szCs w:val="32"/>
        </w:rPr>
        <w:t>%，决算数小于预算数的主要原因是</w:t>
      </w:r>
      <w:r>
        <w:rPr>
          <w:rFonts w:hint="eastAsia" w:ascii="仿宋" w:hAnsi="仿宋" w:eastAsia="仿宋" w:cs="仿宋"/>
          <w:color w:val="auto"/>
          <w:kern w:val="0"/>
          <w:sz w:val="32"/>
          <w:szCs w:val="32"/>
          <w:lang w:val="en-US" w:eastAsia="zh-CN" w:bidi="ar"/>
        </w:rPr>
        <w:t>我单位严格遵照中央“八项规定”以及省、市有关规定，加强“三公”经费管理，压缩了公务接待费支出，与上年相比减少0.15万元，减少57.69%,减少的主要原因是因为学校加强“三公”经费管理，压缩了公务接待费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公务用车购置费及运行维护费支出预算为</w:t>
      </w:r>
      <w:r>
        <w:rPr>
          <w:rFonts w:hint="eastAsia" w:ascii="仿宋" w:hAnsi="仿宋" w:eastAsia="仿宋" w:cs="仿宋"/>
          <w:color w:val="auto"/>
          <w:sz w:val="32"/>
          <w:szCs w:val="32"/>
          <w:lang w:val="en-US" w:eastAsia="zh-CN"/>
        </w:rPr>
        <w:t>2.84</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%，决算数小于预算数的主要原因是</w:t>
      </w:r>
      <w:r>
        <w:rPr>
          <w:rFonts w:hint="eastAsia" w:ascii="仿宋" w:hAnsi="仿宋" w:eastAsia="仿宋" w:cs="仿宋"/>
          <w:color w:val="auto"/>
          <w:sz w:val="32"/>
          <w:szCs w:val="32"/>
          <w:lang w:val="en-US" w:eastAsia="zh-CN"/>
        </w:rPr>
        <w:t>单位公车本年已由市公车办处置，没有产生公车</w:t>
      </w:r>
      <w:r>
        <w:rPr>
          <w:rFonts w:hint="eastAsia" w:ascii="仿宋" w:hAnsi="仿宋" w:eastAsia="仿宋" w:cs="仿宋"/>
          <w:color w:val="auto"/>
          <w:sz w:val="32"/>
          <w:szCs w:val="32"/>
        </w:rPr>
        <w:t>购置费及运行维护费，与上年</w:t>
      </w:r>
      <w:r>
        <w:rPr>
          <w:rFonts w:hint="eastAsia" w:ascii="仿宋" w:hAnsi="仿宋" w:eastAsia="仿宋" w:cs="仿宋"/>
          <w:color w:val="auto"/>
          <w:sz w:val="32"/>
          <w:szCs w:val="32"/>
          <w:lang w:val="en-US" w:eastAsia="zh-CN"/>
        </w:rPr>
        <w:t>持平</w:t>
      </w:r>
      <w:r>
        <w:rPr>
          <w:rFonts w:hint="eastAsia" w:ascii="仿宋" w:hAnsi="仿宋" w:eastAsia="仿宋" w:cs="仿宋"/>
          <w:i w:val="0"/>
          <w:iCs w:val="0"/>
          <w:caps w:val="0"/>
          <w:color w:val="auto"/>
          <w:spacing w:val="0"/>
          <w:sz w:val="32"/>
          <w:szCs w:val="32"/>
          <w:shd w:val="clear" w:fill="FFFFFF"/>
        </w:rPr>
        <w:t>。</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（二）“三公”经费财政拨款支出决算具体情况说明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2021年度“三公”经费财政拨款支出决算中，公务接待费支出决算</w:t>
      </w:r>
      <w:r>
        <w:rPr>
          <w:rFonts w:hint="eastAsia" w:ascii="仿宋" w:hAnsi="仿宋" w:eastAsia="仿宋" w:cs="仿宋"/>
          <w:color w:val="auto"/>
          <w:sz w:val="32"/>
          <w:szCs w:val="32"/>
          <w:lang w:val="en-US" w:eastAsia="zh-CN"/>
        </w:rPr>
        <w:t>0.11</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%,因公出国（境）费支出决算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%,公务用车购置费及运行维护费支出决算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%。其中：</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1、因公出国（境）费支出决算为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万元，全年安排因公出国（境）团组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个，累计</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2、公务接待费支出决算为</w:t>
      </w:r>
      <w:r>
        <w:rPr>
          <w:rFonts w:hint="eastAsia" w:ascii="仿宋" w:hAnsi="仿宋" w:eastAsia="仿宋" w:cs="仿宋"/>
          <w:color w:val="auto"/>
          <w:sz w:val="32"/>
          <w:szCs w:val="32"/>
          <w:lang w:val="en-US" w:eastAsia="zh-CN"/>
        </w:rPr>
        <w:t>0.11</w:t>
      </w:r>
      <w:r>
        <w:rPr>
          <w:rFonts w:hint="eastAsia" w:ascii="仿宋" w:hAnsi="仿宋" w:eastAsia="仿宋" w:cs="仿宋"/>
          <w:color w:val="auto"/>
          <w:sz w:val="32"/>
          <w:szCs w:val="32"/>
        </w:rPr>
        <w:t>万元，全年共接待来访团组</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个</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接待21</w:t>
      </w:r>
      <w:r>
        <w:rPr>
          <w:rFonts w:hint="eastAsia" w:ascii="仿宋" w:hAnsi="仿宋" w:eastAsia="仿宋" w:cs="仿宋"/>
          <w:color w:val="auto"/>
          <w:sz w:val="32"/>
          <w:szCs w:val="32"/>
        </w:rPr>
        <w:t>人次，主要是</w:t>
      </w:r>
      <w:r>
        <w:rPr>
          <w:rFonts w:hint="eastAsia" w:ascii="仿宋" w:hAnsi="仿宋" w:eastAsia="仿宋" w:cs="仿宋"/>
          <w:color w:val="auto"/>
          <w:sz w:val="32"/>
          <w:szCs w:val="32"/>
          <w:lang w:val="en-US" w:eastAsia="zh-CN"/>
        </w:rPr>
        <w:t>招待2021年6月湖南师大教育专家及怀化各县市特校芙蓉名师成员来校参与杨仕沅名师工作室授牌仪式时招待费支出</w:t>
      </w:r>
      <w:r>
        <w:rPr>
          <w:rFonts w:hint="eastAsia" w:ascii="仿宋" w:hAnsi="仿宋" w:eastAsia="仿宋" w:cs="仿宋"/>
          <w:color w:val="auto"/>
          <w:sz w:val="32"/>
          <w:szCs w:val="32"/>
        </w:rPr>
        <w:t>。</w:t>
      </w:r>
    </w:p>
    <w:p>
      <w:pPr>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i/>
          <w:color w:val="auto"/>
          <w:kern w:val="0"/>
          <w:sz w:val="32"/>
          <w:szCs w:val="32"/>
        </w:rPr>
      </w:pPr>
      <w:r>
        <w:rPr>
          <w:rFonts w:hint="eastAsia" w:ascii="仿宋" w:hAnsi="仿宋" w:eastAsia="仿宋" w:cs="仿宋"/>
          <w:color w:val="auto"/>
          <w:sz w:val="32"/>
          <w:szCs w:val="32"/>
        </w:rPr>
        <w:t>3、公务用车购置费及运行维护费支出决算为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万元，其中：公务用车购置费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万元，更新公务用车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辆。公务用车运行维护费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万元，截止202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年12月31日，我单位开支财政拨款的公务用车保有量为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i/>
          <w:color w:val="auto"/>
          <w:sz w:val="32"/>
          <w:szCs w:val="32"/>
        </w:rPr>
      </w:pPr>
      <w:r>
        <w:rPr>
          <w:rFonts w:hint="eastAsia" w:ascii="仿宋" w:hAnsi="仿宋" w:eastAsia="仿宋" w:cs="仿宋"/>
          <w:color w:val="auto"/>
          <w:sz w:val="32"/>
          <w:szCs w:val="32"/>
        </w:rPr>
        <w:t>2021年度政府性基金预算财政拨款收入</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万元；年初结转和结余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万元，项目支出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万元；年末结转和结余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万元。具体情况如下：</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其他支出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彩票公益金安排的支出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用于残疾人事业的彩票公益金支出</w:t>
      </w:r>
      <w:r>
        <w:rPr>
          <w:rFonts w:hint="eastAsia" w:ascii="仿宋" w:hAnsi="仿宋" w:eastAsia="仿宋" w:cs="仿宋"/>
          <w:color w:val="auto"/>
          <w:sz w:val="32"/>
          <w:szCs w:val="32"/>
        </w:rPr>
        <w:t>（项）。</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%，决算数大于年初预算数的主要原因是：</w:t>
      </w:r>
      <w:r>
        <w:rPr>
          <w:rFonts w:hint="eastAsia" w:ascii="仿宋" w:hAnsi="仿宋" w:eastAsia="仿宋" w:cs="仿宋"/>
          <w:color w:val="auto"/>
          <w:sz w:val="32"/>
          <w:szCs w:val="32"/>
          <w:lang w:val="en-US" w:eastAsia="zh-CN"/>
        </w:rPr>
        <w:t>财政年中为学校德育“五个一”建设追加资金7万元。学校年初未做预算。</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九、国有资本经营预算财政拨款支出决算情况说明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lang w:val="en-US" w:eastAsia="zh-CN"/>
        </w:rPr>
      </w:pPr>
      <w:r>
        <w:rPr>
          <w:rFonts w:hint="eastAsia" w:ascii="仿宋" w:hAnsi="仿宋" w:eastAsia="仿宋" w:cs="仿宋"/>
          <w:bCs/>
          <w:color w:val="auto"/>
          <w:sz w:val="32"/>
          <w:szCs w:val="32"/>
        </w:rPr>
        <w:t>2021年度本单位无国有资本经营预算财政拨款支出。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shd w:val="clear" w:fill="FFFFFF"/>
        </w:rPr>
        <w:t>十、机关运行经费支出说明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本部门2021年度机关运行经费支出0万元，因为本部门不属于行政单位和参照公务员法管理的事业单位。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shd w:val="clear" w:fill="FFFFFF"/>
        </w:rPr>
        <w:t>十一、一般性支出情况说明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2021年本部门开支会议费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万元；开支培训费</w:t>
      </w:r>
      <w:r>
        <w:rPr>
          <w:rFonts w:hint="eastAsia" w:ascii="仿宋" w:hAnsi="仿宋" w:eastAsia="仿宋" w:cs="仿宋"/>
          <w:color w:val="auto"/>
          <w:sz w:val="32"/>
          <w:szCs w:val="32"/>
          <w:lang w:val="en-US" w:eastAsia="zh-CN"/>
        </w:rPr>
        <w:t>3.65</w:t>
      </w:r>
      <w:r>
        <w:rPr>
          <w:rFonts w:hint="eastAsia" w:ascii="仿宋" w:hAnsi="仿宋" w:eastAsia="仿宋" w:cs="仿宋"/>
          <w:color w:val="auto"/>
          <w:sz w:val="32"/>
          <w:szCs w:val="32"/>
        </w:rPr>
        <w:t>万元，用于开展</w:t>
      </w:r>
      <w:r>
        <w:rPr>
          <w:rFonts w:hint="eastAsia" w:ascii="仿宋" w:hAnsi="仿宋" w:eastAsia="仿宋" w:cs="仿宋"/>
          <w:color w:val="auto"/>
          <w:sz w:val="32"/>
          <w:szCs w:val="32"/>
          <w:lang w:val="en-US" w:eastAsia="zh-CN"/>
        </w:rPr>
        <w:t>学校通讯员培训22人次、杨仕沅、杨雯惠、刘小凤去长沙能力提升培训3人次，冯瑶玲、孙梦蝶去上海参加班主任培训2人次，舒振富、邱芝荃、徐凌等去延安参加干部提升培训3人次，李婷、罗珊、董小禹等骨干教师培训3人次，王宏军、罗明琼去辰溪参加干部提升培训2人次，蒋少波、邓玮玮去北京参加信息技术培训、杨仕沅、易艳、杨彩云等去长沙培训3人次等等；</w:t>
      </w:r>
      <w:r>
        <w:rPr>
          <w:rFonts w:hint="eastAsia" w:ascii="仿宋" w:hAnsi="仿宋" w:eastAsia="仿宋" w:cs="仿宋"/>
          <w:color w:val="auto"/>
          <w:sz w:val="32"/>
          <w:szCs w:val="32"/>
        </w:rPr>
        <w:t>举办节庆、晚会、论坛、赛事活动，开支</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shd w:val="clear" w:fill="FFFFFF"/>
        </w:rPr>
        <w:t>十二、政府采购支出说明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本部门2021年度政府采购支出总额1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227</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万元，其中：政府采购货物支出</w:t>
      </w:r>
      <w:r>
        <w:rPr>
          <w:rFonts w:hint="eastAsia" w:ascii="仿宋" w:hAnsi="仿宋" w:eastAsia="仿宋" w:cs="仿宋"/>
          <w:color w:val="auto"/>
          <w:sz w:val="32"/>
          <w:szCs w:val="32"/>
          <w:lang w:val="en-US" w:eastAsia="zh-CN"/>
        </w:rPr>
        <w:t>150.52</w:t>
      </w:r>
      <w:r>
        <w:rPr>
          <w:rFonts w:hint="eastAsia" w:ascii="仿宋" w:hAnsi="仿宋" w:eastAsia="仿宋" w:cs="仿宋"/>
          <w:color w:val="auto"/>
          <w:sz w:val="32"/>
          <w:szCs w:val="32"/>
        </w:rPr>
        <w:t>万元、政府采购工程支出</w:t>
      </w:r>
      <w:r>
        <w:rPr>
          <w:rFonts w:hint="eastAsia" w:ascii="仿宋" w:hAnsi="仿宋" w:eastAsia="仿宋" w:cs="仿宋"/>
          <w:color w:val="auto"/>
          <w:sz w:val="32"/>
          <w:szCs w:val="32"/>
          <w:lang w:val="en-US" w:eastAsia="zh-CN"/>
        </w:rPr>
        <w:t>1,076.85</w:t>
      </w:r>
      <w:r>
        <w:rPr>
          <w:rFonts w:hint="eastAsia" w:ascii="仿宋" w:hAnsi="仿宋" w:eastAsia="仿宋" w:cs="仿宋"/>
          <w:color w:val="auto"/>
          <w:sz w:val="32"/>
          <w:szCs w:val="32"/>
        </w:rPr>
        <w:t>万元、政府采购服务支出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万元。授予中小企业合同金额</w:t>
      </w:r>
      <w:r>
        <w:rPr>
          <w:rFonts w:hint="eastAsia" w:ascii="仿宋" w:hAnsi="仿宋" w:eastAsia="仿宋" w:cs="仿宋"/>
          <w:color w:val="auto"/>
          <w:sz w:val="32"/>
          <w:szCs w:val="32"/>
          <w:lang w:val="en-US" w:eastAsia="zh-CN"/>
        </w:rPr>
        <w:t>150.52</w:t>
      </w:r>
      <w:r>
        <w:rPr>
          <w:rFonts w:hint="eastAsia" w:ascii="仿宋" w:hAnsi="仿宋" w:eastAsia="仿宋" w:cs="仿宋"/>
          <w:color w:val="auto"/>
          <w:sz w:val="32"/>
          <w:szCs w:val="32"/>
        </w:rPr>
        <w:t>万元，占政府采购支出总额的</w:t>
      </w:r>
      <w:r>
        <w:rPr>
          <w:rFonts w:hint="eastAsia" w:ascii="仿宋" w:hAnsi="仿宋" w:eastAsia="仿宋" w:cs="仿宋"/>
          <w:color w:val="auto"/>
          <w:sz w:val="32"/>
          <w:szCs w:val="32"/>
          <w:lang w:val="en-US" w:eastAsia="zh-CN"/>
        </w:rPr>
        <w:t>12.26</w:t>
      </w:r>
      <w:r>
        <w:rPr>
          <w:rFonts w:hint="eastAsia" w:ascii="仿宋" w:hAnsi="仿宋" w:eastAsia="仿宋" w:cs="仿宋"/>
          <w:color w:val="auto"/>
          <w:sz w:val="32"/>
          <w:szCs w:val="32"/>
        </w:rPr>
        <w:t>%，其中：授予小微企业合同金额</w:t>
      </w:r>
      <w:r>
        <w:rPr>
          <w:rFonts w:hint="eastAsia" w:ascii="仿宋" w:hAnsi="仿宋" w:eastAsia="仿宋" w:cs="仿宋"/>
          <w:color w:val="auto"/>
          <w:sz w:val="32"/>
          <w:szCs w:val="32"/>
          <w:lang w:val="en-US" w:eastAsia="zh-CN"/>
        </w:rPr>
        <w:t>150.52</w:t>
      </w:r>
      <w:r>
        <w:rPr>
          <w:rFonts w:hint="eastAsia" w:ascii="仿宋" w:hAnsi="仿宋" w:eastAsia="仿宋" w:cs="仿宋"/>
          <w:color w:val="auto"/>
          <w:sz w:val="32"/>
          <w:szCs w:val="32"/>
        </w:rPr>
        <w:t>万元，占授予中小企业合同金额的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%；货物采购授予中小企业合同金额占货物支出金额的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%，工程采购授予中小企业合同金额占工程支出金额的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%，服务采购授予中小企业合同金额占服务支出金额的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shd w:val="clear" w:fill="FFFFFF"/>
        </w:rPr>
        <w:t>十三、国有资产占用情况说明</w:t>
      </w:r>
    </w:p>
    <w:p>
      <w:pPr>
        <w:pStyle w:val="12"/>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截至202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年12月31日，本单位共有车辆</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辆，其中，主要领导干部用车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辆，机要通信用车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辆、应急保障用车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辆、执法执勤用车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辆、特种专业技术用车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辆、其他用车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辆；单位价值50万元以上通用设备</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台（套）；单位价值100万元以上专用设备</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shd w:val="clear" w:fill="FFFFFF"/>
        </w:rPr>
        <w:t>十四、2021年度预算绩效情况说明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b/>
          <w:color w:val="auto"/>
          <w:kern w:val="0"/>
          <w:sz w:val="32"/>
          <w:szCs w:val="32"/>
        </w:rPr>
        <w:t>（1）绩效管理评价工作开展情况</w:t>
      </w:r>
      <w:r>
        <w:rPr>
          <w:rFonts w:hint="eastAsia" w:ascii="仿宋" w:hAnsi="仿宋" w:eastAsia="仿宋" w:cs="仿宋"/>
          <w:color w:val="auto"/>
          <w:kern w:val="0"/>
          <w:sz w:val="32"/>
          <w:szCs w:val="32"/>
        </w:rPr>
        <w:t>。</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根据预算绩效管理要求，我部门组织对2021年度一般公共预算项目支出全面开展绩效自评，其中，一级项目</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个，二级项目</w:t>
      </w:r>
      <w:r>
        <w:rPr>
          <w:rFonts w:hint="eastAsia" w:ascii="仿宋" w:hAnsi="仿宋" w:eastAsia="仿宋" w:cs="仿宋"/>
          <w:color w:val="auto"/>
          <w:kern w:val="0"/>
          <w:sz w:val="32"/>
          <w:szCs w:val="32"/>
          <w:lang w:val="en-US" w:eastAsia="zh-CN"/>
        </w:rPr>
        <w:t>8</w:t>
      </w:r>
      <w:r>
        <w:rPr>
          <w:rFonts w:hint="eastAsia" w:ascii="仿宋" w:hAnsi="仿宋" w:eastAsia="仿宋" w:cs="仿宋"/>
          <w:color w:val="auto"/>
          <w:kern w:val="0"/>
          <w:sz w:val="32"/>
          <w:szCs w:val="32"/>
        </w:rPr>
        <w:t>个，共涉及资金</w:t>
      </w:r>
      <w:r>
        <w:rPr>
          <w:rFonts w:hint="eastAsia" w:ascii="仿宋" w:hAnsi="仿宋" w:eastAsia="仿宋" w:cs="仿宋"/>
          <w:color w:val="auto"/>
          <w:kern w:val="0"/>
          <w:sz w:val="32"/>
          <w:szCs w:val="32"/>
          <w:lang w:val="en-US" w:eastAsia="zh-CN"/>
        </w:rPr>
        <w:t>1,371.94</w:t>
      </w:r>
      <w:r>
        <w:rPr>
          <w:rFonts w:hint="eastAsia" w:ascii="仿宋" w:hAnsi="仿宋" w:eastAsia="仿宋" w:cs="仿宋"/>
          <w:color w:val="auto"/>
          <w:kern w:val="0"/>
          <w:sz w:val="32"/>
          <w:szCs w:val="32"/>
        </w:rPr>
        <w:t>万元，占一般公共预算项目支出总额的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%。组织对2021年度</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个政府性基金预算项目支出开展绩效自评，共涉及资金</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万元，占政府性基金预算项目支出总额的</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%。组织对2021年度</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个国有资本经营预算项目支出开展绩效自评，共涉及资金</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万元，占国有资本经营预算项目支出总额的</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rPr>
        <w:t>组织对“</w:t>
      </w:r>
      <w:r>
        <w:rPr>
          <w:rFonts w:hint="eastAsia" w:ascii="仿宋" w:hAnsi="仿宋" w:eastAsia="仿宋" w:cs="仿宋"/>
          <w:color w:val="auto"/>
          <w:kern w:val="0"/>
          <w:sz w:val="32"/>
          <w:szCs w:val="32"/>
          <w:lang w:val="en-US" w:eastAsia="zh-CN"/>
        </w:rPr>
        <w:t>2018年校舍维修</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教师周转房及学生公寓建设</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2021年校舍维修</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芙蓉名师经费</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资源教室建设</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特校学生生活费补助</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送教上门教师进修培训</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学校一期改扩建工程</w:t>
      </w:r>
      <w:r>
        <w:rPr>
          <w:rFonts w:hint="eastAsia" w:ascii="仿宋" w:hAnsi="仿宋" w:eastAsia="仿宋" w:cs="仿宋"/>
          <w:color w:val="auto"/>
          <w:kern w:val="0"/>
          <w:sz w:val="32"/>
          <w:szCs w:val="32"/>
        </w:rPr>
        <w:t>”等</w:t>
      </w:r>
      <w:r>
        <w:rPr>
          <w:rFonts w:hint="eastAsia" w:ascii="仿宋" w:hAnsi="仿宋" w:eastAsia="仿宋" w:cs="仿宋"/>
          <w:color w:val="auto"/>
          <w:kern w:val="0"/>
          <w:sz w:val="32"/>
          <w:szCs w:val="32"/>
          <w:lang w:val="en-US" w:eastAsia="zh-CN"/>
        </w:rPr>
        <w:t>8</w:t>
      </w:r>
      <w:r>
        <w:rPr>
          <w:rFonts w:hint="eastAsia" w:ascii="仿宋" w:hAnsi="仿宋" w:eastAsia="仿宋" w:cs="仿宋"/>
          <w:color w:val="auto"/>
          <w:kern w:val="0"/>
          <w:sz w:val="32"/>
          <w:szCs w:val="32"/>
        </w:rPr>
        <w:t>个项目开展了部门评价，涉及一般公共预算支出</w:t>
      </w:r>
      <w:r>
        <w:rPr>
          <w:rFonts w:hint="eastAsia" w:ascii="仿宋" w:hAnsi="仿宋" w:eastAsia="仿宋" w:cs="仿宋"/>
          <w:color w:val="auto"/>
          <w:kern w:val="0"/>
          <w:sz w:val="32"/>
          <w:szCs w:val="32"/>
          <w:lang w:val="en-US" w:eastAsia="zh-CN"/>
        </w:rPr>
        <w:t>1371.94</w:t>
      </w:r>
      <w:r>
        <w:rPr>
          <w:rFonts w:hint="eastAsia" w:ascii="仿宋" w:hAnsi="仿宋" w:eastAsia="仿宋" w:cs="仿宋"/>
          <w:color w:val="auto"/>
          <w:kern w:val="0"/>
          <w:sz w:val="32"/>
          <w:szCs w:val="32"/>
        </w:rPr>
        <w:t>万元，政府性基金预算支出</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万元，国有资本经营预算支出</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val="en-US" w:eastAsia="zh-CN"/>
        </w:rPr>
        <w:t>从评价情况来看，2021年我校专项资金支出1371.94万元。其中学校改扩建（一期）工程（原名教师周转房及学生公寓）1249.38万元，校舍维修支出36.16万元，芙蓉名师经费3.56万元，特校学生生活费补助78.46万元，送教上门教师进修培训费3.05万元，资源教室建设1.32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我校严格执行《怀化市本级财政专项资金管理办法》、《怀化市本级政府投资项目工程预结（决）算管理办法》、《怀化市2020年政府集中采购目录及政府采购限额标准》等相关制度，实行项目责任制管理。学校主要领导负责项目的日常检查和监督工作，认真履行职责，做好项目的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学校改扩建（一期）工程项目主要是建设学生公寓及教师周转房，改善学校基础设施条件，有效解决师生住宿问题。本年度完成改扩建（一期）工程的主体建设及配套设施设备的采购安装，2021年9月已交互使用。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校舍维修项目包括教学楼墙面粉刷和厕所改造，主要是消除安全隐患，保障师生安全。本年度完成墙面粉刷和厕所改造工程施工和竣工验收。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芙蓉名师经费项目主要是2021年第四批教育综合发展专项（省级教师培训），主要用于杨仕沅名师工作室成员的培训学习及教研教改支出，通过学习培训，提升教师的教育教学能力及水平，培养一批优秀的教学名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特校学生生活费补助项目主要是解决学生生活问题，所有学生在校期间食宿全免，减轻了学生家庭的经济负担，提高了学生的幸福感。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资源教室建设主要是完成了2020年此项目的质保金支付。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送教上门教师进修培训项目主要是提升全市特校教师的送教上门水平，提升教师与残疾家庭人员的沟通技能，解决重度并多重残疾孩子的受教育问题，让他们也感受到社会对他们的关爱。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本年度各项目按计划进行，截至2021年底，学校改扩建（一期）工程项目按时完工，配套设施设备也如期完成安装和采购并已交互使用，但工程尚在结算中；校舍维修项目按时完成了工程施工和竣工验收；芙蓉名师经费及送教上门教师进修培训项目均已按计划完成对教师的培训，培训率达100%；特校学生生活费补助已完成支付，学生全年生活费全免；资源教室建设项目完成了对质保金的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rPr>
        <w:t>组织对“</w:t>
      </w:r>
      <w:r>
        <w:rPr>
          <w:rFonts w:hint="eastAsia" w:ascii="仿宋" w:hAnsi="仿宋" w:eastAsia="仿宋" w:cs="仿宋"/>
          <w:color w:val="auto"/>
          <w:kern w:val="0"/>
          <w:sz w:val="32"/>
          <w:szCs w:val="32"/>
          <w:lang w:val="en-US" w:eastAsia="zh-CN"/>
        </w:rPr>
        <w:t>怀化市中心特殊教育学校</w:t>
      </w:r>
      <w:r>
        <w:rPr>
          <w:rFonts w:hint="eastAsia" w:ascii="仿宋" w:hAnsi="仿宋" w:eastAsia="仿宋" w:cs="仿宋"/>
          <w:color w:val="auto"/>
          <w:kern w:val="0"/>
          <w:sz w:val="32"/>
          <w:szCs w:val="32"/>
        </w:rPr>
        <w:t>”等</w:t>
      </w: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rPr>
        <w:t>个单位开展整体支出绩效评价，涉及一般公共预算支出</w:t>
      </w:r>
      <w:r>
        <w:rPr>
          <w:rFonts w:hint="eastAsia" w:ascii="仿宋" w:hAnsi="仿宋" w:eastAsia="仿宋" w:cs="仿宋"/>
          <w:color w:val="auto"/>
          <w:kern w:val="0"/>
          <w:sz w:val="32"/>
          <w:szCs w:val="32"/>
          <w:lang w:val="en-US" w:eastAsia="zh-CN"/>
        </w:rPr>
        <w:t>2324.64</w:t>
      </w:r>
      <w:r>
        <w:rPr>
          <w:rFonts w:hint="eastAsia" w:ascii="仿宋" w:hAnsi="仿宋" w:eastAsia="仿宋" w:cs="仿宋"/>
          <w:color w:val="auto"/>
          <w:kern w:val="0"/>
          <w:sz w:val="32"/>
          <w:szCs w:val="32"/>
        </w:rPr>
        <w:t>万元，政府性基金预算支出</w:t>
      </w:r>
      <w:r>
        <w:rPr>
          <w:rFonts w:hint="eastAsia" w:ascii="仿宋" w:hAnsi="仿宋" w:eastAsia="仿宋" w:cs="仿宋"/>
          <w:color w:val="auto"/>
          <w:kern w:val="0"/>
          <w:sz w:val="32"/>
          <w:szCs w:val="32"/>
          <w:lang w:val="en-US" w:eastAsia="zh-CN"/>
        </w:rPr>
        <w:t>7</w:t>
      </w:r>
      <w:r>
        <w:rPr>
          <w:rFonts w:hint="eastAsia" w:ascii="仿宋" w:hAnsi="仿宋" w:eastAsia="仿宋" w:cs="仿宋"/>
          <w:color w:val="auto"/>
          <w:kern w:val="0"/>
          <w:sz w:val="32"/>
          <w:szCs w:val="32"/>
        </w:rPr>
        <w:t>万元。从评价情况来看，</w:t>
      </w:r>
      <w:r>
        <w:rPr>
          <w:rFonts w:hint="eastAsia" w:ascii="仿宋" w:hAnsi="仿宋" w:eastAsia="仿宋" w:cs="仿宋"/>
          <w:color w:val="auto"/>
          <w:kern w:val="0"/>
          <w:sz w:val="32"/>
          <w:szCs w:val="32"/>
          <w:lang w:val="en-US" w:eastAsia="zh-CN"/>
        </w:rPr>
        <w:t>2021年度怀化市中心特殊教育学校整体收入2334.63万元，其中包括本年收入1073.55万【财政拨款收入1056.55万元（项目收入118.86万元，基本支出937.69万元），政府性基金收入7万元，其他收入10万元。】，年初结余结转1261.08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本年整体支出2334.63万元（其中：基本支出952.69万元，项目支出1381.94万元。）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本部门整体支出管理及使用情况为：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1.基本支出是指行政事业单位为保障其机构正常运转、完成日常工作任务而编制的年度基本支出计划，内容包括人员经费和日常公用经费两部分。本年度我校基本支出952.69万元，其中人员经费797万元，日常公用经费155.69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2021年我校“三公经费”总支出：0.12万元，比上年0.26万元减少0.14万元，因我校厉行节约，严格控制“三公经费”，公车已在上年度处置，本年度完成各项手续及资产账务处置。招待费用共计3批次21人的公务招待费0.12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2.专项支出是指行政事业单位为完成特定的工作任务或事业发展目标，在基本的预算支出以外，财政预算专款安排的支出。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专项资金（包括财政资金、自筹资金等）安排落实、总投入等情况分析。本年度我校专项收入总计128.86万元，其中财政资金118.86万元，其他收入10万元，上年结转1,253.08万元。专项支出1,381.94万元，与收入项目一致。单位本年度无重点支出项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主要包括如下8个项目：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1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kern w:val="0"/>
          <w:sz w:val="32"/>
          <w:szCs w:val="32"/>
          <w:lang w:val="en-US" w:eastAsia="zh-CN"/>
        </w:rPr>
        <w:t>①</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2018年校舍维修结转资金2.38万元；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2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kern w:val="0"/>
          <w:sz w:val="32"/>
          <w:szCs w:val="32"/>
          <w:lang w:val="en-US" w:eastAsia="zh-CN"/>
        </w:rPr>
        <w:t>②</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风险防范经费康复楼维修款10万元；</w:t>
      </w:r>
      <w:bookmarkStart w:id="0" w:name="_GoBack"/>
      <w:bookmarkEnd w:id="0"/>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3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kern w:val="0"/>
          <w:sz w:val="32"/>
          <w:szCs w:val="32"/>
          <w:lang w:val="en-US" w:eastAsia="zh-CN"/>
        </w:rPr>
        <w:t>③</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2021年校舍维修33.78万元；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4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kern w:val="0"/>
          <w:sz w:val="32"/>
          <w:szCs w:val="32"/>
          <w:lang w:val="en-US" w:eastAsia="zh-CN"/>
        </w:rPr>
        <w:t>④</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芙蓉名师经费经费3.56万元；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⑤学生生活费补助78.46万元；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⑥送教上门教师进修培训费3.05万元；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⑦特校改扩建工程（一期）即上年的教师周转房及学生公寓建设工程结转金额1249.38万元；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⑧资源教室建设结转资金1.32万元。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我校对专项资金在单位内控手册上专门制定了管理办法，并严格按照此办法执行。我校2020年结转的4个基建项目中：中心特校一期改扩建工程（即原教师周转房和学生公寓项目）、校舍维修（2018年、2021年维修资金）本年已经竣工，并已交付使用，工程款已支付60%。资源教室建设已结清全部款项，另外4个非基建项目（风险防范专项经费用于康复楼心里咨询室维修改造、芙蓉名师专项经费、送教上门教师进修培训费、学生生活费补助）均已按年度计划完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学校没有设基建专干，项目建设由分管财务、后勤的副校长罗明琼按校务会议的决定负责实施，建设中的各项事宜暂由罗明琼副校长负责。2021年由蒋少波校长全权参与监督与管理。总之，学校的专项有专人负责，有专项制度与管理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本年度，学校处置过期毁损资产115.45万元，其中通用设备77.26万元，专用设备17.44万元，课桌椅等家具20.75万元。学校新增了1238.36万元的资产，包括房屋、土地及建筑物1076.845万元，通用设备48.26万元，专用设备18.66万元，家具用具94.12万元，图书0.47万元。均严格按资产配置程序办理。主要用于学校一期改扩建工程的工程款及配套家具设施，所有资产与2021年9月交互使用，进一步完善了师生的住宿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2021年，我校以党的十九大精神为指导，积极推进了学校各项工作的开展，千方百计稳定了生源，促进了特教事业稳定发展，没有发生任何安全事件，保持着特校发展的良好势头。</w:t>
      </w:r>
    </w:p>
    <w:p>
      <w:pPr>
        <w:pStyle w:val="12"/>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2"/>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2"/>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2"/>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2"/>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2"/>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2"/>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Style w:val="9"/>
          <w:rFonts w:hint="eastAsia" w:ascii="黑体" w:hAnsi="黑体" w:eastAsia="黑体" w:cs="黑体"/>
          <w:i w:val="0"/>
          <w:iCs w:val="0"/>
          <w:caps w:val="0"/>
          <w:color w:val="auto"/>
          <w:spacing w:val="0"/>
          <w:sz w:val="44"/>
          <w:szCs w:val="44"/>
          <w:shd w:val="clear" w:color="auto" w:fill="FFFFFF"/>
        </w:rPr>
        <w:t>第四部分名词解释</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left"/>
        <w:textAlignment w:val="auto"/>
        <w:rPr>
          <w:rFonts w:hint="eastAsia" w:ascii="仿宋" w:hAnsi="仿宋" w:eastAsia="仿宋" w:cs="仿宋"/>
          <w:color w:val="auto"/>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center"/>
        <w:textAlignment w:val="auto"/>
        <w:rPr>
          <w:rFonts w:hint="eastAsia" w:ascii="黑体" w:hAnsi="黑体" w:eastAsia="黑体" w:cs="黑体"/>
          <w:color w:val="auto"/>
          <w:sz w:val="44"/>
          <w:szCs w:val="44"/>
        </w:rPr>
      </w:pPr>
      <w:r>
        <w:rPr>
          <w:rFonts w:hint="eastAsia" w:ascii="黑体" w:hAnsi="黑体" w:eastAsia="黑体" w:cs="黑体"/>
          <w:b/>
          <w:bCs/>
          <w:color w:val="auto"/>
          <w:sz w:val="44"/>
          <w:szCs w:val="44"/>
        </w:rPr>
        <w:t>第五部分  附件</w:t>
      </w:r>
    </w:p>
    <w:p>
      <w:pPr>
        <w:keepNext w:val="0"/>
        <w:keepLines w:val="0"/>
        <w:pageBreakBefore w:val="0"/>
        <w:widowControl/>
        <w:kinsoku/>
        <w:overflowPunct/>
        <w:topLinePunct w:val="0"/>
        <w:bidi w:val="0"/>
        <w:snapToGrid/>
        <w:spacing w:line="600" w:lineRule="exact"/>
        <w:ind w:right="0"/>
        <w:jc w:val="left"/>
        <w:rPr>
          <w:rFonts w:hint="eastAsia" w:ascii="仿宋" w:hAnsi="仿宋" w:eastAsia="仿宋" w:cs="仿宋"/>
          <w:color w:val="auto"/>
          <w:kern w:val="0"/>
          <w:sz w:val="32"/>
          <w:szCs w:val="32"/>
        </w:rPr>
      </w:pPr>
    </w:p>
    <w:sectPr>
      <w:pgSz w:w="11906" w:h="16838"/>
      <w:pgMar w:top="1417" w:right="1587" w:bottom="1417"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5CAB8B"/>
    <w:multiLevelType w:val="singleLevel"/>
    <w:tmpl w:val="FF5CAB8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QwYjM5MzA0NzFmNjYxZDQyZjgxNzIxOWFiNWFhNzU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D2C01"/>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164C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52086"/>
    <w:rsid w:val="0086638C"/>
    <w:rsid w:val="00882621"/>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34132F3"/>
    <w:rsid w:val="0453684A"/>
    <w:rsid w:val="04C414F5"/>
    <w:rsid w:val="09E83B86"/>
    <w:rsid w:val="0BE20906"/>
    <w:rsid w:val="0C346771"/>
    <w:rsid w:val="11423ACC"/>
    <w:rsid w:val="13E838EE"/>
    <w:rsid w:val="1630194C"/>
    <w:rsid w:val="19CE3E03"/>
    <w:rsid w:val="1B554908"/>
    <w:rsid w:val="20C57D36"/>
    <w:rsid w:val="2A050316"/>
    <w:rsid w:val="2AA11E41"/>
    <w:rsid w:val="2EC8380D"/>
    <w:rsid w:val="33EB5B94"/>
    <w:rsid w:val="3B4E4C98"/>
    <w:rsid w:val="3EF734AC"/>
    <w:rsid w:val="406E7B8B"/>
    <w:rsid w:val="40C8285B"/>
    <w:rsid w:val="44F22ED1"/>
    <w:rsid w:val="4EB66985"/>
    <w:rsid w:val="4EB95470"/>
    <w:rsid w:val="506F7733"/>
    <w:rsid w:val="58DD68BA"/>
    <w:rsid w:val="5D886258"/>
    <w:rsid w:val="61C76655"/>
    <w:rsid w:val="66BA34C7"/>
    <w:rsid w:val="6E2D572D"/>
    <w:rsid w:val="6F78000A"/>
    <w:rsid w:val="70187355"/>
    <w:rsid w:val="7049353A"/>
    <w:rsid w:val="729F22CB"/>
    <w:rsid w:val="73912F37"/>
    <w:rsid w:val="73D40002"/>
    <w:rsid w:val="74B94060"/>
    <w:rsid w:val="750A6DA3"/>
    <w:rsid w:val="79646EFB"/>
    <w:rsid w:val="7BA4364C"/>
    <w:rsid w:val="7FA029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7906</Words>
  <Characters>8744</Characters>
  <Lines>69</Lines>
  <Paragraphs>19</Paragraphs>
  <TotalTime>5</TotalTime>
  <ScaleCrop>false</ScaleCrop>
  <LinksUpToDate>false</LinksUpToDate>
  <CharactersWithSpaces>8747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2022-08-30T09:02:00Z</dcterms:created>
  <dc:creator>李航 null</dc:creator>
  <cp:lastModifiedBy>雲隐</cp:lastModifiedBy>
  <cp:lastPrinted>2022-07-27T12:55:00Z</cp:lastPrinted>
  <dcterms:modified xsi:type="dcterms:W3CDTF">2023-10-11T07:36:43Z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6283217B9F0B43AA95727DA04B6ED242</vt:lpwstr>
  </property>
</Properties>
</file>