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怀化市中心特殊教育学校</w:t>
      </w:r>
      <w:r>
        <w:rPr>
          <w:rFonts w:hint="eastAsia" w:ascii="方正小标宋_GBK" w:hAnsi="方正小标宋_GBK" w:eastAsia="方正小标宋_GBK" w:cs="方正小标宋_GBK"/>
          <w:sz w:val="84"/>
          <w:szCs w:val="84"/>
        </w:rPr>
        <w:t>部门决算</w:t>
      </w:r>
    </w:p>
    <w:p>
      <w:pPr>
        <w:pStyle w:val="14"/>
        <w:keepNext w:val="0"/>
        <w:keepLines w:val="0"/>
        <w:pageBreakBefore w:val="0"/>
        <w:kinsoku/>
        <w:overflowPunct/>
        <w:topLinePunct w:val="0"/>
        <w:bidi w:val="0"/>
        <w:snapToGrid/>
        <w:spacing w:line="600" w:lineRule="exact"/>
        <w:ind w:right="0"/>
        <w:jc w:val="center"/>
        <w:rPr>
          <w:rFonts w:hint="eastAsia" w:ascii="仿宋" w:hAnsi="仿宋" w:eastAsia="仿宋" w:cs="仿宋"/>
          <w:b/>
          <w:bCs/>
          <w:color w:val="auto"/>
          <w:sz w:val="48"/>
          <w:szCs w:val="48"/>
        </w:rPr>
      </w:pPr>
    </w:p>
    <w:p>
      <w:pPr>
        <w:pStyle w:val="14"/>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p>
    <w:p>
      <w:pPr>
        <w:pStyle w:val="14"/>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p>
    <w:p>
      <w:pPr>
        <w:pStyle w:val="14"/>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p>
    <w:p>
      <w:pPr>
        <w:pStyle w:val="14"/>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p>
    <w:p>
      <w:pPr>
        <w:pStyle w:val="14"/>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p>
    <w:p>
      <w:pPr>
        <w:pStyle w:val="14"/>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p>
    <w:p>
      <w:pPr>
        <w:pStyle w:val="14"/>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r>
        <w:rPr>
          <w:rFonts w:hint="eastAsia" w:ascii="黑体" w:hAnsi="黑体" w:eastAsia="黑体" w:cs="黑体"/>
          <w:b/>
          <w:color w:val="auto"/>
          <w:sz w:val="32"/>
          <w:szCs w:val="32"/>
        </w:rPr>
        <w:t>目</w:t>
      </w:r>
      <w:r>
        <w:rPr>
          <w:rFonts w:hint="eastAsia" w:hAnsi="黑体" w:cs="黑体"/>
          <w:b/>
          <w:color w:val="auto"/>
          <w:sz w:val="32"/>
          <w:szCs w:val="32"/>
          <w:lang w:val="en-US" w:eastAsia="zh-CN"/>
        </w:rPr>
        <w:tab/>
      </w:r>
      <w:r>
        <w:rPr>
          <w:rFonts w:hint="eastAsia" w:ascii="黑体" w:hAnsi="黑体" w:eastAsia="黑体" w:cs="黑体"/>
          <w:b/>
          <w:color w:val="auto"/>
          <w:sz w:val="32"/>
          <w:szCs w:val="32"/>
        </w:rPr>
        <w:t>录</w:t>
      </w:r>
    </w:p>
    <w:p>
      <w:pPr>
        <w:pStyle w:val="14"/>
        <w:keepNext w:val="0"/>
        <w:keepLines w:val="0"/>
        <w:pageBreakBefore w:val="0"/>
        <w:kinsoku/>
        <w:overflowPunct/>
        <w:topLinePunct w:val="0"/>
        <w:bidi w:val="0"/>
        <w:snapToGrid/>
        <w:spacing w:line="600" w:lineRule="exact"/>
        <w:ind w:right="0"/>
        <w:jc w:val="center"/>
        <w:rPr>
          <w:rFonts w:hint="eastAsia" w:ascii="黑体" w:hAnsi="黑体" w:eastAsia="黑体" w:cs="黑体"/>
          <w:b/>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color w:val="auto"/>
          <w:sz w:val="32"/>
          <w:szCs w:val="32"/>
        </w:rPr>
      </w:pPr>
      <w:r>
        <w:rPr>
          <w:rFonts w:hint="eastAsia" w:ascii="黑体" w:hAnsi="黑体" w:eastAsia="黑体" w:cs="黑体"/>
          <w:b/>
          <w:color w:val="auto"/>
          <w:sz w:val="32"/>
          <w:szCs w:val="32"/>
        </w:rPr>
        <w:t>第一部分</w:t>
      </w:r>
      <w:r>
        <w:rPr>
          <w:rFonts w:hint="eastAsia" w:ascii="黑体" w:hAnsi="黑体" w:eastAsia="黑体" w:cs="黑体"/>
          <w:b/>
          <w:color w:val="auto"/>
          <w:sz w:val="32"/>
          <w:szCs w:val="32"/>
          <w:lang w:val="en-US" w:eastAsia="zh-CN"/>
        </w:rPr>
        <w:t>怀化市中心特殊教育学校</w:t>
      </w:r>
      <w:r>
        <w:rPr>
          <w:rFonts w:hint="eastAsia" w:ascii="黑体" w:hAnsi="黑体" w:eastAsia="黑体" w:cs="黑体"/>
          <w:b/>
          <w:color w:val="auto"/>
          <w:sz w:val="32"/>
          <w:szCs w:val="32"/>
        </w:rPr>
        <w:t>单位概况</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color w:val="auto"/>
          <w:sz w:val="32"/>
          <w:szCs w:val="32"/>
        </w:rPr>
      </w:pPr>
      <w:r>
        <w:rPr>
          <w:rFonts w:hint="eastAsia" w:ascii="黑体" w:hAnsi="黑体" w:eastAsia="黑体" w:cs="黑体"/>
          <w:b/>
          <w:color w:val="auto"/>
          <w:sz w:val="32"/>
          <w:szCs w:val="32"/>
        </w:rPr>
        <w:t>第二部分202</w:t>
      </w:r>
      <w:r>
        <w:rPr>
          <w:rFonts w:hint="eastAsia" w:hAnsi="黑体" w:cs="黑体"/>
          <w:b/>
          <w:color w:val="auto"/>
          <w:sz w:val="32"/>
          <w:szCs w:val="32"/>
          <w:lang w:val="en-US" w:eastAsia="zh-CN"/>
        </w:rPr>
        <w:t>2</w:t>
      </w:r>
      <w:r>
        <w:rPr>
          <w:rFonts w:hint="eastAsia" w:ascii="黑体" w:hAnsi="黑体" w:eastAsia="黑体" w:cs="黑体"/>
          <w:b/>
          <w:color w:val="auto"/>
          <w:sz w:val="32"/>
          <w:szCs w:val="32"/>
        </w:rPr>
        <w:t>年度部门决算表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六、一般公共预算财政拨款基本支出决算明细表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九、国有资本经营预算财政拨款支出决算表</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color w:val="auto"/>
          <w:sz w:val="32"/>
          <w:szCs w:val="32"/>
        </w:rPr>
      </w:pPr>
      <w:r>
        <w:rPr>
          <w:rFonts w:hint="eastAsia" w:ascii="黑体" w:hAnsi="黑体" w:eastAsia="黑体" w:cs="黑体"/>
          <w:b/>
          <w:color w:val="auto"/>
          <w:sz w:val="32"/>
          <w:szCs w:val="32"/>
        </w:rPr>
        <w:t>第三部分202</w:t>
      </w:r>
      <w:r>
        <w:rPr>
          <w:rFonts w:hint="eastAsia" w:hAnsi="黑体" w:cs="黑体"/>
          <w:b/>
          <w:color w:val="auto"/>
          <w:sz w:val="32"/>
          <w:szCs w:val="32"/>
          <w:lang w:val="en-US" w:eastAsia="zh-CN"/>
        </w:rPr>
        <w:t>2</w:t>
      </w:r>
      <w:r>
        <w:rPr>
          <w:rFonts w:hint="eastAsia" w:ascii="黑体" w:hAnsi="黑体" w:eastAsia="黑体" w:cs="黑体"/>
          <w:b/>
          <w:color w:val="auto"/>
          <w:sz w:val="32"/>
          <w:szCs w:val="32"/>
        </w:rPr>
        <w:t>年度部门决算情况说明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一、收入支出决算总体情况说明</w:t>
      </w:r>
    </w:p>
    <w:p>
      <w:pPr>
        <w:keepNext w:val="0"/>
        <w:keepLines w:val="0"/>
        <w:pageBreakBefore w:val="0"/>
        <w:kinsoku/>
        <w:overflowPunct/>
        <w:topLinePunct w:val="0"/>
        <w:bidi w:val="0"/>
        <w:snapToGrid/>
        <w:spacing w:line="600" w:lineRule="exact"/>
        <w:ind w:left="0" w:leftChars="0" w:right="0"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二、收入决算情况说明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八、政府性基金预算收入支出决算情况说明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w:t>
      </w:r>
      <w:r>
        <w:rPr>
          <w:rFonts w:hint="eastAsia" w:ascii="仿宋" w:hAnsi="仿宋" w:eastAsia="仿宋" w:cs="仿宋"/>
          <w:color w:val="auto"/>
          <w:sz w:val="32"/>
          <w:szCs w:val="32"/>
          <w:lang w:val="en-US" w:eastAsia="zh-CN"/>
        </w:rPr>
        <w:t>收入</w:t>
      </w:r>
      <w:r>
        <w:rPr>
          <w:rFonts w:hint="eastAsia" w:ascii="仿宋" w:hAnsi="仿宋" w:eastAsia="仿宋" w:cs="仿宋"/>
          <w:color w:val="auto"/>
          <w:sz w:val="32"/>
          <w:szCs w:val="32"/>
        </w:rPr>
        <w:t>支出决算情况说明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十、关于机关运行经费支出说明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十一、一般性支出情况说明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十二、关于政府采购支出说明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十三、关于国有资产占用情况说明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十四、关于202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年度预算绩效情况的说明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黑体" w:hAnsi="黑体" w:eastAsia="黑体" w:cs="黑体"/>
          <w:b/>
          <w:color w:val="auto"/>
          <w:kern w:val="0"/>
          <w:sz w:val="32"/>
          <w:szCs w:val="32"/>
        </w:rPr>
      </w:pPr>
      <w:r>
        <w:rPr>
          <w:rFonts w:hint="eastAsia" w:ascii="黑体" w:hAnsi="黑体" w:eastAsia="黑体" w:cs="黑体"/>
          <w:b/>
          <w:color w:val="auto"/>
          <w:kern w:val="0"/>
          <w:sz w:val="32"/>
          <w:szCs w:val="32"/>
        </w:rPr>
        <w:t>第四部分名词解释</w:t>
      </w: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right="0"/>
        <w:jc w:val="both"/>
        <w:rPr>
          <w:rFonts w:hint="eastAsia" w:ascii="仿宋" w:hAnsi="仿宋" w:eastAsia="仿宋" w:cs="仿宋"/>
          <w:color w:val="auto"/>
          <w:sz w:val="32"/>
          <w:szCs w:val="32"/>
        </w:rPr>
      </w:pPr>
    </w:p>
    <w:p>
      <w:pPr>
        <w:keepNext w:val="0"/>
        <w:keepLines w:val="0"/>
        <w:pageBreakBefore w:val="0"/>
        <w:kinsoku/>
        <w:overflowPunct/>
        <w:topLinePunct w:val="0"/>
        <w:bidi w:val="0"/>
        <w:snapToGrid/>
        <w:spacing w:line="600" w:lineRule="exact"/>
        <w:ind w:left="0" w:leftChars="0" w:right="0" w:firstLine="640" w:firstLineChars="200"/>
        <w:jc w:val="center"/>
        <w:rPr>
          <w:rFonts w:hint="eastAsia" w:ascii="仿宋" w:hAnsi="仿宋" w:eastAsia="仿宋" w:cs="仿宋"/>
          <w:color w:val="auto"/>
          <w:sz w:val="32"/>
          <w:szCs w:val="32"/>
        </w:rPr>
      </w:pPr>
    </w:p>
    <w:p>
      <w:pPr>
        <w:pStyle w:val="14"/>
        <w:jc w:val="center"/>
        <w:rPr>
          <w:rFonts w:hint="eastAsia" w:ascii="方正小标宋_GBK" w:hAnsi="方正小标宋_GBK" w:eastAsia="方正小标宋_GBK" w:cs="方正小标宋_GBK"/>
          <w:sz w:val="84"/>
          <w:szCs w:val="84"/>
        </w:rPr>
      </w:pPr>
    </w:p>
    <w:p>
      <w:pPr>
        <w:pStyle w:val="14"/>
        <w:jc w:val="both"/>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第一部分</w:t>
      </w:r>
    </w:p>
    <w:p>
      <w:pPr>
        <w:pStyle w:val="14"/>
        <w:jc w:val="center"/>
        <w:rPr>
          <w:rFonts w:hint="eastAsia" w:ascii="方正小标宋_GBK" w:hAnsi="方正小标宋_GBK" w:eastAsia="方正小标宋_GBK" w:cs="方正小标宋_GBK"/>
          <w:sz w:val="84"/>
          <w:szCs w:val="84"/>
          <w:lang w:val="en-US" w:eastAsia="zh-CN"/>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怀化市中心特殊教育学校</w:t>
      </w:r>
      <w:r>
        <w:rPr>
          <w:rFonts w:hint="eastAsia" w:ascii="方正小标宋_GBK" w:hAnsi="方正小标宋_GBK" w:eastAsia="方正小标宋_GBK" w:cs="方正小标宋_GBK"/>
          <w:sz w:val="84"/>
          <w:szCs w:val="84"/>
        </w:rPr>
        <w:t>概况</w:t>
      </w:r>
    </w:p>
    <w:p>
      <w:pPr>
        <w:pStyle w:val="15"/>
        <w:keepNext w:val="0"/>
        <w:keepLines w:val="0"/>
        <w:pageBreakBefore w:val="0"/>
        <w:kinsoku/>
        <w:overflowPunct/>
        <w:topLinePunct w:val="0"/>
        <w:bidi w:val="0"/>
        <w:snapToGrid/>
        <w:spacing w:line="600" w:lineRule="exact"/>
        <w:ind w:left="0" w:leftChars="0" w:right="0" w:firstLine="640" w:firstLineChars="200"/>
        <w:jc w:val="left"/>
        <w:rPr>
          <w:rFonts w:hint="eastAsia" w:ascii="仿宋" w:hAnsi="仿宋" w:eastAsia="仿宋" w:cs="仿宋"/>
          <w:color w:val="auto"/>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10"/>
          <w:rFonts w:hint="eastAsia" w:ascii="黑体" w:hAnsi="黑体" w:eastAsia="黑体" w:cs="黑体"/>
          <w:b w:val="0"/>
          <w:bCs/>
          <w:i w:val="0"/>
          <w:iCs w:val="0"/>
          <w:caps w:val="0"/>
          <w:color w:val="auto"/>
          <w:spacing w:val="0"/>
          <w:sz w:val="32"/>
          <w:szCs w:val="32"/>
          <w:shd w:val="clear" w:color="auto"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10"/>
          <w:rFonts w:hint="eastAsia" w:ascii="黑体" w:hAnsi="黑体" w:eastAsia="黑体" w:cs="黑体"/>
          <w:b w:val="0"/>
          <w:bCs/>
          <w:i w:val="0"/>
          <w:iCs w:val="0"/>
          <w:caps w:val="0"/>
          <w:color w:val="auto"/>
          <w:spacing w:val="0"/>
          <w:sz w:val="32"/>
          <w:szCs w:val="32"/>
          <w:shd w:val="clear" w:color="auto"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10"/>
          <w:rFonts w:hint="eastAsia" w:ascii="黑体" w:hAnsi="黑体" w:eastAsia="黑体" w:cs="黑体"/>
          <w:b w:val="0"/>
          <w:bCs/>
          <w:i w:val="0"/>
          <w:iCs w:val="0"/>
          <w:caps w:val="0"/>
          <w:color w:val="auto"/>
          <w:spacing w:val="0"/>
          <w:sz w:val="32"/>
          <w:szCs w:val="32"/>
          <w:shd w:val="clear" w:color="auto"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10"/>
          <w:rFonts w:hint="eastAsia" w:ascii="黑体" w:hAnsi="黑体" w:eastAsia="黑体" w:cs="黑体"/>
          <w:b w:val="0"/>
          <w:bCs/>
          <w:i w:val="0"/>
          <w:iCs w:val="0"/>
          <w:caps w:val="0"/>
          <w:color w:val="auto"/>
          <w:spacing w:val="0"/>
          <w:sz w:val="32"/>
          <w:szCs w:val="32"/>
          <w:shd w:val="clear" w:color="auto"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10"/>
          <w:rFonts w:hint="eastAsia" w:ascii="黑体" w:hAnsi="黑体" w:eastAsia="黑体" w:cs="黑体"/>
          <w:b w:val="0"/>
          <w:bCs/>
          <w:i w:val="0"/>
          <w:iCs w:val="0"/>
          <w:caps w:val="0"/>
          <w:color w:val="auto"/>
          <w:spacing w:val="0"/>
          <w:sz w:val="32"/>
          <w:szCs w:val="32"/>
          <w:shd w:val="clear" w:color="auto"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textAlignment w:val="auto"/>
        <w:rPr>
          <w:rStyle w:val="10"/>
          <w:rFonts w:hint="eastAsia" w:ascii="黑体" w:hAnsi="黑体" w:eastAsia="黑体" w:cs="黑体"/>
          <w:b w:val="0"/>
          <w:bCs/>
          <w:i w:val="0"/>
          <w:iCs w:val="0"/>
          <w:caps w:val="0"/>
          <w:color w:val="auto"/>
          <w:spacing w:val="0"/>
          <w:sz w:val="32"/>
          <w:szCs w:val="32"/>
          <w:shd w:val="clear" w:color="auto"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黑体" w:hAnsi="黑体" w:eastAsia="黑体" w:cs="黑体"/>
          <w:b w:val="0"/>
          <w:bCs/>
          <w:i w:val="0"/>
          <w:iCs w:val="0"/>
          <w:caps w:val="0"/>
          <w:color w:val="auto"/>
          <w:spacing w:val="0"/>
          <w:sz w:val="32"/>
          <w:szCs w:val="32"/>
        </w:rPr>
      </w:pPr>
      <w:r>
        <w:rPr>
          <w:rStyle w:val="10"/>
          <w:rFonts w:hint="eastAsia" w:ascii="黑体" w:hAnsi="黑体" w:eastAsia="黑体" w:cs="黑体"/>
          <w:b w:val="0"/>
          <w:bCs/>
          <w:i w:val="0"/>
          <w:iCs w:val="0"/>
          <w:caps w:val="0"/>
          <w:color w:val="auto"/>
          <w:spacing w:val="0"/>
          <w:sz w:val="32"/>
          <w:szCs w:val="32"/>
          <w:shd w:val="clear" w:color="auto" w:fill="FFFFFF"/>
        </w:rPr>
        <w:t>一、部门职责</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 w:val="0"/>
          <w:i w:val="0"/>
          <w:caps w:val="0"/>
          <w:color w:val="auto"/>
          <w:spacing w:val="0"/>
          <w:sz w:val="32"/>
          <w:szCs w:val="32"/>
          <w:shd w:val="clear" w:fill="FFFFFF"/>
          <w:lang w:val="en-US" w:eastAsia="zh-CN"/>
        </w:rPr>
      </w:pPr>
      <w:r>
        <w:rPr>
          <w:rFonts w:hint="eastAsia" w:ascii="仿宋" w:hAnsi="仿宋" w:eastAsia="仿宋" w:cs="仿宋"/>
          <w:b w:val="0"/>
          <w:i w:val="0"/>
          <w:caps w:val="0"/>
          <w:color w:val="auto"/>
          <w:spacing w:val="0"/>
          <w:sz w:val="32"/>
          <w:szCs w:val="32"/>
          <w:shd w:val="clear" w:fill="FFFFFF"/>
          <w:lang w:val="en-US" w:eastAsia="zh-CN"/>
        </w:rPr>
        <w:t>怀化市中心特殊教育学校直属怀化市教育局管理，主要担负鹤城、中方、新晃、通道四县市区残障儿童少年和怀化各县市区听障儿童少年的教育教学以及县级特校教师培训及业务指导工作，是一所集康复教育、学前教育、小学、初中、高中于一体的十二年一贯制特殊教育学校。 </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bCs/>
          <w:color w:val="auto"/>
          <w:kern w:val="0"/>
          <w:sz w:val="32"/>
          <w:szCs w:val="32"/>
        </w:rPr>
        <w:t>怀化市中心特殊教育学校</w:t>
      </w:r>
      <w:r>
        <w:rPr>
          <w:rFonts w:hint="eastAsia" w:ascii="仿宋" w:hAnsi="仿宋" w:eastAsia="仿宋" w:cs="仿宋"/>
          <w:bCs/>
          <w:color w:val="auto"/>
          <w:kern w:val="0"/>
          <w:sz w:val="32"/>
          <w:szCs w:val="32"/>
          <w:lang w:val="en-US" w:eastAsia="zh-CN"/>
        </w:rPr>
        <w:t>为</w:t>
      </w:r>
      <w:r>
        <w:rPr>
          <w:rFonts w:hint="eastAsia" w:ascii="仿宋" w:hAnsi="仿宋" w:eastAsia="仿宋" w:cs="仿宋"/>
          <w:bCs/>
          <w:color w:val="auto"/>
          <w:kern w:val="0"/>
          <w:sz w:val="32"/>
          <w:szCs w:val="32"/>
        </w:rPr>
        <w:t>一级部门预算单位</w:t>
      </w:r>
      <w:r>
        <w:rPr>
          <w:rFonts w:hint="eastAsia" w:ascii="仿宋" w:hAnsi="仿宋" w:eastAsia="仿宋" w:cs="仿宋"/>
          <w:bCs/>
          <w:color w:val="auto"/>
          <w:kern w:val="0"/>
          <w:sz w:val="32"/>
          <w:szCs w:val="32"/>
          <w:lang w:eastAsia="zh-CN"/>
        </w:rPr>
        <w:t>，</w:t>
      </w:r>
      <w:r>
        <w:rPr>
          <w:rFonts w:hint="eastAsia" w:ascii="仿宋" w:hAnsi="仿宋" w:eastAsia="仿宋" w:cs="仿宋"/>
          <w:bCs/>
          <w:color w:val="auto"/>
          <w:kern w:val="0"/>
          <w:sz w:val="32"/>
          <w:szCs w:val="32"/>
        </w:rPr>
        <w:t>内设机构包括：办公室、教导处、总务处、</w:t>
      </w:r>
      <w:r>
        <w:rPr>
          <w:rFonts w:hint="eastAsia" w:ascii="仿宋" w:hAnsi="仿宋" w:eastAsia="仿宋" w:cs="仿宋"/>
          <w:bCs/>
          <w:color w:val="auto"/>
          <w:kern w:val="0"/>
          <w:sz w:val="32"/>
          <w:szCs w:val="32"/>
          <w:lang w:val="en-US" w:eastAsia="zh-CN"/>
        </w:rPr>
        <w:t>校安办、督导室、德育室、信息中心</w:t>
      </w:r>
      <w:r>
        <w:rPr>
          <w:rFonts w:hint="eastAsia" w:ascii="仿宋" w:hAnsi="仿宋" w:eastAsia="仿宋" w:cs="仿宋"/>
          <w:bCs/>
          <w:color w:val="auto"/>
          <w:kern w:val="0"/>
          <w:sz w:val="32"/>
          <w:szCs w:val="32"/>
        </w:rPr>
        <w:t>等</w:t>
      </w:r>
      <w:r>
        <w:rPr>
          <w:rFonts w:hint="eastAsia" w:ascii="仿宋" w:hAnsi="仿宋" w:eastAsia="仿宋" w:cs="仿宋"/>
          <w:bCs/>
          <w:color w:val="auto"/>
          <w:kern w:val="0"/>
          <w:sz w:val="32"/>
          <w:szCs w:val="32"/>
          <w:lang w:val="en-US" w:eastAsia="zh-CN"/>
        </w:rPr>
        <w:t>7</w:t>
      </w:r>
      <w:r>
        <w:rPr>
          <w:rFonts w:hint="eastAsia" w:ascii="仿宋" w:hAnsi="仿宋" w:eastAsia="仿宋" w:cs="仿宋"/>
          <w:bCs/>
          <w:color w:val="auto"/>
          <w:kern w:val="0"/>
          <w:sz w:val="32"/>
          <w:szCs w:val="32"/>
        </w:rPr>
        <w:t>个处室。</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
          <w:bCs w:val="0"/>
          <w:color w:val="auto"/>
          <w:kern w:val="0"/>
          <w:sz w:val="32"/>
          <w:szCs w:val="32"/>
        </w:rPr>
        <w:t>（二）决算单位构成。</w:t>
      </w:r>
      <w:r>
        <w:rPr>
          <w:rFonts w:hint="eastAsia" w:ascii="仿宋" w:hAnsi="仿宋" w:eastAsia="仿宋" w:cs="仿宋"/>
          <w:bCs/>
          <w:color w:val="auto"/>
          <w:kern w:val="0"/>
          <w:sz w:val="32"/>
          <w:szCs w:val="32"/>
        </w:rPr>
        <w:t>怀化市中心特殊教育学校202</w:t>
      </w:r>
      <w:r>
        <w:rPr>
          <w:rFonts w:hint="eastAsia" w:ascii="仿宋" w:hAnsi="仿宋" w:eastAsia="仿宋" w:cs="仿宋"/>
          <w:bCs/>
          <w:color w:val="auto"/>
          <w:kern w:val="0"/>
          <w:sz w:val="32"/>
          <w:szCs w:val="32"/>
          <w:lang w:val="en-US" w:eastAsia="zh-CN"/>
        </w:rPr>
        <w:t>2</w:t>
      </w:r>
      <w:r>
        <w:rPr>
          <w:rFonts w:hint="eastAsia" w:ascii="仿宋" w:hAnsi="仿宋" w:eastAsia="仿宋" w:cs="仿宋"/>
          <w:bCs/>
          <w:color w:val="auto"/>
          <w:kern w:val="0"/>
          <w:sz w:val="32"/>
          <w:szCs w:val="32"/>
        </w:rPr>
        <w:t>年部门决算公开单位构成</w:t>
      </w:r>
      <w:r>
        <w:rPr>
          <w:rFonts w:hint="eastAsia" w:ascii="仿宋" w:hAnsi="仿宋" w:eastAsia="仿宋" w:cs="仿宋"/>
          <w:bCs/>
          <w:color w:val="auto"/>
          <w:kern w:val="0"/>
          <w:sz w:val="32"/>
          <w:szCs w:val="32"/>
          <w:lang w:val="en-US" w:eastAsia="zh-CN"/>
        </w:rPr>
        <w:t>的只有怀化市中心特殊教育学校本级。</w:t>
      </w: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lang w:val="en-US" w:eastAsia="zh-CN"/>
        </w:rPr>
      </w:pPr>
    </w:p>
    <w:p>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lang w:val="en-US" w:eastAsia="zh-CN"/>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bookmarkStart w:id="3" w:name="_GoBack"/>
      <w:bookmarkEnd w:id="3"/>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第二部分 </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年度部门决算表</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sectPr>
          <w:pgSz w:w="11906" w:h="16838"/>
          <w:pgMar w:top="1417" w:right="1587" w:bottom="1417" w:left="1587" w:header="851" w:footer="992" w:gutter="0"/>
          <w:cols w:space="425" w:num="1"/>
          <w:docGrid w:type="linesAndChars" w:linePitch="312" w:charSpace="0"/>
        </w:sectPr>
      </w:pPr>
    </w:p>
    <w:tbl>
      <w:tblPr>
        <w:tblStyle w:val="7"/>
        <w:tblW w:w="13875" w:type="dxa"/>
        <w:tblInd w:w="0" w:type="dxa"/>
        <w:tblLayout w:type="fixed"/>
        <w:tblCellMar>
          <w:top w:w="0" w:type="dxa"/>
          <w:left w:w="0" w:type="dxa"/>
          <w:bottom w:w="0" w:type="dxa"/>
          <w:right w:w="0" w:type="dxa"/>
        </w:tblCellMar>
      </w:tblPr>
      <w:tblGrid>
        <w:gridCol w:w="286"/>
        <w:gridCol w:w="866"/>
        <w:gridCol w:w="2505"/>
        <w:gridCol w:w="1025"/>
        <w:gridCol w:w="1544"/>
        <w:gridCol w:w="1396"/>
        <w:gridCol w:w="1307"/>
        <w:gridCol w:w="1337"/>
        <w:gridCol w:w="1946"/>
        <w:gridCol w:w="1663"/>
      </w:tblGrid>
      <w:tr>
        <w:tblPrEx>
          <w:tblCellMar>
            <w:top w:w="0" w:type="dxa"/>
            <w:left w:w="0" w:type="dxa"/>
            <w:bottom w:w="0" w:type="dxa"/>
            <w:right w:w="0" w:type="dxa"/>
          </w:tblCellMar>
        </w:tblPrEx>
        <w:trPr>
          <w:trHeight w:val="435" w:hRule="atLeast"/>
        </w:trPr>
        <w:tc>
          <w:tcPr>
            <w:tcW w:w="13875"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4004"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84"/>
              <w:gridCol w:w="552"/>
              <w:gridCol w:w="1188"/>
              <w:gridCol w:w="3444"/>
              <w:gridCol w:w="1883"/>
              <w:gridCol w:w="613"/>
              <w:gridCol w:w="408"/>
              <w:gridCol w:w="24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 w:hRule="atLeast"/>
              </w:trPr>
              <w:tc>
                <w:tcPr>
                  <w:tcW w:w="3484"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52"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188"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344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496"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840"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4004"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trPr>
              <w:tc>
                <w:tcPr>
                  <w:tcW w:w="348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5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18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344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496"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84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trPr>
              <w:tc>
                <w:tcPr>
                  <w:tcW w:w="3484"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部门：怀化市中心特殊教育学校</w:t>
                  </w:r>
                </w:p>
              </w:tc>
              <w:tc>
                <w:tcPr>
                  <w:tcW w:w="55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18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344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496"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84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5224" w:type="dxa"/>
                  <w:gridSpan w:val="3"/>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634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355"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2013.74</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336" w:hRule="atLeast"/>
              </w:trPr>
              <w:tc>
                <w:tcPr>
                  <w:tcW w:w="348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1907.17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七、文化旅游体育与传媒支出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八、社会保障和就业支出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九、卫生健康支出</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b w:val="0"/>
                      <w:bCs/>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31.18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2013.74</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2013.74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34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32" w:type="dxa"/>
                <w:trHeight w:val="183" w:hRule="atLeast"/>
              </w:trPr>
              <w:tc>
                <w:tcPr>
                  <w:tcW w:w="3484" w:type="dxa"/>
                  <w:tcBorders>
                    <w:top w:val="single" w:color="000000" w:sz="4" w:space="0"/>
                    <w:left w:val="single" w:color="auto"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bCs/>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2013.74</w:t>
                  </w:r>
                </w:p>
              </w:tc>
              <w:tc>
                <w:tcPr>
                  <w:tcW w:w="34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总计</w:t>
                  </w:r>
                </w:p>
              </w:tc>
              <w:tc>
                <w:tcPr>
                  <w:tcW w:w="18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2013.74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4004"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tbl>
            <w:tblPr>
              <w:tblStyle w:val="8"/>
              <w:tblW w:w="2274" w:type="dxa"/>
              <w:tblInd w:w="-35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2274" w:type="dxa"/>
                </w:tcPr>
                <w:p>
                  <w:pPr>
                    <w:jc w:val="center"/>
                    <w:rPr>
                      <w:rFonts w:hint="eastAsia" w:ascii="华文中宋" w:hAnsi="华文中宋" w:eastAsia="华文中宋"/>
                      <w:color w:val="000000"/>
                      <w:sz w:val="32"/>
                      <w:szCs w:val="32"/>
                      <w:vertAlign w:val="baseline"/>
                    </w:rPr>
                  </w:pPr>
                </w:p>
              </w:tc>
            </w:tr>
          </w:tbl>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both"/>
              <w:rPr>
                <w:rFonts w:hint="eastAsia" w:ascii="华文中宋" w:hAnsi="华文中宋" w:eastAsia="华文中宋"/>
                <w:color w:val="000000"/>
                <w:sz w:val="32"/>
                <w:szCs w:val="32"/>
              </w:rPr>
            </w:pPr>
          </w:p>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28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6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0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025" w:type="dxa"/>
            <w:tcBorders>
              <w:top w:val="nil"/>
              <w:left w:val="nil"/>
              <w:bottom w:val="nil"/>
              <w:right w:val="nil"/>
            </w:tcBorders>
            <w:shd w:val="clear" w:color="000000" w:fill="FFFFFF"/>
            <w:noWrap/>
            <w:tcMar>
              <w:top w:w="15" w:type="dxa"/>
              <w:left w:w="15" w:type="dxa"/>
              <w:bottom w:w="0" w:type="dxa"/>
              <w:right w:w="15" w:type="dxa"/>
            </w:tcMar>
            <w:vAlign w:val="center"/>
          </w:tcPr>
          <w:p>
            <w:pPr>
              <w:jc w:val="both"/>
              <w:rPr>
                <w:rFonts w:ascii="宋体" w:hAnsi="宋体" w:eastAsia="宋体" w:cs="宋体"/>
                <w:sz w:val="24"/>
                <w:szCs w:val="24"/>
              </w:rPr>
            </w:pPr>
            <w:r>
              <w:rPr>
                <w:rFonts w:hint="eastAsia"/>
              </w:rPr>
              <w:t>　</w:t>
            </w:r>
          </w:p>
        </w:tc>
        <w:tc>
          <w:tcPr>
            <w:tcW w:w="154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3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4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6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580" w:hRule="atLeast"/>
        </w:trPr>
        <w:tc>
          <w:tcPr>
            <w:tcW w:w="1152"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hint="eastAsia" w:ascii="宋体" w:hAnsi="宋体" w:cs="宋体" w:eastAsiaTheme="minorEastAsia"/>
                <w:color w:val="000000"/>
                <w:sz w:val="20"/>
                <w:szCs w:val="20"/>
                <w:lang w:eastAsia="zh-CN"/>
              </w:rPr>
            </w:pPr>
            <w:r>
              <w:rPr>
                <w:rFonts w:hint="eastAsia"/>
                <w:color w:val="000000"/>
                <w:sz w:val="20"/>
                <w:szCs w:val="20"/>
              </w:rPr>
              <w:t>部门</w:t>
            </w:r>
            <w:r>
              <w:rPr>
                <w:rFonts w:hint="eastAsia"/>
                <w:color w:val="000000"/>
                <w:sz w:val="20"/>
                <w:szCs w:val="20"/>
                <w:lang w:eastAsia="zh-CN"/>
              </w:rPr>
              <w:t>：</w:t>
            </w:r>
          </w:p>
        </w:tc>
        <w:tc>
          <w:tcPr>
            <w:tcW w:w="3530"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jc w:val="left"/>
              <w:rPr>
                <w:rFonts w:hint="eastAsia" w:ascii="宋体" w:hAnsi="宋体" w:eastAsia="宋体" w:cs="宋体"/>
                <w:i w:val="0"/>
                <w:color w:val="000000"/>
                <w:kern w:val="0"/>
                <w:sz w:val="20"/>
                <w:szCs w:val="20"/>
                <w:u w:val="none"/>
                <w:lang w:val="en-US" w:eastAsia="zh-CN" w:bidi="ar"/>
              </w:rPr>
            </w:pPr>
          </w:p>
          <w:p>
            <w:pPr>
              <w:jc w:val="lef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怀化市中心特殊教育学校</w:t>
            </w:r>
          </w:p>
          <w:p>
            <w:pPr>
              <w:jc w:val="left"/>
              <w:rPr>
                <w:rFonts w:ascii="宋体" w:hAnsi="宋体" w:eastAsia="宋体" w:cs="宋体"/>
                <w:sz w:val="24"/>
                <w:szCs w:val="24"/>
              </w:rPr>
            </w:pPr>
            <w:r>
              <w:rPr>
                <w:rFonts w:hint="eastAsia"/>
              </w:rPr>
              <w:t>　　</w:t>
            </w:r>
          </w:p>
        </w:tc>
        <w:tc>
          <w:tcPr>
            <w:tcW w:w="154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6"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30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3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4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6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198" w:hRule="atLeast"/>
        </w:trPr>
        <w:tc>
          <w:tcPr>
            <w:tcW w:w="365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0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54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39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30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3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94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6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115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50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02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4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9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0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3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94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6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rPr>
          <w:trHeight w:val="312" w:hRule="atLeast"/>
        </w:trPr>
        <w:tc>
          <w:tcPr>
            <w:tcW w:w="1152"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505"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02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4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9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0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3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94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6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267" w:hRule="atLeast"/>
        </w:trPr>
        <w:tc>
          <w:tcPr>
            <w:tcW w:w="365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0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5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30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33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9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6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282" w:hRule="atLeast"/>
        </w:trPr>
        <w:tc>
          <w:tcPr>
            <w:tcW w:w="365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2013.74</w:t>
            </w:r>
            <w:r>
              <w:rPr>
                <w:rFonts w:hint="eastAsia"/>
              </w:rPr>
              <w:t>　</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2013.74</w:t>
            </w:r>
            <w:r>
              <w:rPr>
                <w:rFonts w:hint="eastAsia"/>
              </w:rPr>
              <w:t>　</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w:t>
            </w:r>
            <w:r>
              <w:rPr>
                <w:rFonts w:hint="eastAsia"/>
              </w:rPr>
              <w:t>　</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w:t>
            </w:r>
            <w:r>
              <w:rPr>
                <w:rFonts w:hint="eastAsia"/>
              </w:rPr>
              <w:t>　</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w:t>
            </w:r>
            <w:r>
              <w:rPr>
                <w:rFonts w:hint="eastAsia"/>
              </w:rPr>
              <w:t>　</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w:t>
            </w:r>
            <w:r>
              <w:rPr>
                <w:rFonts w:hint="eastAsia"/>
              </w:rPr>
              <w:t>　</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w:t>
            </w:r>
            <w:r>
              <w:rPr>
                <w:rFonts w:hint="eastAsia"/>
              </w:rPr>
              <w:t>　</w:t>
            </w:r>
          </w:p>
        </w:tc>
      </w:tr>
      <w:tr>
        <w:tblPrEx>
          <w:tblCellMar>
            <w:top w:w="0" w:type="dxa"/>
            <w:left w:w="0" w:type="dxa"/>
            <w:bottom w:w="0" w:type="dxa"/>
            <w:right w:w="0" w:type="dxa"/>
          </w:tblCellMar>
        </w:tblPrEx>
        <w:trPr>
          <w:trHeight w:val="327"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 xml:space="preserve">201  </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一般公共服务支出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68"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20102</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政协事务</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2"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2010299</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49"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教育支出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1,907.17</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1,907.17</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97"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普通教育</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771.98</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771.98</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37"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2050202</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81.01</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81.01</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67"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2050204</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3.12</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3.12</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68"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2050299</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687.85</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687.85</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55"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20507</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特殊教育</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1,135.19</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1,135.19</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52"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2050701</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特殊学校教育</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875.97</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875.97</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13"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2050799</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其他特殊教育支出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259.22</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259.22</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77"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72.61</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72.61</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74"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72.61</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72.61</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447"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62.11</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62.11</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476"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52"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14"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21011</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38" w:hRule="atLeast"/>
        </w:trPr>
        <w:tc>
          <w:tcPr>
            <w:tcW w:w="115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2101101</w:t>
            </w:r>
          </w:p>
        </w:tc>
        <w:tc>
          <w:tcPr>
            <w:tcW w:w="25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0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5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3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0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97" w:hRule="atLeast"/>
        </w:trPr>
        <w:tc>
          <w:tcPr>
            <w:tcW w:w="13875" w:type="dxa"/>
            <w:gridSpan w:val="10"/>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r>
        <w:tblPrEx>
          <w:tblCellMar>
            <w:top w:w="0" w:type="dxa"/>
            <w:left w:w="0" w:type="dxa"/>
            <w:bottom w:w="0" w:type="dxa"/>
            <w:right w:w="0" w:type="dxa"/>
          </w:tblCellMar>
        </w:tblPrEx>
        <w:trPr>
          <w:trHeight w:val="462" w:hRule="atLeast"/>
        </w:trPr>
        <w:tc>
          <w:tcPr>
            <w:tcW w:w="13875"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tbl>
      <w:tblPr>
        <w:tblStyle w:val="7"/>
        <w:tblpPr w:leftFromText="180" w:rightFromText="180" w:vertAnchor="text" w:horzAnchor="page" w:tblpX="1233" w:tblpY="817"/>
        <w:tblOverlap w:val="never"/>
        <w:tblW w:w="14712" w:type="dxa"/>
        <w:tblInd w:w="0" w:type="dxa"/>
        <w:tblLayout w:type="fixed"/>
        <w:tblCellMar>
          <w:top w:w="0" w:type="dxa"/>
          <w:left w:w="108" w:type="dxa"/>
          <w:bottom w:w="0" w:type="dxa"/>
          <w:right w:w="108" w:type="dxa"/>
        </w:tblCellMar>
      </w:tblPr>
      <w:tblGrid>
        <w:gridCol w:w="1230"/>
        <w:gridCol w:w="80"/>
        <w:gridCol w:w="79"/>
        <w:gridCol w:w="102"/>
        <w:gridCol w:w="2863"/>
        <w:gridCol w:w="1292"/>
        <w:gridCol w:w="1649"/>
        <w:gridCol w:w="1579"/>
        <w:gridCol w:w="1926"/>
        <w:gridCol w:w="1871"/>
        <w:gridCol w:w="2041"/>
      </w:tblGrid>
      <w:tr>
        <w:tblPrEx>
          <w:tblCellMar>
            <w:top w:w="0" w:type="dxa"/>
            <w:left w:w="108" w:type="dxa"/>
            <w:bottom w:w="0" w:type="dxa"/>
            <w:right w:w="108" w:type="dxa"/>
          </w:tblCellMar>
        </w:tblPrEx>
        <w:trPr>
          <w:trHeight w:val="810" w:hRule="atLeast"/>
        </w:trPr>
        <w:tc>
          <w:tcPr>
            <w:tcW w:w="14712"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4" w:hRule="atLeast"/>
        </w:trPr>
        <w:tc>
          <w:tcPr>
            <w:tcW w:w="123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1"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9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9" w:type="dxa"/>
            <w:tcBorders>
              <w:top w:val="nil"/>
              <w:left w:val="nil"/>
              <w:bottom w:val="nil"/>
              <w:right w:val="nil"/>
            </w:tcBorders>
            <w:shd w:val="clear" w:color="000000" w:fill="FFFFFF"/>
            <w:noWrap/>
            <w:vAlign w:val="center"/>
          </w:tcPr>
          <w:p>
            <w:pPr>
              <w:widowControl/>
              <w:jc w:val="both"/>
              <w:rPr>
                <w:rFonts w:ascii="宋体" w:hAnsi="宋体" w:eastAsia="宋体" w:cs="宋体"/>
                <w:kern w:val="0"/>
                <w:sz w:val="24"/>
                <w:szCs w:val="24"/>
              </w:rPr>
            </w:pPr>
            <w:r>
              <w:rPr>
                <w:rFonts w:hint="eastAsia" w:ascii="宋体" w:hAnsi="宋体" w:eastAsia="宋体" w:cs="宋体"/>
                <w:kern w:val="0"/>
                <w:sz w:val="24"/>
                <w:szCs w:val="24"/>
              </w:rPr>
              <w:t>　</w:t>
            </w:r>
          </w:p>
        </w:tc>
        <w:tc>
          <w:tcPr>
            <w:tcW w:w="157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2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41"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90" w:hRule="atLeast"/>
        </w:trPr>
        <w:tc>
          <w:tcPr>
            <w:tcW w:w="4354" w:type="dxa"/>
            <w:gridSpan w:val="5"/>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怀化市中心特殊教育学校</w:t>
            </w:r>
            <w:r>
              <w:rPr>
                <w:rFonts w:hint="eastAsia" w:ascii="宋体" w:hAnsi="宋体" w:eastAsia="宋体" w:cs="宋体"/>
                <w:kern w:val="0"/>
                <w:sz w:val="24"/>
                <w:szCs w:val="24"/>
              </w:rPr>
              <w:t>　　</w:t>
            </w:r>
          </w:p>
        </w:tc>
        <w:tc>
          <w:tcPr>
            <w:tcW w:w="129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9"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2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41"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38" w:hRule="atLeast"/>
        </w:trPr>
        <w:tc>
          <w:tcPr>
            <w:tcW w:w="4354"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2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4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5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7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04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438" w:hRule="atLeast"/>
        </w:trPr>
        <w:tc>
          <w:tcPr>
            <w:tcW w:w="1491"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863"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2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4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312" w:hRule="atLeast"/>
        </w:trPr>
        <w:tc>
          <w:tcPr>
            <w:tcW w:w="1491"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86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2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4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306" w:hRule="atLeast"/>
        </w:trPr>
        <w:tc>
          <w:tcPr>
            <w:tcW w:w="4354"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29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4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7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2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7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04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223" w:hRule="atLeast"/>
        </w:trPr>
        <w:tc>
          <w:tcPr>
            <w:tcW w:w="4354"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9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2013.74</w:t>
            </w:r>
            <w:r>
              <w:rPr>
                <w:rFonts w:hint="eastAsia" w:ascii="宋体" w:hAnsi="宋体" w:eastAsia="宋体" w:cs="宋体"/>
                <w:kern w:val="0"/>
                <w:sz w:val="24"/>
                <w:szCs w:val="24"/>
              </w:rPr>
              <w:t>　</w:t>
            </w:r>
          </w:p>
        </w:tc>
        <w:tc>
          <w:tcPr>
            <w:tcW w:w="164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765.98</w:t>
            </w:r>
            <w:r>
              <w:rPr>
                <w:rFonts w:hint="eastAsia" w:ascii="宋体" w:hAnsi="宋体" w:eastAsia="宋体" w:cs="宋体"/>
                <w:kern w:val="0"/>
                <w:sz w:val="24"/>
                <w:szCs w:val="24"/>
              </w:rPr>
              <w:t>　</w:t>
            </w:r>
          </w:p>
        </w:tc>
        <w:tc>
          <w:tcPr>
            <w:tcW w:w="157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1247.77</w:t>
            </w:r>
            <w:r>
              <w:rPr>
                <w:rFonts w:hint="eastAsia" w:ascii="宋体" w:hAnsi="宋体" w:eastAsia="宋体" w:cs="宋体"/>
                <w:kern w:val="0"/>
                <w:sz w:val="24"/>
                <w:szCs w:val="24"/>
              </w:rPr>
              <w:t>　</w:t>
            </w:r>
          </w:p>
        </w:tc>
        <w:tc>
          <w:tcPr>
            <w:tcW w:w="192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187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20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52"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一般公共服务支出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52"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20102</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政协事务</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90"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2010299</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30"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教育支出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1,907.17</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662.19</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1,244.99</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18"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普通教育</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771.98</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771.98</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70"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2050202</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81.01</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81.01</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70"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3.12</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3.12</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2"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687.85</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687.85</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18"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20507</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特殊教育</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1,135.19</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662.19</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473.01</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4"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2050701</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特殊学校教育</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875.97</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548.13</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327.84</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70"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2050799</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其他特殊教育支出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259.22</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114.05</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145.17</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94"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72.61</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72.61</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08"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72.61</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72.61</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87" w:hRule="atLeast"/>
        </w:trPr>
        <w:tc>
          <w:tcPr>
            <w:tcW w:w="1310"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04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62.11</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62.11</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17" w:hRule="atLeast"/>
        </w:trPr>
        <w:tc>
          <w:tcPr>
            <w:tcW w:w="138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296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40" w:hRule="atLeast"/>
        </w:trPr>
        <w:tc>
          <w:tcPr>
            <w:tcW w:w="138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296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64" w:hRule="atLeast"/>
        </w:trPr>
        <w:tc>
          <w:tcPr>
            <w:tcW w:w="138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296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64" w:hRule="atLeast"/>
        </w:trPr>
        <w:tc>
          <w:tcPr>
            <w:tcW w:w="138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296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106" w:hRule="atLeast"/>
        </w:trPr>
        <w:tc>
          <w:tcPr>
            <w:tcW w:w="138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296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64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157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92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7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38" w:hRule="atLeast"/>
        </w:trPr>
        <w:tc>
          <w:tcPr>
            <w:tcW w:w="14712"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p>
      <w:pPr>
        <w:widowControl/>
        <w:jc w:val="both"/>
        <w:rPr>
          <w:rFonts w:ascii="Times New Roman" w:hAnsi="Times New Roman" w:eastAsia="方正小标宋_GBK" w:cs="Times New Roman"/>
          <w:color w:val="000000"/>
          <w:kern w:val="0"/>
          <w:sz w:val="36"/>
          <w:szCs w:val="21"/>
        </w:rPr>
      </w:pPr>
    </w:p>
    <w:tbl>
      <w:tblPr>
        <w:tblStyle w:val="7"/>
        <w:tblW w:w="14974" w:type="dxa"/>
        <w:tblInd w:w="93" w:type="dxa"/>
        <w:tblLayout w:type="autofit"/>
        <w:tblCellMar>
          <w:top w:w="0" w:type="dxa"/>
          <w:left w:w="108" w:type="dxa"/>
          <w:bottom w:w="0" w:type="dxa"/>
          <w:right w:w="108" w:type="dxa"/>
        </w:tblCellMar>
      </w:tblPr>
      <w:tblGrid>
        <w:gridCol w:w="3468"/>
        <w:gridCol w:w="436"/>
        <w:gridCol w:w="1039"/>
        <w:gridCol w:w="477"/>
        <w:gridCol w:w="2812"/>
        <w:gridCol w:w="609"/>
        <w:gridCol w:w="418"/>
        <w:gridCol w:w="1515"/>
        <w:gridCol w:w="1343"/>
        <w:gridCol w:w="1343"/>
        <w:gridCol w:w="1515"/>
      </w:tblGrid>
      <w:tr>
        <w:tblPrEx>
          <w:tblCellMar>
            <w:top w:w="0" w:type="dxa"/>
            <w:left w:w="108" w:type="dxa"/>
            <w:bottom w:w="0" w:type="dxa"/>
            <w:right w:w="108" w:type="dxa"/>
          </w:tblCellMar>
        </w:tblPrEx>
        <w:trPr>
          <w:trHeight w:val="318" w:hRule="atLeast"/>
        </w:trPr>
        <w:tc>
          <w:tcPr>
            <w:tcW w:w="3468"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16"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421"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18"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1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4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4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1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636" w:hRule="atLeast"/>
        </w:trPr>
        <w:tc>
          <w:tcPr>
            <w:tcW w:w="14974"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318" w:hRule="atLeast"/>
        </w:trPr>
        <w:tc>
          <w:tcPr>
            <w:tcW w:w="346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3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98"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1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5"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18" w:hRule="atLeast"/>
        </w:trPr>
        <w:tc>
          <w:tcPr>
            <w:tcW w:w="3468" w:type="dxa"/>
            <w:tcBorders>
              <w:top w:val="nil"/>
              <w:left w:val="nil"/>
              <w:bottom w:val="nil"/>
              <w:right w:val="nil"/>
            </w:tcBorders>
            <w:shd w:val="clear" w:color="000000" w:fill="FFFFFF"/>
            <w:noWrap/>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怀化市中心特殊教育学校</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3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98"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1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5"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328" w:hRule="atLeast"/>
        </w:trPr>
        <w:tc>
          <w:tcPr>
            <w:tcW w:w="49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03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965"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3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3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2013.74</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2.78</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2.78</w:t>
            </w: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34</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36</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37</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1907.17</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1907.17</w:t>
            </w: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七、文化旅游体育与传媒支出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0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72.61</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72.61</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0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九、卫生健康支出</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31.18</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31.18</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0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4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34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2013.74</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2013.74</w:t>
            </w: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2013.74</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0</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646" w:hRule="atLeast"/>
        </w:trPr>
        <w:tc>
          <w:tcPr>
            <w:tcW w:w="346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2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28" w:hRule="atLeast"/>
        </w:trPr>
        <w:tc>
          <w:tcPr>
            <w:tcW w:w="346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3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2013.74</w:t>
            </w:r>
            <w:r>
              <w:rPr>
                <w:rFonts w:hint="eastAsia" w:ascii="宋体" w:hAnsi="宋体" w:eastAsia="宋体" w:cs="宋体"/>
                <w:kern w:val="0"/>
                <w:sz w:val="22"/>
              </w:rPr>
              <w:t>　</w:t>
            </w:r>
          </w:p>
        </w:tc>
        <w:tc>
          <w:tcPr>
            <w:tcW w:w="3289"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2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15" w:type="dxa"/>
            <w:tcBorders>
              <w:top w:val="nil"/>
              <w:left w:val="nil"/>
              <w:bottom w:val="single" w:color="auto" w:sz="4" w:space="0"/>
              <w:right w:val="single" w:color="auto" w:sz="4" w:space="0"/>
            </w:tcBorders>
            <w:shd w:val="clear" w:color="000000" w:fill="FFFFFF"/>
            <w:noWrap/>
            <w:vAlign w:val="center"/>
          </w:tcPr>
          <w:p>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2013.74</w:t>
            </w:r>
          </w:p>
        </w:tc>
        <w:tc>
          <w:tcPr>
            <w:tcW w:w="1343" w:type="dxa"/>
            <w:tcBorders>
              <w:top w:val="nil"/>
              <w:left w:val="nil"/>
              <w:bottom w:val="single" w:color="auto" w:sz="4" w:space="0"/>
              <w:right w:val="single" w:color="auto" w:sz="4" w:space="0"/>
            </w:tcBorders>
            <w:shd w:val="clear" w:color="000000" w:fill="FFFFFF"/>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2013.74</w:t>
            </w:r>
            <w:r>
              <w:rPr>
                <w:rFonts w:hint="eastAsia" w:ascii="宋体" w:hAnsi="宋体" w:eastAsia="宋体" w:cs="宋体"/>
                <w:kern w:val="0"/>
                <w:sz w:val="22"/>
              </w:rPr>
              <w:t>　</w:t>
            </w:r>
          </w:p>
        </w:tc>
        <w:tc>
          <w:tcPr>
            <w:tcW w:w="134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0</w:t>
            </w:r>
          </w:p>
        </w:tc>
        <w:tc>
          <w:tcPr>
            <w:tcW w:w="151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b/>
                <w:bCs/>
                <w:kern w:val="0"/>
                <w:sz w:val="22"/>
                <w:lang w:val="en-US" w:eastAsia="zh-CN"/>
              </w:rPr>
            </w:pPr>
            <w:r>
              <w:rPr>
                <w:rFonts w:hint="eastAsia" w:ascii="宋体" w:hAnsi="宋体" w:eastAsia="宋体" w:cs="宋体"/>
                <w:b/>
                <w:bCs/>
                <w:kern w:val="0"/>
                <w:sz w:val="22"/>
              </w:rPr>
              <w:t>　</w:t>
            </w:r>
            <w:r>
              <w:rPr>
                <w:rFonts w:hint="eastAsia" w:ascii="宋体" w:hAnsi="宋体" w:eastAsia="宋体" w:cs="宋体"/>
                <w:b/>
                <w:bCs/>
                <w:kern w:val="0"/>
                <w:sz w:val="22"/>
                <w:lang w:val="en-US" w:eastAsia="zh-CN"/>
              </w:rPr>
              <w:t>0</w:t>
            </w:r>
          </w:p>
        </w:tc>
      </w:tr>
      <w:tr>
        <w:tblPrEx>
          <w:tblCellMar>
            <w:top w:w="0" w:type="dxa"/>
            <w:left w:w="108" w:type="dxa"/>
            <w:bottom w:w="0" w:type="dxa"/>
            <w:right w:w="108" w:type="dxa"/>
          </w:tblCellMar>
        </w:tblPrEx>
        <w:trPr>
          <w:trHeight w:val="328" w:hRule="atLeast"/>
        </w:trPr>
        <w:tc>
          <w:tcPr>
            <w:tcW w:w="14974"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both"/>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ind w:left="13020" w:hanging="13020" w:hangingChars="620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p>
    <w:p>
      <w:pPr>
        <w:widowControl/>
        <w:spacing w:before="156" w:beforeLines="50"/>
        <w:ind w:left="13020" w:hanging="13020" w:hangingChars="62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怀化市中心特殊教育学校</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7"/>
        <w:tblW w:w="14059" w:type="dxa"/>
        <w:jc w:val="center"/>
        <w:tblLayout w:type="autofit"/>
        <w:tblCellMar>
          <w:top w:w="0" w:type="dxa"/>
          <w:left w:w="108" w:type="dxa"/>
          <w:bottom w:w="0" w:type="dxa"/>
          <w:right w:w="108" w:type="dxa"/>
        </w:tblCellMar>
      </w:tblPr>
      <w:tblGrid>
        <w:gridCol w:w="1186"/>
        <w:gridCol w:w="4030"/>
        <w:gridCol w:w="2422"/>
        <w:gridCol w:w="3452"/>
        <w:gridCol w:w="2969"/>
      </w:tblGrid>
      <w:tr>
        <w:tblPrEx>
          <w:tblCellMar>
            <w:top w:w="0" w:type="dxa"/>
            <w:left w:w="108" w:type="dxa"/>
            <w:bottom w:w="0" w:type="dxa"/>
            <w:right w:w="108" w:type="dxa"/>
          </w:tblCellMar>
        </w:tblPrEx>
        <w:trPr>
          <w:trHeight w:val="230" w:hRule="atLeast"/>
          <w:jc w:val="center"/>
        </w:trPr>
        <w:tc>
          <w:tcPr>
            <w:tcW w:w="5216"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843"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65" w:hRule="atLeast"/>
          <w:jc w:val="center"/>
        </w:trPr>
        <w:tc>
          <w:tcPr>
            <w:tcW w:w="1186"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03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42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5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969"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465" w:hRule="atLeast"/>
          <w:jc w:val="center"/>
        </w:trPr>
        <w:tc>
          <w:tcPr>
            <w:tcW w:w="1186"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03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42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5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969"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186"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4030"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42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5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969"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238" w:hRule="atLeast"/>
          <w:jc w:val="center"/>
        </w:trPr>
        <w:tc>
          <w:tcPr>
            <w:tcW w:w="521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4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5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969"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208" w:hRule="atLeast"/>
          <w:jc w:val="center"/>
        </w:trPr>
        <w:tc>
          <w:tcPr>
            <w:tcW w:w="5216"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4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2013.74</w:t>
            </w:r>
            <w:r>
              <w:rPr>
                <w:rFonts w:ascii="Times New Roman" w:hAnsi="Times New Roman" w:eastAsia="仿宋_GB2312" w:cs="Times New Roman"/>
                <w:kern w:val="0"/>
                <w:szCs w:val="21"/>
              </w:rPr>
              <w:t>　</w:t>
            </w:r>
          </w:p>
        </w:tc>
        <w:tc>
          <w:tcPr>
            <w:tcW w:w="3452"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765.98</w:t>
            </w:r>
          </w:p>
        </w:tc>
        <w:tc>
          <w:tcPr>
            <w:tcW w:w="2969" w:type="dxa"/>
            <w:tcBorders>
              <w:top w:val="nil"/>
              <w:left w:val="nil"/>
              <w:bottom w:val="single" w:color="auto" w:sz="4" w:space="0"/>
              <w:right w:val="single" w:color="auto" w:sz="8"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1247.77</w:t>
            </w:r>
          </w:p>
        </w:tc>
      </w:tr>
      <w:tr>
        <w:tblPrEx>
          <w:tblCellMar>
            <w:top w:w="0" w:type="dxa"/>
            <w:left w:w="108" w:type="dxa"/>
            <w:bottom w:w="0" w:type="dxa"/>
            <w:right w:w="108" w:type="dxa"/>
          </w:tblCellMar>
        </w:tblPrEx>
        <w:trPr>
          <w:trHeight w:val="223" w:hRule="atLeast"/>
          <w:jc w:val="center"/>
        </w:trPr>
        <w:tc>
          <w:tcPr>
            <w:tcW w:w="118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40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24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w:t>
            </w:r>
          </w:p>
        </w:tc>
        <w:tc>
          <w:tcPr>
            <w:tcW w:w="345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969"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w:t>
            </w:r>
          </w:p>
        </w:tc>
      </w:tr>
      <w:tr>
        <w:tblPrEx>
          <w:tblCellMar>
            <w:top w:w="0" w:type="dxa"/>
            <w:left w:w="108" w:type="dxa"/>
            <w:bottom w:w="0" w:type="dxa"/>
            <w:right w:w="108" w:type="dxa"/>
          </w:tblCellMar>
        </w:tblPrEx>
        <w:trPr>
          <w:trHeight w:val="249" w:hRule="atLeast"/>
          <w:jc w:val="center"/>
        </w:trPr>
        <w:tc>
          <w:tcPr>
            <w:tcW w:w="118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w:t>
            </w:r>
          </w:p>
        </w:tc>
        <w:tc>
          <w:tcPr>
            <w:tcW w:w="40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政协事务</w:t>
            </w:r>
          </w:p>
        </w:tc>
        <w:tc>
          <w:tcPr>
            <w:tcW w:w="24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w:t>
            </w:r>
          </w:p>
        </w:tc>
        <w:tc>
          <w:tcPr>
            <w:tcW w:w="345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969"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w:t>
            </w:r>
          </w:p>
        </w:tc>
      </w:tr>
      <w:tr>
        <w:tblPrEx>
          <w:tblCellMar>
            <w:top w:w="0" w:type="dxa"/>
            <w:left w:w="108" w:type="dxa"/>
            <w:bottom w:w="0" w:type="dxa"/>
            <w:right w:w="108" w:type="dxa"/>
          </w:tblCellMar>
        </w:tblPrEx>
        <w:trPr>
          <w:trHeight w:val="297" w:hRule="atLeast"/>
          <w:jc w:val="center"/>
        </w:trPr>
        <w:tc>
          <w:tcPr>
            <w:tcW w:w="118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2010299</w:t>
            </w:r>
          </w:p>
        </w:tc>
        <w:tc>
          <w:tcPr>
            <w:tcW w:w="40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其他政协事务支出</w:t>
            </w:r>
          </w:p>
        </w:tc>
        <w:tc>
          <w:tcPr>
            <w:tcW w:w="24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w:t>
            </w:r>
          </w:p>
        </w:tc>
        <w:tc>
          <w:tcPr>
            <w:tcW w:w="345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969"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2.78</w:t>
            </w:r>
          </w:p>
        </w:tc>
      </w:tr>
      <w:tr>
        <w:tblPrEx>
          <w:tblCellMar>
            <w:top w:w="0" w:type="dxa"/>
            <w:left w:w="108" w:type="dxa"/>
            <w:bottom w:w="0" w:type="dxa"/>
            <w:right w:w="108" w:type="dxa"/>
          </w:tblCellMar>
        </w:tblPrEx>
        <w:trPr>
          <w:trHeight w:val="273" w:hRule="atLeast"/>
          <w:jc w:val="center"/>
        </w:trPr>
        <w:tc>
          <w:tcPr>
            <w:tcW w:w="118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40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24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1,907.17</w:t>
            </w:r>
          </w:p>
        </w:tc>
        <w:tc>
          <w:tcPr>
            <w:tcW w:w="345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662.19</w:t>
            </w:r>
          </w:p>
        </w:tc>
        <w:tc>
          <w:tcPr>
            <w:tcW w:w="2969"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1,244.99</w:t>
            </w:r>
          </w:p>
        </w:tc>
      </w:tr>
      <w:tr>
        <w:tblPrEx>
          <w:tblCellMar>
            <w:top w:w="0" w:type="dxa"/>
            <w:left w:w="108" w:type="dxa"/>
            <w:bottom w:w="0" w:type="dxa"/>
            <w:right w:w="108" w:type="dxa"/>
          </w:tblCellMar>
        </w:tblPrEx>
        <w:trPr>
          <w:trHeight w:val="273" w:hRule="atLeast"/>
          <w:jc w:val="center"/>
        </w:trPr>
        <w:tc>
          <w:tcPr>
            <w:tcW w:w="1186"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40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24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771.98</w:t>
            </w:r>
          </w:p>
        </w:tc>
        <w:tc>
          <w:tcPr>
            <w:tcW w:w="345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969"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771.98</w:t>
            </w:r>
          </w:p>
        </w:tc>
      </w:tr>
      <w:tr>
        <w:tblPrEx>
          <w:tblCellMar>
            <w:top w:w="0" w:type="dxa"/>
            <w:left w:w="108" w:type="dxa"/>
            <w:bottom w:w="0" w:type="dxa"/>
            <w:right w:w="108" w:type="dxa"/>
          </w:tblCellMar>
        </w:tblPrEx>
        <w:trPr>
          <w:trHeight w:val="287"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2050202</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81.01</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81.01</w:t>
            </w:r>
          </w:p>
        </w:tc>
      </w:tr>
      <w:tr>
        <w:tblPrEx>
          <w:tblCellMar>
            <w:top w:w="0" w:type="dxa"/>
            <w:left w:w="108" w:type="dxa"/>
            <w:bottom w:w="0" w:type="dxa"/>
            <w:right w:w="108" w:type="dxa"/>
          </w:tblCellMar>
        </w:tblPrEx>
        <w:trPr>
          <w:trHeight w:val="287"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2050204</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w:t>
            </w:r>
          </w:p>
        </w:tc>
      </w:tr>
      <w:tr>
        <w:tblPrEx>
          <w:tblCellMar>
            <w:top w:w="0" w:type="dxa"/>
            <w:left w:w="108" w:type="dxa"/>
            <w:bottom w:w="0" w:type="dxa"/>
            <w:right w:w="108" w:type="dxa"/>
          </w:tblCellMar>
        </w:tblPrEx>
        <w:trPr>
          <w:trHeight w:val="287"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2050299</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687.85</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687.85</w:t>
            </w:r>
          </w:p>
        </w:tc>
      </w:tr>
      <w:tr>
        <w:tblPrEx>
          <w:tblCellMar>
            <w:top w:w="0" w:type="dxa"/>
            <w:left w:w="108" w:type="dxa"/>
            <w:bottom w:w="0" w:type="dxa"/>
            <w:right w:w="108" w:type="dxa"/>
          </w:tblCellMar>
        </w:tblPrEx>
        <w:trPr>
          <w:trHeight w:val="287"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20507</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特殊教育</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1,135.19</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662.19</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473.01</w:t>
            </w:r>
          </w:p>
        </w:tc>
      </w:tr>
      <w:tr>
        <w:tblPrEx>
          <w:tblCellMar>
            <w:top w:w="0" w:type="dxa"/>
            <w:left w:w="108" w:type="dxa"/>
            <w:bottom w:w="0" w:type="dxa"/>
            <w:right w:w="108" w:type="dxa"/>
          </w:tblCellMar>
        </w:tblPrEx>
        <w:trPr>
          <w:trHeight w:val="287"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2050701</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特殊学校教育</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875.97</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548.13</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327.84</w:t>
            </w:r>
          </w:p>
        </w:tc>
      </w:tr>
      <w:tr>
        <w:tblPrEx>
          <w:tblCellMar>
            <w:top w:w="0" w:type="dxa"/>
            <w:left w:w="108" w:type="dxa"/>
            <w:bottom w:w="0" w:type="dxa"/>
            <w:right w:w="108" w:type="dxa"/>
          </w:tblCellMar>
        </w:tblPrEx>
        <w:trPr>
          <w:trHeight w:val="287"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2050799</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其他特殊教育支出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259.22</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114.05</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145.17</w:t>
            </w:r>
          </w:p>
        </w:tc>
      </w:tr>
      <w:tr>
        <w:tblPrEx>
          <w:tblCellMar>
            <w:top w:w="0" w:type="dxa"/>
            <w:left w:w="108" w:type="dxa"/>
            <w:bottom w:w="0" w:type="dxa"/>
            <w:right w:w="108" w:type="dxa"/>
          </w:tblCellMar>
        </w:tblPrEx>
        <w:trPr>
          <w:trHeight w:val="287"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72.61</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72.61</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52"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72.61</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72.61</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16"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62.11</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62.11</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52"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04"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40"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168"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40"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10.50</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192"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40"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40" w:hRule="atLeast"/>
          <w:jc w:val="center"/>
        </w:trPr>
        <w:tc>
          <w:tcPr>
            <w:tcW w:w="1186"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03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4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345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31.18</w:t>
            </w:r>
          </w:p>
        </w:tc>
        <w:tc>
          <w:tcPr>
            <w:tcW w:w="2969"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12" w:hRule="atLeast"/>
          <w:jc w:val="center"/>
        </w:trPr>
        <w:tc>
          <w:tcPr>
            <w:tcW w:w="1405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tbl>
      <w:tblPr>
        <w:tblStyle w:val="7"/>
        <w:tblW w:w="14406" w:type="dxa"/>
        <w:tblInd w:w="0" w:type="dxa"/>
        <w:tblLayout w:type="fixed"/>
        <w:tblCellMar>
          <w:top w:w="0" w:type="dxa"/>
          <w:left w:w="108" w:type="dxa"/>
          <w:bottom w:w="0" w:type="dxa"/>
          <w:right w:w="108" w:type="dxa"/>
        </w:tblCellMar>
      </w:tblPr>
      <w:tblGrid>
        <w:gridCol w:w="920"/>
        <w:gridCol w:w="237"/>
        <w:gridCol w:w="86"/>
        <w:gridCol w:w="1190"/>
        <w:gridCol w:w="1862"/>
        <w:gridCol w:w="56"/>
        <w:gridCol w:w="887"/>
        <w:gridCol w:w="775"/>
        <w:gridCol w:w="280"/>
        <w:gridCol w:w="1849"/>
        <w:gridCol w:w="70"/>
        <w:gridCol w:w="734"/>
        <w:gridCol w:w="879"/>
        <w:gridCol w:w="323"/>
        <w:gridCol w:w="1918"/>
        <w:gridCol w:w="1551"/>
        <w:gridCol w:w="367"/>
        <w:gridCol w:w="422"/>
      </w:tblGrid>
      <w:tr>
        <w:tblPrEx>
          <w:tblCellMar>
            <w:top w:w="0" w:type="dxa"/>
            <w:left w:w="108" w:type="dxa"/>
            <w:bottom w:w="0" w:type="dxa"/>
            <w:right w:w="108" w:type="dxa"/>
          </w:tblCellMar>
        </w:tblPrEx>
        <w:trPr>
          <w:trHeight w:val="1020" w:hRule="atLeast"/>
        </w:trPr>
        <w:tc>
          <w:tcPr>
            <w:tcW w:w="14406"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val="en-US" w:eastAsia="zh-CN"/>
              </w:rPr>
              <w:t>怀化市中心特殊教育学校</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600" w:hRule="atLeast"/>
        </w:trPr>
        <w:tc>
          <w:tcPr>
            <w:tcW w:w="12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05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4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7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2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0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7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79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8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754.76</w:t>
            </w: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277547、</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278.71</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p>
            <w:pPr>
              <w:widowControl/>
              <w:jc w:val="center"/>
              <w:rPr>
                <w:rFonts w:hint="eastAsia" w:ascii="宋体" w:hAnsi="宋体" w:eastAsia="宋体" w:cs="宋体"/>
                <w:color w:val="000000"/>
                <w:kern w:val="0"/>
                <w:szCs w:val="20"/>
                <w:lang w:val="en-US" w:eastAsia="zh-CN"/>
              </w:rPr>
            </w:pP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200.16</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173.72</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62.11</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31.18</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8.88</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11.22</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0.72</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10.50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243"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05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7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2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0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87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358" w:hRule="exact"/>
        </w:trPr>
        <w:tc>
          <w:tcPr>
            <w:tcW w:w="429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4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765.98</w:t>
            </w:r>
          </w:p>
        </w:tc>
        <w:tc>
          <w:tcPr>
            <w:tcW w:w="8379"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789"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0</w:t>
            </w:r>
          </w:p>
        </w:tc>
      </w:tr>
      <w:tr>
        <w:tblPrEx>
          <w:tblCellMar>
            <w:top w:w="0" w:type="dxa"/>
            <w:left w:w="108" w:type="dxa"/>
            <w:bottom w:w="0" w:type="dxa"/>
            <w:right w:w="108" w:type="dxa"/>
          </w:tblCellMar>
        </w:tblPrEx>
        <w:trPr>
          <w:trHeight w:val="284" w:hRule="exact"/>
        </w:trPr>
        <w:tc>
          <w:tcPr>
            <w:tcW w:w="14406"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70" w:hRule="atLeast"/>
        </w:trPr>
        <w:tc>
          <w:tcPr>
            <w:tcW w:w="13984" w:type="dxa"/>
            <w:gridSpan w:val="17"/>
            <w:tcBorders>
              <w:top w:val="nil"/>
              <w:left w:val="nil"/>
              <w:bottom w:val="nil"/>
              <w:right w:val="nil"/>
            </w:tcBorders>
            <w:shd w:val="clear" w:color="auto" w:fill="FFFFFF"/>
            <w:vAlign w:val="center"/>
          </w:tcPr>
          <w:p>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264" w:hRule="atLeast"/>
        </w:trPr>
        <w:tc>
          <w:tcPr>
            <w:tcW w:w="92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7"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276"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918"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4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3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18"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1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10" w:hRule="atLeast"/>
        </w:trPr>
        <w:tc>
          <w:tcPr>
            <w:tcW w:w="4351" w:type="dxa"/>
            <w:gridSpan w:val="6"/>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部门：怀化市中心特殊教育学校</w:t>
            </w:r>
          </w:p>
        </w:tc>
        <w:tc>
          <w:tcPr>
            <w:tcW w:w="194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36"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18"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91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459" w:hRule="atLeast"/>
        </w:trPr>
        <w:tc>
          <w:tcPr>
            <w:tcW w:w="2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1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19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577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1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609" w:hRule="atLeast"/>
        </w:trPr>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2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93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409" w:hRule="atLeast"/>
        </w:trPr>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3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3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2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2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509" w:hRule="atLeast"/>
        </w:trPr>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2" w:type="dxa"/>
          <w:trHeight w:val="725" w:hRule="atLeast"/>
        </w:trPr>
        <w:tc>
          <w:tcPr>
            <w:tcW w:w="13984"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tbl>
      <w:tblPr>
        <w:tblStyle w:val="7"/>
        <w:tblpPr w:leftFromText="180" w:rightFromText="180" w:vertAnchor="text" w:horzAnchor="page" w:tblpX="1352" w:tblpY="195"/>
        <w:tblOverlap w:val="never"/>
        <w:tblW w:w="15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319" w:type="dxa"/>
            <w:gridSpan w:val="3"/>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部门：怀化市中心特殊教育学校</w:t>
            </w: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tbl>
      <w:tblPr>
        <w:tblStyle w:val="7"/>
        <w:tblpPr w:leftFromText="180" w:rightFromText="180" w:vertAnchor="text" w:horzAnchor="page" w:tblpX="1256" w:tblpY="192"/>
        <w:tblOverlap w:val="never"/>
        <w:tblW w:w="15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both"/>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部门：怀化市中心特殊教育学校</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jc w:val="left"/>
        <w:rPr>
          <w:rFonts w:ascii="宋体" w:eastAsia="宋体" w:cs="宋体"/>
          <w:kern w:val="0"/>
          <w:sz w:val="24"/>
          <w:szCs w:val="24"/>
        </w:rPr>
        <w:sectPr>
          <w:pgSz w:w="16838" w:h="11906" w:orient="landscape"/>
          <w:pgMar w:top="0" w:right="1417" w:bottom="0" w:left="1361" w:header="851" w:footer="992" w:gutter="0"/>
          <w:cols w:space="425" w:num="1"/>
          <w:docGrid w:type="linesAndChars" w:linePitch="312" w:charSpace="0"/>
        </w:sectPr>
      </w:pPr>
    </w:p>
    <w:p>
      <w:pPr>
        <w:pStyle w:val="14"/>
        <w:jc w:val="both"/>
        <w:rPr>
          <w:rFonts w:hint="eastAsia" w:ascii="方正小标宋_GBK" w:hAnsi="方正小标宋_GBK" w:eastAsia="方正小标宋_GBK" w:cs="方正小标宋_GBK"/>
          <w:sz w:val="84"/>
          <w:szCs w:val="84"/>
        </w:rPr>
      </w:pPr>
    </w:p>
    <w:p>
      <w:pPr>
        <w:pStyle w:val="14"/>
        <w:jc w:val="both"/>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rPr>
        <w:t> </w:t>
      </w:r>
      <w:r>
        <w:rPr>
          <w:rFonts w:hint="eastAsia" w:ascii="方正小标宋_GBK" w:hAnsi="方正小标宋_GBK" w:eastAsia="方正小标宋_GBK" w:cs="方正小标宋_GBK"/>
          <w:sz w:val="84"/>
          <w:szCs w:val="84"/>
          <w:lang w:val="en-US" w:eastAsia="zh-CN"/>
        </w:rPr>
        <w:t>第三部分</w:t>
      </w:r>
    </w:p>
    <w:p>
      <w:pPr>
        <w:pStyle w:val="14"/>
        <w:jc w:val="center"/>
        <w:rPr>
          <w:rFonts w:hint="eastAsia" w:ascii="方正小标宋_GBK" w:hAnsi="方正小标宋_GBK" w:eastAsia="方正小标宋_GBK" w:cs="方正小标宋_GBK"/>
          <w:sz w:val="84"/>
          <w:szCs w:val="84"/>
          <w:lang w:val="en-US" w:eastAsia="zh-CN"/>
        </w:rPr>
      </w:pPr>
    </w:p>
    <w:p>
      <w:pPr>
        <w:pStyle w:val="14"/>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2022年度部门决算情况说明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Style w:val="10"/>
          <w:rFonts w:hint="eastAsia" w:ascii="黑体" w:hAnsi="黑体" w:eastAsia="黑体" w:cs="黑体"/>
          <w:b w:val="0"/>
          <w:bCs w:val="0"/>
          <w:i w:val="0"/>
          <w:iCs w:val="0"/>
          <w:caps w:val="0"/>
          <w:color w:val="auto"/>
          <w:spacing w:val="0"/>
          <w:sz w:val="32"/>
          <w:szCs w:val="32"/>
          <w:shd w:val="clear" w:color="auto" w:fill="FFFFFF"/>
        </w:rPr>
      </w:pPr>
      <w:r>
        <w:rPr>
          <w:rStyle w:val="10"/>
          <w:rFonts w:hint="eastAsia" w:ascii="黑体" w:hAnsi="黑体" w:eastAsia="黑体" w:cs="黑体"/>
          <w:b w:val="0"/>
          <w:bCs w:val="0"/>
          <w:i w:val="0"/>
          <w:iCs w:val="0"/>
          <w:caps w:val="0"/>
          <w:color w:val="auto"/>
          <w:spacing w:val="0"/>
          <w:sz w:val="32"/>
          <w:szCs w:val="32"/>
          <w:shd w:val="clear" w:color="auto" w:fill="FFFFFF"/>
        </w:rPr>
        <w:t>收入支出决算总体情况说明</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righ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年度收、支总计</w:t>
      </w:r>
      <w:r>
        <w:rPr>
          <w:rFonts w:hint="eastAsia" w:ascii="仿宋" w:hAnsi="仿宋" w:eastAsia="仿宋" w:cs="仿宋"/>
          <w:color w:val="auto"/>
          <w:sz w:val="32"/>
          <w:szCs w:val="32"/>
          <w:lang w:val="en-US" w:eastAsia="zh-CN"/>
        </w:rPr>
        <w:t>各2013.74</w:t>
      </w:r>
      <w:r>
        <w:rPr>
          <w:rFonts w:hint="eastAsia" w:ascii="仿宋" w:hAnsi="仿宋" w:eastAsia="仿宋" w:cs="仿宋"/>
          <w:color w:val="auto"/>
          <w:sz w:val="32"/>
          <w:szCs w:val="32"/>
        </w:rPr>
        <w:t>万元。与上年</w:t>
      </w:r>
      <w:r>
        <w:rPr>
          <w:rFonts w:hint="eastAsia" w:ascii="仿宋" w:hAnsi="仿宋" w:eastAsia="仿宋" w:cs="仿宋"/>
          <w:color w:val="auto"/>
          <w:sz w:val="32"/>
          <w:szCs w:val="32"/>
          <w:lang w:val="en-US" w:eastAsia="zh-CN"/>
        </w:rPr>
        <w:t>2,334.63</w:t>
      </w:r>
      <w:r>
        <w:rPr>
          <w:rFonts w:hint="eastAsia" w:ascii="仿宋" w:hAnsi="仿宋" w:eastAsia="仿宋" w:cs="仿宋"/>
          <w:color w:val="auto"/>
          <w:sz w:val="32"/>
          <w:szCs w:val="32"/>
        </w:rPr>
        <w:t>万元相比，</w:t>
      </w:r>
      <w:r>
        <w:rPr>
          <w:rFonts w:hint="eastAsia" w:ascii="仿宋" w:hAnsi="仿宋" w:eastAsia="仿宋" w:cs="仿宋"/>
          <w:color w:val="auto"/>
          <w:sz w:val="32"/>
          <w:szCs w:val="32"/>
          <w:lang w:val="en-US" w:eastAsia="zh-CN"/>
        </w:rPr>
        <w:t>减少320.89</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减少13.74</w:t>
      </w:r>
      <w:r>
        <w:rPr>
          <w:rFonts w:hint="eastAsia" w:ascii="仿宋" w:hAnsi="仿宋" w:eastAsia="仿宋" w:cs="仿宋"/>
          <w:color w:val="auto"/>
          <w:sz w:val="32"/>
          <w:szCs w:val="32"/>
        </w:rPr>
        <w:t>%，主要是</w:t>
      </w:r>
      <w:r>
        <w:rPr>
          <w:rFonts w:hint="eastAsia" w:ascii="仿宋" w:hAnsi="仿宋" w:eastAsia="仿宋" w:cs="仿宋"/>
          <w:color w:val="auto"/>
          <w:sz w:val="32"/>
          <w:szCs w:val="32"/>
          <w:highlight w:val="none"/>
        </w:rPr>
        <w:t>因为</w:t>
      </w:r>
      <w:r>
        <w:rPr>
          <w:rFonts w:hint="eastAsia" w:ascii="仿宋" w:hAnsi="仿宋" w:eastAsia="仿宋" w:cs="仿宋"/>
          <w:color w:val="auto"/>
          <w:sz w:val="32"/>
          <w:szCs w:val="32"/>
        </w:rPr>
        <w:t>本年</w:t>
      </w:r>
      <w:r>
        <w:rPr>
          <w:rFonts w:hint="eastAsia" w:ascii="仿宋" w:hAnsi="仿宋" w:eastAsia="仿宋" w:cs="仿宋"/>
          <w:color w:val="auto"/>
          <w:sz w:val="32"/>
          <w:szCs w:val="32"/>
          <w:lang w:val="en-US" w:eastAsia="zh-CN"/>
        </w:rPr>
        <w:t>学校一期改扩建</w:t>
      </w:r>
      <w:r>
        <w:rPr>
          <w:rFonts w:hint="eastAsia" w:ascii="仿宋" w:hAnsi="仿宋" w:eastAsia="仿宋" w:cs="仿宋"/>
          <w:color w:val="auto"/>
          <w:sz w:val="32"/>
          <w:szCs w:val="32"/>
        </w:rPr>
        <w:t>工程建设项目</w:t>
      </w:r>
      <w:r>
        <w:rPr>
          <w:rFonts w:hint="eastAsia" w:ascii="仿宋" w:hAnsi="仿宋" w:eastAsia="仿宋" w:cs="仿宋"/>
          <w:color w:val="auto"/>
          <w:sz w:val="32"/>
          <w:szCs w:val="32"/>
          <w:lang w:val="en-US" w:eastAsia="zh-CN"/>
        </w:rPr>
        <w:t>验收完工，所有工程款已支付完成</w:t>
      </w:r>
      <w:r>
        <w:rPr>
          <w:rFonts w:hint="eastAsia" w:ascii="仿宋" w:hAnsi="仿宋" w:eastAsia="仿宋" w:cs="仿宋"/>
          <w:color w:val="auto"/>
          <w:sz w:val="32"/>
          <w:szCs w:val="32"/>
        </w:rPr>
        <w:t>所致</w:t>
      </w:r>
      <w:r>
        <w:rPr>
          <w:rFonts w:hint="eastAsia" w:ascii="仿宋" w:hAnsi="仿宋" w:eastAsia="仿宋" w:cs="仿宋"/>
          <w:color w:val="auto"/>
          <w:sz w:val="32"/>
          <w:szCs w:val="32"/>
          <w:lang w:eastAsia="zh-CN"/>
        </w:rPr>
        <w:t>。</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年度收入合计</w:t>
      </w:r>
      <w:r>
        <w:rPr>
          <w:rFonts w:hint="eastAsia" w:ascii="仿宋" w:hAnsi="仿宋" w:eastAsia="仿宋" w:cs="仿宋"/>
          <w:color w:val="auto"/>
          <w:sz w:val="32"/>
          <w:szCs w:val="32"/>
          <w:lang w:val="en-US" w:eastAsia="zh-CN"/>
        </w:rPr>
        <w:t>2013.74</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eastAsia="zh-CN"/>
        </w:rPr>
        <w:t>2013.74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%；上级补助收入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%；事业收入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%；附属单位上缴收入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%；其他收入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占</w:t>
      </w:r>
      <w:r>
        <w:rPr>
          <w:rFonts w:hint="eastAsia" w:ascii="仿宋" w:hAnsi="仿宋" w:eastAsia="仿宋" w:cs="仿宋"/>
          <w:color w:val="auto"/>
          <w:sz w:val="32"/>
          <w:szCs w:val="32"/>
        </w:rPr>
        <w:t>0%。</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年度支出合计</w:t>
      </w:r>
      <w:r>
        <w:rPr>
          <w:rFonts w:hint="eastAsia" w:ascii="仿宋" w:hAnsi="仿宋" w:eastAsia="仿宋" w:cs="仿宋"/>
          <w:color w:val="auto"/>
          <w:sz w:val="32"/>
          <w:szCs w:val="32"/>
          <w:lang w:val="en-US" w:eastAsia="zh-CN"/>
        </w:rPr>
        <w:t>2013.74</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765.98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38.04</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eastAsia="zh-CN"/>
        </w:rPr>
        <w:t>1247.77</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61.96</w:t>
      </w:r>
      <w:r>
        <w:rPr>
          <w:rFonts w:hint="eastAsia" w:ascii="仿宋" w:hAnsi="仿宋" w:eastAsia="仿宋" w:cs="仿宋"/>
          <w:color w:val="auto"/>
          <w:sz w:val="32"/>
          <w:szCs w:val="32"/>
        </w:rPr>
        <w:t>%；上缴上级支出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%；对附属单位补助支出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年度财政拨款收、支总计</w:t>
      </w:r>
      <w:r>
        <w:rPr>
          <w:rFonts w:hint="eastAsia" w:ascii="仿宋" w:hAnsi="仿宋" w:eastAsia="仿宋" w:cs="仿宋"/>
          <w:color w:val="auto"/>
          <w:sz w:val="32"/>
          <w:szCs w:val="32"/>
          <w:lang w:val="en-US" w:eastAsia="zh-CN"/>
        </w:rPr>
        <w:t>各2013.74</w:t>
      </w:r>
      <w:r>
        <w:rPr>
          <w:rFonts w:hint="eastAsia" w:ascii="仿宋" w:hAnsi="仿宋" w:eastAsia="仿宋" w:cs="仿宋"/>
          <w:color w:val="auto"/>
          <w:sz w:val="32"/>
          <w:szCs w:val="32"/>
        </w:rPr>
        <w:t>万元，与上年</w:t>
      </w:r>
      <w:r>
        <w:rPr>
          <w:rFonts w:hint="eastAsia" w:ascii="仿宋" w:hAnsi="仿宋" w:eastAsia="仿宋" w:cs="仿宋"/>
          <w:color w:val="auto"/>
          <w:sz w:val="32"/>
          <w:szCs w:val="32"/>
          <w:lang w:val="en-US" w:eastAsia="zh-CN"/>
        </w:rPr>
        <w:t>2,324.63万元</w:t>
      </w:r>
      <w:r>
        <w:rPr>
          <w:rFonts w:hint="eastAsia" w:ascii="仿宋" w:hAnsi="仿宋" w:eastAsia="仿宋" w:cs="仿宋"/>
          <w:color w:val="auto"/>
          <w:sz w:val="32"/>
          <w:szCs w:val="32"/>
        </w:rPr>
        <w:t>相比，</w:t>
      </w:r>
      <w:r>
        <w:rPr>
          <w:rFonts w:hint="eastAsia" w:ascii="仿宋" w:hAnsi="仿宋" w:eastAsia="仿宋" w:cs="仿宋"/>
          <w:color w:val="auto"/>
          <w:sz w:val="32"/>
          <w:szCs w:val="32"/>
          <w:lang w:val="en-US" w:eastAsia="zh-CN"/>
        </w:rPr>
        <w:t>减少310.89</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减少13.37</w:t>
      </w:r>
      <w:r>
        <w:rPr>
          <w:rFonts w:hint="eastAsia" w:ascii="仿宋" w:hAnsi="仿宋" w:eastAsia="仿宋" w:cs="仿宋"/>
          <w:color w:val="auto"/>
          <w:sz w:val="32"/>
          <w:szCs w:val="32"/>
        </w:rPr>
        <w:t>%，主要是</w:t>
      </w:r>
      <w:r>
        <w:rPr>
          <w:rFonts w:hint="eastAsia" w:ascii="仿宋" w:hAnsi="仿宋" w:eastAsia="仿宋" w:cs="仿宋"/>
          <w:color w:val="auto"/>
          <w:sz w:val="32"/>
          <w:szCs w:val="32"/>
          <w:highlight w:val="none"/>
        </w:rPr>
        <w:t>因为</w:t>
      </w:r>
      <w:r>
        <w:rPr>
          <w:rFonts w:hint="eastAsia" w:ascii="仿宋" w:hAnsi="仿宋" w:eastAsia="仿宋" w:cs="仿宋"/>
          <w:color w:val="auto"/>
          <w:sz w:val="32"/>
          <w:szCs w:val="32"/>
        </w:rPr>
        <w:t>本年</w:t>
      </w:r>
      <w:r>
        <w:rPr>
          <w:rFonts w:hint="eastAsia" w:ascii="仿宋" w:hAnsi="仿宋" w:eastAsia="仿宋" w:cs="仿宋"/>
          <w:color w:val="auto"/>
          <w:sz w:val="32"/>
          <w:szCs w:val="32"/>
          <w:lang w:val="en-US" w:eastAsia="zh-CN"/>
        </w:rPr>
        <w:t>学校一期改扩建</w:t>
      </w:r>
      <w:r>
        <w:rPr>
          <w:rFonts w:hint="eastAsia" w:ascii="仿宋" w:hAnsi="仿宋" w:eastAsia="仿宋" w:cs="仿宋"/>
          <w:color w:val="auto"/>
          <w:sz w:val="32"/>
          <w:szCs w:val="32"/>
        </w:rPr>
        <w:t>工程建设项目</w:t>
      </w:r>
      <w:r>
        <w:rPr>
          <w:rFonts w:hint="eastAsia" w:ascii="仿宋" w:hAnsi="仿宋" w:eastAsia="仿宋" w:cs="仿宋"/>
          <w:color w:val="auto"/>
          <w:sz w:val="32"/>
          <w:szCs w:val="32"/>
          <w:lang w:val="en-US" w:eastAsia="zh-CN"/>
        </w:rPr>
        <w:t>验收完工，所有工程款已支付完成</w:t>
      </w:r>
      <w:r>
        <w:rPr>
          <w:rFonts w:hint="eastAsia" w:ascii="仿宋" w:hAnsi="仿宋" w:eastAsia="仿宋" w:cs="仿宋"/>
          <w:color w:val="auto"/>
          <w:sz w:val="32"/>
          <w:szCs w:val="32"/>
        </w:rPr>
        <w:t>所致</w:t>
      </w:r>
      <w:r>
        <w:rPr>
          <w:rFonts w:hint="eastAsia" w:ascii="仿宋" w:hAnsi="仿宋" w:eastAsia="仿宋" w:cs="仿宋"/>
          <w:color w:val="auto"/>
          <w:sz w:val="32"/>
          <w:szCs w:val="32"/>
          <w:lang w:eastAsia="zh-CN"/>
        </w:rPr>
        <w:t>。</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（一）财政拨款支出决算总体情况</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年度财政拨款支出</w:t>
      </w:r>
      <w:r>
        <w:rPr>
          <w:rFonts w:hint="eastAsia" w:ascii="仿宋" w:hAnsi="仿宋" w:eastAsia="仿宋" w:cs="仿宋"/>
          <w:color w:val="auto"/>
          <w:sz w:val="32"/>
          <w:szCs w:val="32"/>
          <w:lang w:val="en-US" w:eastAsia="zh-CN"/>
        </w:rPr>
        <w:t>2013.74</w:t>
      </w:r>
      <w:r>
        <w:rPr>
          <w:rFonts w:hint="eastAsia" w:ascii="仿宋" w:hAnsi="仿宋" w:eastAsia="仿宋" w:cs="仿宋"/>
          <w:color w:val="auto"/>
          <w:sz w:val="32"/>
          <w:szCs w:val="32"/>
        </w:rPr>
        <w:t>万元，占本年支出合计的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%，与上年</w:t>
      </w:r>
      <w:r>
        <w:rPr>
          <w:rFonts w:hint="eastAsia" w:ascii="仿宋" w:hAnsi="仿宋" w:eastAsia="仿宋" w:cs="仿宋"/>
          <w:color w:val="auto"/>
          <w:sz w:val="32"/>
          <w:szCs w:val="32"/>
          <w:lang w:val="en-US" w:eastAsia="zh-CN"/>
        </w:rPr>
        <w:t>2317.63万元</w:t>
      </w:r>
      <w:r>
        <w:rPr>
          <w:rFonts w:hint="eastAsia" w:ascii="仿宋" w:hAnsi="仿宋" w:eastAsia="仿宋" w:cs="仿宋"/>
          <w:color w:val="auto"/>
          <w:sz w:val="32"/>
          <w:szCs w:val="32"/>
        </w:rPr>
        <w:t>相比，财政拨款支出</w:t>
      </w:r>
      <w:r>
        <w:rPr>
          <w:rFonts w:hint="eastAsia" w:ascii="仿宋" w:hAnsi="仿宋" w:eastAsia="仿宋" w:cs="仿宋"/>
          <w:color w:val="auto"/>
          <w:sz w:val="32"/>
          <w:szCs w:val="32"/>
          <w:lang w:val="en-US" w:eastAsia="zh-CN"/>
        </w:rPr>
        <w:t>减少303.89</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减少13.11</w:t>
      </w:r>
      <w:r>
        <w:rPr>
          <w:rFonts w:hint="eastAsia" w:ascii="仿宋" w:hAnsi="仿宋" w:eastAsia="仿宋" w:cs="仿宋"/>
          <w:color w:val="auto"/>
          <w:sz w:val="32"/>
          <w:szCs w:val="32"/>
        </w:rPr>
        <w:t>%，主要是</w:t>
      </w:r>
      <w:r>
        <w:rPr>
          <w:rFonts w:hint="eastAsia" w:ascii="仿宋" w:hAnsi="仿宋" w:eastAsia="仿宋" w:cs="仿宋"/>
          <w:color w:val="auto"/>
          <w:sz w:val="32"/>
          <w:szCs w:val="32"/>
          <w:highlight w:val="none"/>
        </w:rPr>
        <w:t>因为</w:t>
      </w:r>
      <w:r>
        <w:rPr>
          <w:rFonts w:hint="eastAsia" w:ascii="仿宋" w:hAnsi="仿宋" w:eastAsia="仿宋" w:cs="仿宋"/>
          <w:color w:val="auto"/>
          <w:sz w:val="32"/>
          <w:szCs w:val="32"/>
          <w:lang w:val="en-US" w:eastAsia="zh-CN"/>
        </w:rPr>
        <w:t>本年学校一期改扩建工程已完工，本年只支付了少量工程尾款，所以本年支出减少。</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（二）财政拨款支出决算结构情况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年度财政拨款支出</w:t>
      </w:r>
      <w:r>
        <w:rPr>
          <w:rFonts w:hint="eastAsia" w:ascii="仿宋" w:hAnsi="仿宋" w:eastAsia="仿宋" w:cs="仿宋"/>
          <w:color w:val="auto"/>
          <w:sz w:val="32"/>
          <w:szCs w:val="32"/>
          <w:lang w:val="en-US" w:eastAsia="zh-CN"/>
        </w:rPr>
        <w:t>2013.74</w:t>
      </w:r>
      <w:r>
        <w:rPr>
          <w:rFonts w:hint="eastAsia" w:ascii="仿宋" w:hAnsi="仿宋" w:eastAsia="仿宋" w:cs="仿宋"/>
          <w:color w:val="auto"/>
          <w:sz w:val="32"/>
          <w:szCs w:val="32"/>
        </w:rPr>
        <w:t>万元，主要用于以下方面：</w:t>
      </w:r>
      <w:r>
        <w:rPr>
          <w:rFonts w:hint="eastAsia" w:ascii="仿宋" w:hAnsi="仿宋" w:eastAsia="仿宋" w:cs="仿宋"/>
          <w:color w:val="auto"/>
          <w:sz w:val="32"/>
          <w:szCs w:val="32"/>
          <w:lang w:val="en-US" w:eastAsia="zh-CN"/>
        </w:rPr>
        <w:t>教育支出1907.17万元，占94.71%；社会保障和就业支出72.61万元，占3.61%；卫生健康支出31.18万元，占1.55%。</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（三）财政拨款支出决算具体情况</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年度财政拨款支出年初预算数为</w:t>
      </w:r>
      <w:r>
        <w:rPr>
          <w:rFonts w:hint="eastAsia" w:ascii="仿宋" w:hAnsi="仿宋" w:eastAsia="仿宋" w:cs="仿宋"/>
          <w:color w:val="auto"/>
          <w:sz w:val="32"/>
          <w:szCs w:val="32"/>
          <w:lang w:val="en-US" w:eastAsia="zh-CN"/>
        </w:rPr>
        <w:t>726.02</w:t>
      </w:r>
      <w:r>
        <w:rPr>
          <w:rFonts w:hint="eastAsia" w:ascii="仿宋" w:hAnsi="仿宋" w:eastAsia="仿宋" w:cs="仿宋"/>
          <w:color w:val="auto"/>
          <w:sz w:val="32"/>
          <w:szCs w:val="32"/>
        </w:rPr>
        <w:t>万元，支出决算数为</w:t>
      </w:r>
      <w:r>
        <w:rPr>
          <w:rFonts w:hint="eastAsia" w:ascii="仿宋" w:hAnsi="仿宋" w:eastAsia="仿宋" w:cs="仿宋"/>
          <w:color w:val="auto"/>
          <w:sz w:val="32"/>
          <w:szCs w:val="32"/>
          <w:lang w:val="en-US" w:eastAsia="zh-CN"/>
        </w:rPr>
        <w:t>2013.74</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277.37</w:t>
      </w:r>
      <w:r>
        <w:rPr>
          <w:rFonts w:hint="eastAsia" w:ascii="仿宋" w:hAnsi="仿宋" w:eastAsia="仿宋" w:cs="仿宋"/>
          <w:color w:val="auto"/>
          <w:sz w:val="32"/>
          <w:szCs w:val="32"/>
        </w:rPr>
        <w:t>%，其中：</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一般公共服务支出（类）政协事务（款）其他政协事务支出（项）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年初预算为0万元，支出决算为2.78万元，因</w:t>
      </w:r>
      <w:r>
        <w:rPr>
          <w:rFonts w:hint="eastAsia" w:ascii="仿宋" w:hAnsi="仿宋" w:eastAsia="仿宋" w:cs="仿宋"/>
          <w:i w:val="0"/>
          <w:iCs w:val="0"/>
          <w:caps w:val="0"/>
          <w:color w:val="auto"/>
          <w:spacing w:val="0"/>
          <w:sz w:val="32"/>
          <w:szCs w:val="32"/>
          <w:shd w:val="clear" w:color="auto" w:fill="FFFFFF"/>
          <w:lang w:val="en-US" w:eastAsia="zh-CN"/>
        </w:rPr>
        <w:t>预算是0，无法计算比例。</w:t>
      </w:r>
      <w:r>
        <w:rPr>
          <w:rFonts w:hint="eastAsia" w:ascii="仿宋" w:hAnsi="仿宋" w:eastAsia="仿宋" w:cs="仿宋"/>
          <w:color w:val="auto"/>
          <w:sz w:val="32"/>
          <w:szCs w:val="32"/>
          <w:lang w:val="en-US" w:eastAsia="zh-CN"/>
        </w:rPr>
        <w:t>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本年年中申请追加了特殊教育委员工作室建设经费项目2.78万元，本项目资金未纳入预算，因此学校没有做预算。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2.教育支出（类）普通教育（款）小学教育（项）。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年初预算为0万元，支出决算为81.01万元，因</w:t>
      </w:r>
      <w:r>
        <w:rPr>
          <w:rFonts w:hint="eastAsia" w:ascii="仿宋" w:hAnsi="仿宋" w:eastAsia="仿宋" w:cs="仿宋"/>
          <w:i w:val="0"/>
          <w:iCs w:val="0"/>
          <w:caps w:val="0"/>
          <w:color w:val="auto"/>
          <w:spacing w:val="0"/>
          <w:sz w:val="32"/>
          <w:szCs w:val="32"/>
          <w:shd w:val="clear" w:color="auto" w:fill="FFFFFF"/>
          <w:lang w:val="en-US" w:eastAsia="zh-CN"/>
        </w:rPr>
        <w:t>预算是0，无法计算比例。</w:t>
      </w:r>
      <w:r>
        <w:rPr>
          <w:rFonts w:hint="eastAsia" w:ascii="仿宋" w:hAnsi="仿宋" w:eastAsia="仿宋" w:cs="仿宋"/>
          <w:color w:val="auto"/>
          <w:sz w:val="32"/>
          <w:szCs w:val="32"/>
          <w:lang w:val="en-US" w:eastAsia="zh-CN"/>
        </w:rPr>
        <w:t>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有些项目资金未纳入预算，如公用生均市级经费支出、贫困生补助资金、部分临聘人员经费等由教科文统一年初预算，学校没有做预算。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3.教育支出（类）普通教育（款）高中教育（项）。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年初预算为0万元，支出决算为3.12万元，因</w:t>
      </w:r>
      <w:r>
        <w:rPr>
          <w:rFonts w:hint="eastAsia" w:ascii="仿宋" w:hAnsi="仿宋" w:eastAsia="仿宋" w:cs="仿宋"/>
          <w:i w:val="0"/>
          <w:iCs w:val="0"/>
          <w:caps w:val="0"/>
          <w:color w:val="auto"/>
          <w:spacing w:val="0"/>
          <w:sz w:val="32"/>
          <w:szCs w:val="32"/>
          <w:shd w:val="clear" w:color="auto" w:fill="FFFFFF"/>
          <w:lang w:val="en-US" w:eastAsia="zh-CN"/>
        </w:rPr>
        <w:t>预算是0，无法计算比例。</w:t>
      </w:r>
      <w:r>
        <w:rPr>
          <w:rFonts w:hint="eastAsia" w:ascii="仿宋" w:hAnsi="仿宋" w:eastAsia="仿宋" w:cs="仿宋"/>
          <w:color w:val="auto"/>
          <w:sz w:val="32"/>
          <w:szCs w:val="32"/>
          <w:lang w:val="en-US" w:eastAsia="zh-CN"/>
        </w:rPr>
        <w:t>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有些项目资金未纳入预算，如高中免学费、免费教科书项目等由教科文统一年初预算，学校没有做预算。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4.教育支出（类）普通教育（款）其他普通教育支出（项）。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年初预算为0万元，支出决算为687.85万元，因</w:t>
      </w:r>
      <w:r>
        <w:rPr>
          <w:rFonts w:hint="eastAsia" w:ascii="仿宋" w:hAnsi="仿宋" w:eastAsia="仿宋" w:cs="仿宋"/>
          <w:i w:val="0"/>
          <w:iCs w:val="0"/>
          <w:caps w:val="0"/>
          <w:color w:val="auto"/>
          <w:spacing w:val="0"/>
          <w:sz w:val="32"/>
          <w:szCs w:val="32"/>
          <w:shd w:val="clear" w:color="auto" w:fill="FFFFFF"/>
          <w:lang w:val="en-US" w:eastAsia="zh-CN"/>
        </w:rPr>
        <w:t>预算是0，无法计算比例。</w:t>
      </w:r>
      <w:r>
        <w:rPr>
          <w:rFonts w:hint="eastAsia" w:ascii="仿宋" w:hAnsi="仿宋" w:eastAsia="仿宋" w:cs="仿宋"/>
          <w:color w:val="auto"/>
          <w:sz w:val="32"/>
          <w:szCs w:val="32"/>
          <w:lang w:val="en-US" w:eastAsia="zh-CN"/>
        </w:rPr>
        <w:t>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是有6个项目资金未纳入预算，即生均公用经费补助资金、校舍维修、薄改项目、芙蓉名师经费、贫困寄宿生生活补助、特校教师周转房及学生公寓建设工程等由教科文统一年初预算，学校没有做预算。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5.教育支出（类）特殊教育（款）特殊学校教育（项）。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年初预算为598.99万元，支出决算为875.97万元，完成预算的146.24%，决算数大于年初预算数的主要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是：本年学校教师工资调整而致福利支出增加，由于教师增加年终绩效奖金增加等。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6.教育支出（类）特殊教育（款）其他特殊教育支出（项）。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年初预算为0万元，支出决算为259.22万元，因</w:t>
      </w:r>
      <w:r>
        <w:rPr>
          <w:rFonts w:hint="eastAsia" w:ascii="仿宋" w:hAnsi="仿宋" w:eastAsia="仿宋" w:cs="仿宋"/>
          <w:i w:val="0"/>
          <w:iCs w:val="0"/>
          <w:caps w:val="0"/>
          <w:color w:val="auto"/>
          <w:spacing w:val="0"/>
          <w:sz w:val="32"/>
          <w:szCs w:val="32"/>
          <w:shd w:val="clear" w:color="auto" w:fill="FFFFFF"/>
          <w:lang w:val="en-US" w:eastAsia="zh-CN"/>
        </w:rPr>
        <w:t>预算是0，无法计算比例。</w:t>
      </w:r>
      <w:r>
        <w:rPr>
          <w:rFonts w:hint="eastAsia" w:ascii="仿宋" w:hAnsi="仿宋" w:eastAsia="仿宋" w:cs="仿宋"/>
          <w:color w:val="auto"/>
          <w:sz w:val="32"/>
          <w:szCs w:val="32"/>
          <w:lang w:val="en-US" w:eastAsia="zh-CN"/>
        </w:rPr>
        <w:t>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是教师增加年终绩效奖金，还有些项目如生均公用经费补助资金、贫困寄宿生生活补助、临聘教师经费等由教科文统一年初预算。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7.社会保障和就业支出（类）行政事业单位养老支出（款）机关事业单位基本养老保险缴费支出（项）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年初预算为55.68万元，支出决算为62.11万元，</w:t>
      </w:r>
      <w:r>
        <w:rPr>
          <w:rFonts w:hint="eastAsia" w:ascii="仿宋" w:hAnsi="仿宋" w:eastAsia="仿宋" w:cs="仿宋"/>
          <w:i w:val="0"/>
          <w:iCs w:val="0"/>
          <w:caps w:val="0"/>
          <w:color w:val="auto"/>
          <w:spacing w:val="0"/>
          <w:sz w:val="32"/>
          <w:szCs w:val="32"/>
          <w:shd w:val="clear" w:color="auto" w:fill="FFFFFF"/>
          <w:lang w:val="en-US" w:eastAsia="zh-CN"/>
        </w:rPr>
        <w:t>完成预算的111.55%</w:t>
      </w:r>
      <w:r>
        <w:rPr>
          <w:rFonts w:hint="eastAsia" w:ascii="仿宋" w:hAnsi="仿宋" w:eastAsia="仿宋" w:cs="仿宋"/>
          <w:i w:val="0"/>
          <w:iCs w:val="0"/>
          <w:caps w:val="0"/>
          <w:color w:val="auto"/>
          <w:spacing w:val="0"/>
          <w:sz w:val="32"/>
          <w:szCs w:val="32"/>
          <w:shd w:val="clear" w:color="auto" w:fill="FFFFFF"/>
        </w:rPr>
        <w:t>。</w:t>
      </w:r>
      <w:r>
        <w:rPr>
          <w:rFonts w:hint="eastAsia" w:ascii="仿宋" w:hAnsi="仿宋" w:eastAsia="仿宋" w:cs="仿宋"/>
          <w:color w:val="auto"/>
          <w:sz w:val="32"/>
          <w:szCs w:val="32"/>
          <w:lang w:val="en-US" w:eastAsia="zh-CN"/>
        </w:rPr>
        <w:t>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是：此笔资金用于学校教师的养老保险支出，学校未做预算，由财政年中追加预算。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8.社会保障和就业支出（类）行政事业单位养老支出（款）其他行政事业单位养老支出（项）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年初预算为0万元，支出决算为10.50万元，因</w:t>
      </w:r>
      <w:r>
        <w:rPr>
          <w:rFonts w:hint="eastAsia" w:ascii="仿宋" w:hAnsi="仿宋" w:eastAsia="仿宋" w:cs="仿宋"/>
          <w:i w:val="0"/>
          <w:iCs w:val="0"/>
          <w:caps w:val="0"/>
          <w:color w:val="auto"/>
          <w:spacing w:val="0"/>
          <w:sz w:val="32"/>
          <w:szCs w:val="32"/>
          <w:shd w:val="clear" w:color="auto" w:fill="FFFFFF"/>
          <w:lang w:val="en-US" w:eastAsia="zh-CN"/>
        </w:rPr>
        <w:t>预算是0，无法计算比例</w:t>
      </w:r>
      <w:r>
        <w:rPr>
          <w:rFonts w:hint="eastAsia" w:ascii="仿宋" w:hAnsi="仿宋" w:eastAsia="仿宋" w:cs="仿宋"/>
          <w:i w:val="0"/>
          <w:iCs w:val="0"/>
          <w:caps w:val="0"/>
          <w:color w:val="auto"/>
          <w:spacing w:val="0"/>
          <w:sz w:val="32"/>
          <w:szCs w:val="32"/>
          <w:shd w:val="clear" w:color="auto" w:fill="FFFFFF"/>
        </w:rPr>
        <w:t>。</w:t>
      </w:r>
      <w:r>
        <w:rPr>
          <w:rFonts w:hint="eastAsia" w:ascii="仿宋" w:hAnsi="仿宋" w:eastAsia="仿宋" w:cs="仿宋"/>
          <w:color w:val="auto"/>
          <w:sz w:val="32"/>
          <w:szCs w:val="32"/>
          <w:lang w:val="en-US" w:eastAsia="zh-CN"/>
        </w:rPr>
        <w:t>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是：此笔资金用于对个人个家庭的生活补助，学校未做预算，由财政年中追加预算。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9.卫生健康支出（类）行政事业单位医疗（款）行政单位医疗（项）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i/>
          <w:color w:val="auto"/>
          <w:sz w:val="32"/>
          <w:szCs w:val="32"/>
        </w:rPr>
      </w:pPr>
      <w:r>
        <w:rPr>
          <w:rFonts w:hint="eastAsia" w:ascii="仿宋" w:hAnsi="仿宋" w:eastAsia="仿宋" w:cs="仿宋"/>
          <w:color w:val="auto"/>
          <w:sz w:val="32"/>
          <w:szCs w:val="32"/>
          <w:lang w:val="en-US" w:eastAsia="zh-CN"/>
        </w:rPr>
        <w:t>年初预算为0万元，支出决算为31.18万元，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color w:val="auto"/>
          <w:sz w:val="32"/>
          <w:szCs w:val="32"/>
          <w:lang w:val="en-US" w:eastAsia="zh-CN"/>
        </w:rPr>
        <w:t>决算数大于年初预算数的主要</w:t>
      </w:r>
      <w:r>
        <w:rPr>
          <w:rFonts w:hint="eastAsia" w:ascii="仿宋" w:hAnsi="仿宋" w:eastAsia="仿宋" w:cs="仿宋"/>
          <w:color w:val="auto"/>
          <w:sz w:val="32"/>
          <w:szCs w:val="32"/>
          <w:highlight w:val="none"/>
          <w:lang w:val="en-US" w:eastAsia="zh-CN"/>
        </w:rPr>
        <w:t>原因</w:t>
      </w:r>
      <w:r>
        <w:rPr>
          <w:rFonts w:hint="eastAsia" w:ascii="仿宋" w:hAnsi="仿宋" w:eastAsia="仿宋" w:cs="仿宋"/>
          <w:color w:val="auto"/>
          <w:sz w:val="32"/>
          <w:szCs w:val="32"/>
          <w:lang w:val="en-US" w:eastAsia="zh-CN"/>
        </w:rPr>
        <w:t>是：此笔资金用于教师的医疗保险支出，学校未做预算，由财政年中追加预算。</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i/>
          <w:color w:val="auto"/>
          <w:sz w:val="32"/>
          <w:szCs w:val="32"/>
        </w:rPr>
      </w:pPr>
      <w:r>
        <w:rPr>
          <w:rFonts w:hint="eastAsia" w:ascii="黑体" w:hAnsi="黑体" w:eastAsia="黑体" w:cs="黑体"/>
          <w:b w:val="0"/>
          <w:bCs/>
          <w:color w:val="auto"/>
          <w:sz w:val="32"/>
          <w:szCs w:val="32"/>
        </w:rPr>
        <w:t>六、一般公共预算财政拨款基本支出决算情况说明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eastAsia="zh-CN"/>
        </w:rPr>
        <w:t>765.98</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765.98</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%,主要包括基本工资</w:t>
      </w:r>
      <w:r>
        <w:rPr>
          <w:rFonts w:hint="eastAsia" w:ascii="仿宋" w:hAnsi="仿宋" w:eastAsia="仿宋" w:cs="仿宋"/>
          <w:color w:val="auto"/>
          <w:sz w:val="32"/>
          <w:szCs w:val="32"/>
          <w:lang w:val="en-US" w:eastAsia="zh-CN"/>
        </w:rPr>
        <w:t>278.71</w:t>
      </w:r>
      <w:r>
        <w:rPr>
          <w:rFonts w:hint="eastAsia" w:ascii="仿宋" w:hAnsi="仿宋" w:eastAsia="仿宋" w:cs="仿宋"/>
          <w:color w:val="auto"/>
          <w:sz w:val="32"/>
          <w:szCs w:val="32"/>
        </w:rPr>
        <w:t>万元、津贴补贴</w:t>
      </w:r>
      <w:r>
        <w:rPr>
          <w:rFonts w:hint="eastAsia" w:ascii="仿宋" w:hAnsi="仿宋" w:eastAsia="仿宋" w:cs="仿宋"/>
          <w:color w:val="auto"/>
          <w:sz w:val="32"/>
          <w:szCs w:val="32"/>
          <w:lang w:val="en-US" w:eastAsia="zh-CN"/>
        </w:rPr>
        <w:t>200.16</w:t>
      </w:r>
      <w:r>
        <w:rPr>
          <w:rFonts w:hint="eastAsia" w:ascii="仿宋" w:hAnsi="仿宋" w:eastAsia="仿宋" w:cs="仿宋"/>
          <w:color w:val="auto"/>
          <w:sz w:val="32"/>
          <w:szCs w:val="32"/>
        </w:rPr>
        <w:t>万元、奖金</w:t>
      </w:r>
      <w:r>
        <w:rPr>
          <w:rFonts w:hint="eastAsia" w:ascii="仿宋" w:hAnsi="仿宋" w:eastAsia="仿宋" w:cs="仿宋"/>
          <w:color w:val="auto"/>
          <w:sz w:val="32"/>
          <w:szCs w:val="32"/>
          <w:lang w:val="en-US" w:eastAsia="zh-CN"/>
        </w:rPr>
        <w:t>173.72</w:t>
      </w:r>
      <w:r>
        <w:rPr>
          <w:rFonts w:hint="eastAsia" w:ascii="仿宋" w:hAnsi="仿宋" w:eastAsia="仿宋" w:cs="仿宋"/>
          <w:color w:val="auto"/>
          <w:sz w:val="32"/>
          <w:szCs w:val="32"/>
        </w:rPr>
        <w:t>万元、机关事业单位基本养老保险缴费</w:t>
      </w:r>
      <w:r>
        <w:rPr>
          <w:rFonts w:hint="eastAsia" w:ascii="仿宋" w:hAnsi="仿宋" w:eastAsia="仿宋" w:cs="仿宋"/>
          <w:color w:val="auto"/>
          <w:sz w:val="32"/>
          <w:szCs w:val="32"/>
          <w:lang w:val="en-US" w:eastAsia="zh-CN"/>
        </w:rPr>
        <w:t>62.11</w:t>
      </w:r>
      <w:r>
        <w:rPr>
          <w:rFonts w:hint="eastAsia" w:ascii="仿宋" w:hAnsi="仿宋" w:eastAsia="仿宋" w:cs="仿宋"/>
          <w:color w:val="auto"/>
          <w:sz w:val="32"/>
          <w:szCs w:val="32"/>
        </w:rPr>
        <w:t>万元、职工基本医疗保险缴费</w:t>
      </w:r>
      <w:r>
        <w:rPr>
          <w:rFonts w:hint="eastAsia" w:ascii="仿宋" w:hAnsi="仿宋" w:eastAsia="仿宋" w:cs="仿宋"/>
          <w:color w:val="auto"/>
          <w:sz w:val="32"/>
          <w:szCs w:val="32"/>
          <w:lang w:val="en-US" w:eastAsia="zh-CN"/>
        </w:rPr>
        <w:t>31.18</w:t>
      </w:r>
      <w:r>
        <w:rPr>
          <w:rFonts w:hint="eastAsia" w:ascii="仿宋" w:hAnsi="仿宋" w:eastAsia="仿宋" w:cs="仿宋"/>
          <w:color w:val="auto"/>
          <w:sz w:val="32"/>
          <w:szCs w:val="32"/>
        </w:rPr>
        <w:t>万元、其他工资福利支出</w:t>
      </w:r>
      <w:r>
        <w:rPr>
          <w:rFonts w:hint="eastAsia" w:ascii="仿宋" w:hAnsi="仿宋" w:eastAsia="仿宋" w:cs="仿宋"/>
          <w:color w:val="auto"/>
          <w:sz w:val="32"/>
          <w:szCs w:val="32"/>
          <w:lang w:val="en-US" w:eastAsia="zh-CN"/>
        </w:rPr>
        <w:t>8.88</w:t>
      </w:r>
      <w:r>
        <w:rPr>
          <w:rFonts w:hint="eastAsia" w:ascii="仿宋" w:hAnsi="仿宋" w:eastAsia="仿宋" w:cs="仿宋"/>
          <w:color w:val="auto"/>
          <w:sz w:val="32"/>
          <w:szCs w:val="32"/>
        </w:rPr>
        <w:t>万元、生活补助</w:t>
      </w:r>
      <w:r>
        <w:rPr>
          <w:rFonts w:hint="eastAsia" w:ascii="仿宋" w:hAnsi="仿宋" w:eastAsia="仿宋" w:cs="仿宋"/>
          <w:color w:val="auto"/>
          <w:sz w:val="32"/>
          <w:szCs w:val="32"/>
          <w:lang w:val="en-US" w:eastAsia="zh-CN"/>
        </w:rPr>
        <w:t>10.50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公用经费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万元，占基本支出的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%，主要包括办公费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万元、水费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万元、电费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万元、物业管理费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万元、差旅费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万元、维修（护）费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万元、培训费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万元、劳务费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万元、工会经费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福利费0万元、其他交通费用0万元、</w:t>
      </w:r>
      <w:r>
        <w:rPr>
          <w:rFonts w:hint="eastAsia" w:ascii="仿宋" w:hAnsi="仿宋" w:eastAsia="仿宋" w:cs="仿宋"/>
          <w:color w:val="auto"/>
          <w:sz w:val="32"/>
          <w:szCs w:val="32"/>
        </w:rPr>
        <w:t>其他商品和服务支出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办公设备购置0万元</w:t>
      </w:r>
      <w:r>
        <w:rPr>
          <w:rFonts w:hint="eastAsia" w:ascii="仿宋" w:hAnsi="仿宋" w:eastAsia="仿宋" w:cs="仿宋"/>
          <w:color w:val="auto"/>
          <w:sz w:val="32"/>
          <w:szCs w:val="32"/>
        </w:rPr>
        <w:t>。</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七、一般公共预算财政拨款“三公”经费支出决算情况说明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（一）“三公”经费财政拨款支出决算总体情况说明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年度“三公”经费财政拨款支出预算为</w:t>
      </w:r>
      <w:r>
        <w:rPr>
          <w:rFonts w:hint="eastAsia" w:ascii="仿宋" w:hAnsi="仿宋" w:eastAsia="仿宋" w:cs="仿宋"/>
          <w:color w:val="auto"/>
          <w:sz w:val="32"/>
          <w:szCs w:val="32"/>
          <w:lang w:val="en-US" w:eastAsia="zh-CN"/>
        </w:rPr>
        <w:t>3.91</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万元，完成预算的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%，其中：</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因公出国（境）费支出预算为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万元，决算数与预算数相等，与上年相比持平。主要原因</w:t>
      </w:r>
      <w:r>
        <w:rPr>
          <w:rFonts w:hint="eastAsia" w:ascii="仿宋" w:hAnsi="仿宋" w:eastAsia="仿宋" w:cs="仿宋"/>
          <w:color w:val="auto"/>
          <w:sz w:val="32"/>
          <w:szCs w:val="32"/>
          <w:lang w:val="en-US" w:eastAsia="zh-CN"/>
        </w:rPr>
        <w:t>本年度未安排因公出国(境)</w:t>
      </w:r>
      <w:r>
        <w:rPr>
          <w:rFonts w:hint="eastAsia" w:ascii="仿宋" w:hAnsi="仿宋" w:eastAsia="仿宋" w:cs="仿宋"/>
          <w:color w:val="auto"/>
          <w:sz w:val="32"/>
          <w:szCs w:val="32"/>
          <w:lang w:eastAsia="zh-CN"/>
        </w:rPr>
        <w:t>。</w:t>
      </w:r>
    </w:p>
    <w:p>
      <w:pPr>
        <w:pStyle w:val="14"/>
        <w:ind w:firstLine="640" w:firstLineChars="200"/>
        <w:rPr>
          <w:rFonts w:hint="eastAsia" w:ascii="仿宋" w:hAnsi="仿宋" w:eastAsia="仿宋" w:cs="仿宋"/>
          <w:color w:val="auto"/>
          <w:kern w:val="0"/>
          <w:sz w:val="32"/>
          <w:szCs w:val="32"/>
          <w:lang w:val="en-US" w:eastAsia="zh-CN" w:bidi="ar"/>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公</w:t>
      </w:r>
      <w:r>
        <w:rPr>
          <w:rFonts w:hint="eastAsia" w:ascii="仿宋" w:hAnsi="仿宋" w:eastAsia="仿宋" w:cs="仿宋"/>
          <w:color w:val="auto"/>
          <w:kern w:val="0"/>
          <w:sz w:val="32"/>
          <w:szCs w:val="32"/>
          <w:lang w:val="en-US" w:eastAsia="zh-CN" w:bidi="ar"/>
        </w:rPr>
        <w:t>务接待费支出预算为1.07万元，支出决算为0万元，完成预算的0%，决算数小于预算数的主要原因是我单位严格遵照中央“八项规定”以及省、市有关规定，加强“三公”经费管理，压缩了公务接待费支出，与上年相比减少0.11万元，减少100%,减少的主要原因是因为学校加强“三公”经费管理，压缩了公务接待费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公务用车购置费及运行维护费支出预算为</w:t>
      </w:r>
      <w:r>
        <w:rPr>
          <w:rFonts w:hint="eastAsia" w:ascii="仿宋" w:hAnsi="仿宋" w:eastAsia="仿宋" w:cs="仿宋"/>
          <w:color w:val="auto"/>
          <w:sz w:val="32"/>
          <w:szCs w:val="32"/>
          <w:lang w:val="en-US" w:eastAsia="zh-CN"/>
        </w:rPr>
        <w:t>2.84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kern w:val="0"/>
          <w:sz w:val="32"/>
          <w:szCs w:val="32"/>
          <w:lang w:val="en-US" w:eastAsia="zh-CN" w:bidi="ar"/>
        </w:rPr>
        <w:t>完成预算的0%，决算数小于预算数的主要原因是我单位本年度无公务用车</w:t>
      </w:r>
      <w:r>
        <w:rPr>
          <w:rFonts w:hint="eastAsia" w:ascii="仿宋" w:hAnsi="仿宋" w:eastAsia="仿宋" w:cs="仿宋"/>
          <w:color w:val="auto"/>
          <w:sz w:val="32"/>
          <w:szCs w:val="32"/>
          <w:lang w:val="en-US" w:eastAsia="zh-CN"/>
        </w:rPr>
        <w:t>。</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（二）“三公”经费财政拨款支出决算具体情况说明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年度“三公”经费财政拨款支出决算中，公务接待费支出决算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万元，因公出国（境）费支出决算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万元,公务用车购置费及运行维护费支出决算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因决算数为0，无法计算比例</w:t>
      </w:r>
      <w:r>
        <w:rPr>
          <w:rFonts w:hint="eastAsia" w:ascii="仿宋" w:hAnsi="仿宋" w:eastAsia="仿宋" w:cs="仿宋"/>
          <w:color w:val="auto"/>
          <w:sz w:val="32"/>
          <w:szCs w:val="32"/>
        </w:rPr>
        <w:t>。其中：</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1、因公出国（境）费支出决算为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万元，全年安排因公出国（境）团组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个，累计</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2、公务接待费支出决算为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万元，全年共接待来访团组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个</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接待0</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p>
    <w:p>
      <w:pPr>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i/>
          <w:color w:val="auto"/>
          <w:kern w:val="0"/>
          <w:sz w:val="32"/>
          <w:szCs w:val="32"/>
        </w:rPr>
      </w:pPr>
      <w:r>
        <w:rPr>
          <w:rFonts w:hint="eastAsia" w:ascii="仿宋" w:hAnsi="仿宋" w:eastAsia="仿宋" w:cs="仿宋"/>
          <w:color w:val="auto"/>
          <w:sz w:val="32"/>
          <w:szCs w:val="32"/>
        </w:rPr>
        <w:t>3、公务用车购置费及运行维护费支出决算为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万元，其中：公务用车购置费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万元，更新公务用车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辆。公务用车运行维护费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万元，截止202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年12月31日，我单位开支财政拨款的公务用车保有量为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i/>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年度政府性基金预算财政拨款</w:t>
      </w:r>
      <w:r>
        <w:rPr>
          <w:rFonts w:hint="eastAsia" w:ascii="仿宋" w:hAnsi="仿宋" w:eastAsia="仿宋" w:cs="仿宋"/>
          <w:color w:val="auto"/>
          <w:sz w:val="32"/>
          <w:szCs w:val="32"/>
          <w:highlight w:val="none"/>
        </w:rPr>
        <w:t>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万元；年初结转和结余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万元，项目支出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万元；年末结转和结余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万元。具体情况如下：</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lang w:val="en-US" w:eastAsia="zh-CN"/>
        </w:rPr>
        <w:t>其他支出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彩票公益金安排的支出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用于残疾人事业的彩票公益金支出</w:t>
      </w:r>
      <w:r>
        <w:rPr>
          <w:rFonts w:hint="eastAsia" w:ascii="仿宋" w:hAnsi="仿宋" w:eastAsia="仿宋" w:cs="仿宋"/>
          <w:color w:val="auto"/>
          <w:sz w:val="32"/>
          <w:szCs w:val="32"/>
        </w:rPr>
        <w:t>（项）。</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因年初预算是0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无法计算完成比例。</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九、国有资本经营预算财政拨款</w:t>
      </w:r>
      <w:r>
        <w:rPr>
          <w:rFonts w:hint="eastAsia" w:ascii="黑体" w:hAnsi="黑体" w:eastAsia="黑体" w:cs="黑体"/>
          <w:b w:val="0"/>
          <w:bCs w:val="0"/>
          <w:color w:val="auto"/>
          <w:sz w:val="32"/>
          <w:szCs w:val="32"/>
          <w:lang w:val="en-US" w:eastAsia="zh-CN"/>
        </w:rPr>
        <w:t>收入</w:t>
      </w:r>
      <w:r>
        <w:rPr>
          <w:rFonts w:hint="eastAsia" w:ascii="黑体" w:hAnsi="黑体" w:eastAsia="黑体" w:cs="黑体"/>
          <w:b w:val="0"/>
          <w:bCs w:val="0"/>
          <w:color w:val="auto"/>
          <w:sz w:val="32"/>
          <w:szCs w:val="32"/>
        </w:rPr>
        <w:t>支出决算情况说明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lang w:val="en-US" w:eastAsia="zh-CN"/>
        </w:rPr>
      </w:pPr>
      <w:r>
        <w:rPr>
          <w:rFonts w:hint="eastAsia" w:ascii="仿宋" w:hAnsi="仿宋" w:eastAsia="仿宋" w:cs="仿宋"/>
          <w:bCs/>
          <w:color w:val="auto"/>
          <w:sz w:val="32"/>
          <w:szCs w:val="32"/>
        </w:rPr>
        <w:t>202</w:t>
      </w:r>
      <w:r>
        <w:rPr>
          <w:rFonts w:hint="eastAsia" w:ascii="仿宋" w:hAnsi="仿宋" w:eastAsia="仿宋" w:cs="仿宋"/>
          <w:bCs/>
          <w:color w:val="auto"/>
          <w:sz w:val="32"/>
          <w:szCs w:val="32"/>
          <w:lang w:val="en-US" w:eastAsia="zh-CN"/>
        </w:rPr>
        <w:t>2</w:t>
      </w:r>
      <w:r>
        <w:rPr>
          <w:rFonts w:hint="eastAsia" w:ascii="仿宋" w:hAnsi="仿宋" w:eastAsia="仿宋" w:cs="仿宋"/>
          <w:bCs/>
          <w:color w:val="auto"/>
          <w:sz w:val="32"/>
          <w:szCs w:val="32"/>
        </w:rPr>
        <w:t>年度本单位</w:t>
      </w:r>
      <w:r>
        <w:rPr>
          <w:rFonts w:hint="eastAsia" w:ascii="仿宋" w:hAnsi="仿宋" w:eastAsia="仿宋" w:cs="仿宋"/>
          <w:bCs/>
          <w:color w:val="auto"/>
          <w:sz w:val="32"/>
          <w:szCs w:val="32"/>
          <w:lang w:val="en-US" w:eastAsia="zh-CN"/>
        </w:rPr>
        <w:t>无</w:t>
      </w:r>
      <w:r>
        <w:rPr>
          <w:rFonts w:hint="eastAsia" w:ascii="仿宋" w:hAnsi="仿宋" w:eastAsia="仿宋" w:cs="仿宋"/>
          <w:bCs/>
          <w:color w:val="auto"/>
          <w:sz w:val="32"/>
          <w:szCs w:val="32"/>
        </w:rPr>
        <w:t>国有资本经营预算财政拨款</w:t>
      </w:r>
      <w:r>
        <w:rPr>
          <w:rFonts w:hint="eastAsia" w:ascii="仿宋" w:hAnsi="仿宋" w:eastAsia="仿宋" w:cs="仿宋"/>
          <w:bCs/>
          <w:color w:val="auto"/>
          <w:sz w:val="32"/>
          <w:szCs w:val="32"/>
          <w:lang w:val="en-US" w:eastAsia="zh-CN"/>
        </w:rPr>
        <w:t>收入和</w:t>
      </w:r>
      <w:r>
        <w:rPr>
          <w:rFonts w:hint="eastAsia" w:ascii="仿宋" w:hAnsi="仿宋" w:eastAsia="仿宋" w:cs="仿宋"/>
          <w:bCs/>
          <w:color w:val="auto"/>
          <w:sz w:val="32"/>
          <w:szCs w:val="32"/>
        </w:rPr>
        <w:t>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shd w:val="clear" w:fill="FFFFFF"/>
        </w:rPr>
        <w:t>十、机关运行经费支出说明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本部门2022年度机关运行经费支出0万元，因为本部门不属于行政单位和参照公务员法管理的事业单位。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shd w:val="clear" w:fill="FFFFFF"/>
        </w:rPr>
        <w:t>十一、一般性支出情况说明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年本部门开支会议费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万元；开支培训费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万元，举办节庆、晚会、论坛、赛事活动，开支</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shd w:val="clear" w:fill="FFFFFF"/>
        </w:rPr>
        <w:t>十二、政府采购支出说明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本部门202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年度政府采购支出总额</w:t>
      </w:r>
      <w:r>
        <w:rPr>
          <w:rFonts w:hint="eastAsia" w:ascii="仿宋" w:hAnsi="仿宋" w:eastAsia="仿宋" w:cs="仿宋"/>
          <w:color w:val="auto"/>
          <w:sz w:val="32"/>
          <w:szCs w:val="32"/>
          <w:lang w:val="en-US" w:eastAsia="zh-CN"/>
        </w:rPr>
        <w:t>783.6</w:t>
      </w:r>
      <w:r>
        <w:rPr>
          <w:rFonts w:hint="eastAsia" w:ascii="仿宋" w:hAnsi="仿宋" w:eastAsia="仿宋" w:cs="仿宋"/>
          <w:color w:val="auto"/>
          <w:sz w:val="32"/>
          <w:szCs w:val="32"/>
        </w:rPr>
        <w:t>万元，其中：政府采购货物支出</w:t>
      </w:r>
      <w:r>
        <w:rPr>
          <w:rFonts w:hint="eastAsia" w:ascii="仿宋" w:hAnsi="仿宋" w:eastAsia="仿宋" w:cs="仿宋"/>
          <w:color w:val="auto"/>
          <w:sz w:val="32"/>
          <w:szCs w:val="32"/>
          <w:lang w:val="en-US" w:eastAsia="zh-CN"/>
        </w:rPr>
        <w:t>17.7</w:t>
      </w:r>
      <w:r>
        <w:rPr>
          <w:rFonts w:hint="eastAsia" w:ascii="仿宋" w:hAnsi="仿宋" w:eastAsia="仿宋" w:cs="仿宋"/>
          <w:color w:val="auto"/>
          <w:sz w:val="32"/>
          <w:szCs w:val="32"/>
        </w:rPr>
        <w:t>万元、政府采购工程支出</w:t>
      </w:r>
      <w:r>
        <w:rPr>
          <w:rFonts w:hint="eastAsia" w:ascii="仿宋" w:hAnsi="仿宋" w:eastAsia="仿宋" w:cs="仿宋"/>
          <w:color w:val="auto"/>
          <w:sz w:val="32"/>
          <w:szCs w:val="32"/>
          <w:lang w:val="en-US" w:eastAsia="zh-CN"/>
        </w:rPr>
        <w:t>765.90</w:t>
      </w:r>
      <w:r>
        <w:rPr>
          <w:rFonts w:hint="eastAsia" w:ascii="仿宋" w:hAnsi="仿宋" w:eastAsia="仿宋" w:cs="仿宋"/>
          <w:color w:val="auto"/>
          <w:sz w:val="32"/>
          <w:szCs w:val="32"/>
        </w:rPr>
        <w:t>万元、政府采购服务支出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万元。授予中小企业合同金额</w:t>
      </w:r>
      <w:r>
        <w:rPr>
          <w:rFonts w:hint="eastAsia" w:ascii="仿宋" w:hAnsi="仿宋" w:eastAsia="仿宋" w:cs="仿宋"/>
          <w:color w:val="auto"/>
          <w:sz w:val="32"/>
          <w:szCs w:val="32"/>
          <w:lang w:val="en-US" w:eastAsia="zh-CN"/>
        </w:rPr>
        <w:t>783.6</w:t>
      </w:r>
      <w:r>
        <w:rPr>
          <w:rFonts w:hint="eastAsia" w:ascii="仿宋" w:hAnsi="仿宋" w:eastAsia="仿宋" w:cs="仿宋"/>
          <w:color w:val="auto"/>
          <w:sz w:val="32"/>
          <w:szCs w:val="32"/>
        </w:rPr>
        <w:t>万元，占政府采购支出总额的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%，其中：授予小微企业合同金额</w:t>
      </w:r>
      <w:r>
        <w:rPr>
          <w:rFonts w:hint="eastAsia" w:ascii="仿宋" w:hAnsi="仿宋" w:eastAsia="仿宋" w:cs="仿宋"/>
          <w:color w:val="auto"/>
          <w:sz w:val="32"/>
          <w:szCs w:val="32"/>
          <w:lang w:val="en-US" w:eastAsia="zh-CN"/>
        </w:rPr>
        <w:t>783.6</w:t>
      </w:r>
      <w:r>
        <w:rPr>
          <w:rFonts w:hint="eastAsia" w:ascii="仿宋" w:hAnsi="仿宋" w:eastAsia="仿宋" w:cs="仿宋"/>
          <w:color w:val="auto"/>
          <w:sz w:val="32"/>
          <w:szCs w:val="32"/>
        </w:rPr>
        <w:t>万元，占授予中小企业合同金额的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%；货物采购授予中小企业合同金额占货物支出金额的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%，工程采购授予中小企业合同金额占工程支出金额的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%，服务采购授予中小企业合同金额占服务支出金额的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shd w:val="clear" w:fill="FFFFFF"/>
        </w:rPr>
        <w:t>十三、国有资产占用情况说明</w:t>
      </w:r>
    </w:p>
    <w:p>
      <w:pPr>
        <w:pStyle w:val="14"/>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年12月31日，本单位共有车辆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辆，其中，主要领导干部用车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辆，机要通信用车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辆、应急保障用车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辆、执法执勤用车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辆、特种专业技术用车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辆、其他用车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辆；单位价值50万元以上通用设备</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台（套）；单位价值100万元以上专用设备</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shd w:val="clear" w:fill="FFFFFF"/>
        </w:rPr>
        <w:t>十四、202</w:t>
      </w:r>
      <w:r>
        <w:rPr>
          <w:rFonts w:hint="eastAsia" w:ascii="黑体" w:hAnsi="黑体" w:eastAsia="黑体" w:cs="黑体"/>
          <w:b w:val="0"/>
          <w:bCs w:val="0"/>
          <w:color w:val="auto"/>
          <w:sz w:val="32"/>
          <w:szCs w:val="32"/>
          <w:highlight w:val="none"/>
          <w:shd w:val="clear" w:fill="FFFFFF"/>
          <w:lang w:val="en-US" w:eastAsia="zh-CN"/>
        </w:rPr>
        <w:t>2</w:t>
      </w:r>
      <w:r>
        <w:rPr>
          <w:rFonts w:hint="eastAsia" w:ascii="黑体" w:hAnsi="黑体" w:eastAsia="黑体" w:cs="黑体"/>
          <w:b w:val="0"/>
          <w:bCs w:val="0"/>
          <w:color w:val="auto"/>
          <w:sz w:val="32"/>
          <w:szCs w:val="32"/>
          <w:highlight w:val="none"/>
          <w:shd w:val="clear" w:fill="FFFFFF"/>
        </w:rPr>
        <w:t>年度预算绩效情况说明</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rPr>
      </w:pPr>
      <w:r>
        <w:rPr>
          <w:rFonts w:hint="eastAsia" w:ascii="仿宋" w:hAnsi="仿宋" w:eastAsia="仿宋" w:cs="仿宋"/>
          <w:b/>
          <w:color w:val="auto"/>
          <w:kern w:val="0"/>
          <w:sz w:val="32"/>
          <w:szCs w:val="32"/>
        </w:rPr>
        <w:t>（1）绩效管理评价工作开展情况</w:t>
      </w:r>
      <w:r>
        <w:rPr>
          <w:rFonts w:hint="eastAsia" w:ascii="仿宋" w:hAnsi="仿宋" w:eastAsia="仿宋" w:cs="仿宋"/>
          <w:color w:val="auto"/>
          <w:kern w:val="0"/>
          <w:sz w:val="32"/>
          <w:szCs w:val="32"/>
        </w:rPr>
        <w:t>。</w:t>
      </w:r>
    </w:p>
    <w:p>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根据预算绩效管理要求，我部门组织对2022年度一般公共预算项目支出全面开展绩效自评，其中，一级项目0个，二级项目17个，共涉及资金1247.76万元，占一般公共预算项目支出总额的100%。组织对2022年度0个政府性基金预算项目支出开展绩效自评，共涉及资金0万元，占政府性基金预算项目支出总额的0%。组织对2022年度0个国有资本经营预算项目支出开展绩效自评，共涉及资金0万元，占国有资本经营预算项目支出总额的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组织对“学校改扩建（一期）工程”“校舍维修”“学校外墙改造”“食堂薄改专项”“特校学生生活费补助”“芙蓉名师经费”“生均公用经费”“特教岗位津贴”“教师培训经费”“临聘教师经费”“校方责任险”“校园保安经费”“委员工作室建设和运行经费”“免费教科书”“高中免学费”“国培计划资金”“贫困寄宿生生活费补助”等17个项目开展了部门评价，涉及一般公共预算支出1247.76万元，政府性基金预算支出0万元，国有资本经营预算支出0万元。从评价情况来看，2022年我校专项资金支出1247.76万元。其中生均公用经费152万元，特教岗位津贴59.67万元，2021年校舍维修16.28万元，芙蓉名师经费经费14.46万元，学生生活费补助89.32万元，教师培训经费0.735万元，特校改扩建工程（一期）即上年的教师周转房及学生公寓建设工程结转金额630.75万元，临聘教师经费124.88万元，校方责任险0.31万元，校园保安经费10.86万元，食堂薄改专项19.98万元，教学楼外墙改造97.1万元，委员工作室建设和运行经费2.78万元，免费教科书0.88万元，高中免学费2.24万元，国培计划资金0.23万元，贫困寄宿生生活费补助25.35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我校严格执行《怀化市本级财政专项资金管理办法》、《怀化市本级政府投资项目工程预结（决）算管理办法》、《怀化市2022年政府集中采购目录及政府采购限额标准》等相关制度，实行项目责任制管理。学校主要领导负责项目的日常检查和监督工作，认真履行职责，做好项目的管理。</w:t>
      </w:r>
    </w:p>
    <w:p>
      <w:pPr>
        <w:keepNext w:val="0"/>
        <w:keepLines w:val="0"/>
        <w:widowControl/>
        <w:suppressLineNumbers w:val="0"/>
        <w:shd w:val="clear" w:fill="FFFFFF"/>
        <w:spacing w:after="180" w:afterAutospacing="0" w:line="288" w:lineRule="atLeast"/>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生均经费是教育领域内的重要指标，是“</w:t>
      </w:r>
      <w:r>
        <w:rPr>
          <w:rFonts w:hint="eastAsia" w:ascii="仿宋" w:hAnsi="仿宋" w:eastAsia="仿宋" w:cs="仿宋"/>
          <w:color w:val="auto"/>
          <w:kern w:val="0"/>
          <w:sz w:val="32"/>
          <w:szCs w:val="32"/>
          <w:lang w:val="en-US" w:eastAsia="zh-CN" w:bidi="ar-SA"/>
        </w:rPr>
        <w:fldChar w:fldCharType="begin"/>
      </w:r>
      <w:r>
        <w:rPr>
          <w:rFonts w:hint="eastAsia" w:ascii="仿宋" w:hAnsi="仿宋" w:eastAsia="仿宋" w:cs="仿宋"/>
          <w:color w:val="auto"/>
          <w:kern w:val="0"/>
          <w:sz w:val="32"/>
          <w:szCs w:val="32"/>
          <w:lang w:val="en-US" w:eastAsia="zh-CN" w:bidi="ar-SA"/>
        </w:rPr>
        <w:instrText xml:space="preserve"> HYPERLINK "https://baike.baidu.com/item/%E7%94%9F%E5%9D%87%E5%85%AC%E7%94%A8%E7%BB%8F%E8%B4%B9/50913214?fromModule=lemma_inlink" \t "https://baike.baidu.com/item/%E7%94%9F%E5%9D%87%E7%BB%8F%E8%B4%B9/_blank" </w:instrText>
      </w:r>
      <w:r>
        <w:rPr>
          <w:rFonts w:hint="eastAsia" w:ascii="仿宋" w:hAnsi="仿宋" w:eastAsia="仿宋" w:cs="仿宋"/>
          <w:color w:val="auto"/>
          <w:kern w:val="0"/>
          <w:sz w:val="32"/>
          <w:szCs w:val="32"/>
          <w:lang w:val="en-US" w:eastAsia="zh-CN" w:bidi="ar-SA"/>
        </w:rPr>
        <w:fldChar w:fldCharType="separate"/>
      </w:r>
      <w:r>
        <w:rPr>
          <w:rFonts w:hint="eastAsia" w:ascii="仿宋" w:hAnsi="仿宋" w:eastAsia="仿宋" w:cs="仿宋"/>
          <w:color w:val="auto"/>
          <w:kern w:val="0"/>
          <w:sz w:val="32"/>
          <w:szCs w:val="32"/>
          <w:lang w:val="en-US" w:eastAsia="zh-CN" w:bidi="ar-SA"/>
        </w:rPr>
        <w:t>生均公用经费</w:t>
      </w:r>
      <w:r>
        <w:rPr>
          <w:rFonts w:hint="eastAsia" w:ascii="仿宋" w:hAnsi="仿宋" w:eastAsia="仿宋" w:cs="仿宋"/>
          <w:color w:val="auto"/>
          <w:kern w:val="0"/>
          <w:sz w:val="32"/>
          <w:szCs w:val="32"/>
          <w:lang w:val="en-US" w:eastAsia="zh-CN" w:bidi="ar-SA"/>
        </w:rPr>
        <w:fldChar w:fldCharType="end"/>
      </w:r>
      <w:r>
        <w:rPr>
          <w:rFonts w:hint="eastAsia" w:ascii="仿宋" w:hAnsi="仿宋" w:eastAsia="仿宋" w:cs="仿宋"/>
          <w:color w:val="auto"/>
          <w:kern w:val="0"/>
          <w:sz w:val="32"/>
          <w:szCs w:val="32"/>
          <w:lang w:val="en-US" w:eastAsia="zh-CN" w:bidi="ar-SA"/>
        </w:rPr>
        <w:t>”和“生均</w:t>
      </w:r>
      <w:r>
        <w:rPr>
          <w:rFonts w:hint="eastAsia" w:ascii="仿宋" w:hAnsi="仿宋" w:eastAsia="仿宋" w:cs="仿宋"/>
          <w:color w:val="auto"/>
          <w:kern w:val="0"/>
          <w:sz w:val="32"/>
          <w:szCs w:val="32"/>
          <w:lang w:val="en-US" w:eastAsia="zh-CN" w:bidi="ar-SA"/>
        </w:rPr>
        <w:fldChar w:fldCharType="begin"/>
      </w:r>
      <w:r>
        <w:rPr>
          <w:rFonts w:hint="eastAsia" w:ascii="仿宋" w:hAnsi="仿宋" w:eastAsia="仿宋" w:cs="仿宋"/>
          <w:color w:val="auto"/>
          <w:kern w:val="0"/>
          <w:sz w:val="32"/>
          <w:szCs w:val="32"/>
          <w:lang w:val="en-US" w:eastAsia="zh-CN" w:bidi="ar-SA"/>
        </w:rPr>
        <w:instrText xml:space="preserve"> HYPERLINK "https://baike.baidu.com/item/%E6%95%99%E8%82%B2%E7%BB%8F%E8%B4%B9/10945863?fromModule=lemma_inlink" \t "https://baike.baidu.com/item/%E7%94%9F%E5%9D%87%E7%BB%8F%E8%B4%B9/_blank" </w:instrText>
      </w:r>
      <w:r>
        <w:rPr>
          <w:rFonts w:hint="eastAsia" w:ascii="仿宋" w:hAnsi="仿宋" w:eastAsia="仿宋" w:cs="仿宋"/>
          <w:color w:val="auto"/>
          <w:kern w:val="0"/>
          <w:sz w:val="32"/>
          <w:szCs w:val="32"/>
          <w:lang w:val="en-US" w:eastAsia="zh-CN" w:bidi="ar-SA"/>
        </w:rPr>
        <w:fldChar w:fldCharType="separate"/>
      </w:r>
      <w:r>
        <w:rPr>
          <w:rFonts w:hint="eastAsia" w:ascii="仿宋" w:hAnsi="仿宋" w:eastAsia="仿宋" w:cs="仿宋"/>
          <w:color w:val="auto"/>
          <w:kern w:val="0"/>
          <w:sz w:val="32"/>
          <w:szCs w:val="32"/>
          <w:lang w:val="en-US" w:eastAsia="zh-CN" w:bidi="ar-SA"/>
        </w:rPr>
        <w:t>教育经费</w:t>
      </w:r>
      <w:r>
        <w:rPr>
          <w:rFonts w:hint="eastAsia" w:ascii="仿宋" w:hAnsi="仿宋" w:eastAsia="仿宋" w:cs="仿宋"/>
          <w:color w:val="auto"/>
          <w:kern w:val="0"/>
          <w:sz w:val="32"/>
          <w:szCs w:val="32"/>
          <w:lang w:val="en-US" w:eastAsia="zh-CN" w:bidi="ar-SA"/>
        </w:rPr>
        <w:fldChar w:fldCharType="end"/>
      </w:r>
      <w:r>
        <w:rPr>
          <w:rFonts w:hint="eastAsia" w:ascii="仿宋" w:hAnsi="仿宋" w:eastAsia="仿宋" w:cs="仿宋"/>
          <w:color w:val="auto"/>
          <w:kern w:val="0"/>
          <w:sz w:val="32"/>
          <w:szCs w:val="32"/>
          <w:lang w:val="en-US" w:eastAsia="zh-CN" w:bidi="ar-SA"/>
        </w:rPr>
        <w:t>”的简称。通常，生均经费会因地区不同、层次不同、时间不同而存在差异和变化。</w:t>
      </w:r>
    </w:p>
    <w:p>
      <w:pPr>
        <w:keepNext w:val="0"/>
        <w:keepLines w:val="0"/>
        <w:widowControl/>
        <w:suppressLineNumbers w:val="0"/>
        <w:shd w:val="clear" w:fill="FFFFFF"/>
        <w:spacing w:after="180" w:afterAutospacing="0" w:line="288" w:lineRule="atLeast"/>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特教岗位津贴，又称“特殊教育补贴费”。对特殊学校工作人员或手语翻译工资外的一种鼓励性补助。中国从1956年起开始设立，对盲、聋哑中小学的教员、校长、教导主任按评定的等级工资另外加发15%的津贴。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校舍维修项目包括教学楼墙面粉刷和厕所改造，主要是消除安全隐患，保障师生安全。本年度完成墙面粉刷和厕所改造工程施工和竣工验收。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芙蓉名师经费项目主要是2022年第四批教育综合发展专项（省级教师培训），主要用于杨仕沅名师工作室成员的培训学习及教研教改支出，通过学习培训，提升教师的教育教学能力及水平，培养一批优秀的教学名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特校学生生活费补助项目主要是解决学生生活问题，所有学生在校期间食宿全免，减轻了学生家庭的经济负担，提高了学生的幸福感。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学校改扩建（一期）工程项目主要是建设学生公寓及教师周转房，改善学校基础设施条件，有效解决师生住宿问题。《一期改扩建项目》建设已基本完成，争取在明年上半年完成验收等相关工作。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教师培训经费是指用于支持教师参加培训的各项费用。这些费用包括培训费、住宿费、交通费、餐费等。还包括教师参加培训所需的各种材料费用，如教材、试卷、笔记本、电子设备等。培训师资费用也是教师培训经费的一部分，包括培训讲师的酬劳、差旅费等。还包括教师培训所需的场地租赁费用，如会议室、讲堂等。教师培训经费中还包括其他必要的费用，如保险费、税费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送教上门教师进修培训项目主要是提升全市特校教师的送教上门水平，提升教师与残疾家庭人员的沟通技能，解决重度并多重残疾孩子的受教育问题，让他们也感受到社会对他们的关爱。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年度各项目按计划进行，截至2022年底，学校改扩建（一期）工程项目按时完工，配套设施设备也如期完成安装和采购并已交互使用，但工程尚在结算中；校舍维修项目按时完成了工程施工和竣工验收；芙蓉名师经费及送教上门教师进修培训项目均已按计划完成对教师的培训，培训率达100%；特校学生生活费补助已完成支付，学生全年生活费全免；资源教室建设项目完成了对质保金的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组织对“怀化市中心特殊教育学校”等1个单位开展整体支出绩效评价，涉及一般公共预算支出2013.74万元，政府性基金预算支出0万元。从评价情况来看，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2022年度整体收支情况为：怀化市中心特殊教育学校整体收入2013.74万【其中：财政拨款收入2013.74万元（项目收入1247.76万元，基本支出765.98万元），政府性基金收入0万元，其他收入0万元，年初结余结转0万元】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本年整体支出2013.74万元（其中：基本支出765.98万元，项目支出1247.76万元。）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本部门整体支出管理及使用情况为：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基本支出是指行政事业单位为保障其机构正常运转、完成日常工作任务而编制的年度基本支出计划，内容包括人员经费和日常公用经费两部分。本年度我校基本支出765.98万元，其中人员经费765.98万元，日常公用经费0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2022年我校“三公经费”总支出：0万元，比上年0.11万元减少0.11万元，因我校厉行节约，严格控制“三公经费”，公车已处置，招待费用共计0万元。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2.专项支出是指行政事业单位为完成特定的工作任务或事业发展目标，在基本的预算支出以外，财政预算专款安排的支出。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专项资金（包括财政资金、自筹资金等）安排落实、总投入等情况分析。本年度我校专项收入总计1247.76万元，其中财政资金1247.76万元，其他收入0万元，上年结转0万元。专项支出1247.76万元，与收入项目一致。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主要包括如下17个项目：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1.生均公用经费152万元；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 特教岗位津贴59.67万元万元；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3. 2021年校舍维修16.28万元；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4.芙蓉名师经费经费14.46万元；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5.学生生活费补助89.32万元；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6.教师培训经费0.735万元；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7.特校改扩建工程（一期）即上年的教师周转房及学生公寓建设工程结转金额630.75万元；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8.临聘教师经费124.88万元。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9.校方责任险0.31万元；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10. 校园保安经费10.86万元；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11.食堂薄改专项19.98万元；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12.教学楼外墙改造97.1万元；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13.委员工作室建设和运行经费2.78万元；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14.免费教科书0.88万元；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15.高中免学费2.24万元；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16.国培计划资金0.23万元；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17.贫困寄宿生生活费补助25.35万元。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专项资金（主要指财政资金）实际使用情况分析。本年度我校专项支出1247.76万元，与收入项目一致。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我校2021年结转的2个基建项目中：中心特校一期改扩建工程（即原教师周转房和学生公寓项目）工程款已支付97.03%，只预留质保金52.23万元；校舍维修（2021年教学楼粉刷及维修资金）本年已经竣工，并已结清全部款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还有2个项目（教学楼外墙改造、国培计划资金）结转下年继续完成。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另外13个项目均为本年新增项目并已按年度计划完成。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学校没有设基建专干，项目建设由分管财务、后勤的副校长罗明琼按校务会议的决定负责实施，建设中的各项事宜暂由罗明琼副校长负责。2022年由蒋少波校长全权参与监督与管理。总之，学校的专项有专人负责，有专项制度与管理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本年度，学校新增了843万元的资产，包括房屋、土地及建筑物818.73万元，通用设备8.956万元，专用设备0.148万元，家具用具13.19万元，图书1.99万元。均严格按资产配置程序办理。主要用于学校一期改扩建工程的工程结算款及新增师生办公及家具设施，所有资产与2022年12月前交互使用，进一步完善了师生的办公及住宿条件。</w:t>
      </w:r>
    </w:p>
    <w:p>
      <w:pPr>
        <w:numPr>
          <w:ilvl w:val="0"/>
          <w:numId w:val="3"/>
        </w:numPr>
        <w:autoSpaceDE w:val="0"/>
        <w:autoSpaceDN w:val="0"/>
        <w:adjustRightInd w:val="0"/>
        <w:ind w:firstLine="320" w:firstLineChars="100"/>
        <w:jc w:val="left"/>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部门决算中项目绩效自评结果。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eastAsia" w:cs="黑体" w:asciiTheme="minorEastAsia" w:hAnsiTheme="minorEastAsia"/>
          <w:color w:val="000000"/>
          <w:kern w:val="0"/>
          <w:sz w:val="32"/>
          <w:szCs w:val="32"/>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生均公用经费项目</w:t>
      </w:r>
      <w:r>
        <w:rPr>
          <w:rFonts w:hint="eastAsia" w:ascii="宋体" w:hAnsi="宋体" w:eastAsia="宋体" w:cs="宋体"/>
          <w:i w:val="0"/>
          <w:iCs w:val="0"/>
          <w:caps w:val="0"/>
          <w:color w:val="000000"/>
          <w:spacing w:val="0"/>
          <w:sz w:val="32"/>
          <w:szCs w:val="32"/>
          <w:shd w:val="clear" w:fill="FFFFFF"/>
        </w:rPr>
        <w:t>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152</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152</w:t>
      </w:r>
      <w:r>
        <w:rPr>
          <w:rFonts w:hint="eastAsia" w:ascii="宋体" w:hAnsi="宋体" w:eastAsia="宋体" w:cs="宋体"/>
          <w:i w:val="0"/>
          <w:iCs w:val="0"/>
          <w:caps w:val="0"/>
          <w:color w:val="000000"/>
          <w:spacing w:val="0"/>
          <w:sz w:val="32"/>
          <w:szCs w:val="32"/>
          <w:shd w:val="clear" w:fill="FFFFFF"/>
        </w:rPr>
        <w:t>万元，完成预算的100%。项目绩效目标完成情况：</w:t>
      </w:r>
      <w:r>
        <w:rPr>
          <w:rFonts w:hint="eastAsia" w:cs="黑体" w:asciiTheme="minorEastAsia" w:hAnsiTheme="minorEastAsia"/>
          <w:color w:val="000000"/>
          <w:kern w:val="0"/>
          <w:sz w:val="32"/>
          <w:szCs w:val="32"/>
          <w:lang w:val="en-US" w:eastAsia="zh-CN"/>
        </w:rPr>
        <w:t>已完成学校本年全部运转。</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特教岗位津贴项目</w:t>
      </w:r>
      <w:r>
        <w:rPr>
          <w:rFonts w:hint="eastAsia" w:ascii="宋体" w:hAnsi="宋体" w:eastAsia="宋体" w:cs="宋体"/>
          <w:i w:val="0"/>
          <w:iCs w:val="0"/>
          <w:caps w:val="0"/>
          <w:color w:val="000000"/>
          <w:spacing w:val="0"/>
          <w:sz w:val="32"/>
          <w:szCs w:val="32"/>
          <w:shd w:val="clear" w:fill="FFFFFF"/>
        </w:rPr>
        <w:t>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59.67</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59.67</w:t>
      </w:r>
      <w:r>
        <w:rPr>
          <w:rFonts w:hint="eastAsia" w:ascii="宋体" w:hAnsi="宋体" w:eastAsia="宋体" w:cs="宋体"/>
          <w:i w:val="0"/>
          <w:iCs w:val="0"/>
          <w:caps w:val="0"/>
          <w:color w:val="000000"/>
          <w:spacing w:val="0"/>
          <w:sz w:val="32"/>
          <w:szCs w:val="32"/>
          <w:shd w:val="clear" w:fill="FFFFFF"/>
        </w:rPr>
        <w:t>万元，完成预算的100%。项目绩效目标完成情况：</w:t>
      </w:r>
      <w:r>
        <w:rPr>
          <w:rFonts w:hint="eastAsia" w:cs="黑体" w:asciiTheme="minorEastAsia" w:hAnsiTheme="minorEastAsia"/>
          <w:color w:val="000000"/>
          <w:kern w:val="0"/>
          <w:sz w:val="32"/>
          <w:szCs w:val="32"/>
          <w:lang w:val="en-US" w:eastAsia="zh-CN"/>
        </w:rPr>
        <w:t>已完成学校本年教师特教岗位津贴全部发放，提升教师的幸福感和工作积极性。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校舍维修项目</w:t>
      </w:r>
      <w:r>
        <w:rPr>
          <w:rFonts w:hint="eastAsia" w:ascii="宋体" w:hAnsi="宋体" w:eastAsia="宋体" w:cs="宋体"/>
          <w:i w:val="0"/>
          <w:iCs w:val="0"/>
          <w:caps w:val="0"/>
          <w:color w:val="000000"/>
          <w:spacing w:val="0"/>
          <w:sz w:val="32"/>
          <w:szCs w:val="32"/>
          <w:shd w:val="clear" w:fill="FFFFFF"/>
        </w:rPr>
        <w:t>绩效自评综述：根据年初设定的绩效目标，项目绩效自评得分为93分。项目全年预算数为</w:t>
      </w:r>
      <w:r>
        <w:rPr>
          <w:rFonts w:hint="eastAsia" w:ascii="宋体" w:hAnsi="宋体" w:eastAsia="宋体" w:cs="宋体"/>
          <w:i w:val="0"/>
          <w:iCs w:val="0"/>
          <w:caps w:val="0"/>
          <w:color w:val="000000"/>
          <w:spacing w:val="0"/>
          <w:sz w:val="36"/>
          <w:szCs w:val="36"/>
          <w:shd w:val="clear" w:fill="FFFFFF"/>
          <w:lang w:val="en-US" w:eastAsia="zh-CN"/>
        </w:rPr>
        <w:t>16.28</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16.28</w:t>
      </w:r>
      <w:r>
        <w:rPr>
          <w:rFonts w:hint="eastAsia" w:ascii="宋体" w:hAnsi="宋体" w:eastAsia="宋体" w:cs="宋体"/>
          <w:i w:val="0"/>
          <w:iCs w:val="0"/>
          <w:caps w:val="0"/>
          <w:color w:val="000000"/>
          <w:spacing w:val="0"/>
          <w:sz w:val="32"/>
          <w:szCs w:val="32"/>
          <w:shd w:val="clear" w:fill="FFFFFF"/>
        </w:rPr>
        <w:t>万元，完成预算的100%。项目绩效目标完成情况：</w:t>
      </w:r>
      <w:r>
        <w:rPr>
          <w:rFonts w:hint="eastAsia" w:cs="黑体" w:asciiTheme="minorEastAsia" w:hAnsiTheme="minorEastAsia"/>
          <w:color w:val="000000"/>
          <w:kern w:val="0"/>
          <w:sz w:val="32"/>
          <w:szCs w:val="32"/>
          <w:lang w:val="en-US" w:eastAsia="zh-CN"/>
        </w:rPr>
        <w:t>本年度完成教室墙面粉刷，教学楼厕所改造工程施工和竣工验收，美化校园环境，提高校园安全指数。</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default" w:ascii="Calibri" w:hAnsi="Calibri" w:cs="Calibri"/>
          <w:i w:val="0"/>
          <w:iCs w:val="0"/>
          <w:caps w:val="0"/>
          <w:color w:val="3D3D3D"/>
          <w:spacing w:val="0"/>
          <w:sz w:val="21"/>
          <w:szCs w:val="21"/>
          <w:lang w:val="en-US"/>
        </w:rPr>
      </w:pPr>
      <w:r>
        <w:rPr>
          <w:rFonts w:hint="eastAsia" w:cs="黑体" w:asciiTheme="minorEastAsia" w:hAnsiTheme="minorEastAsia"/>
          <w:color w:val="000000"/>
          <w:kern w:val="0"/>
          <w:sz w:val="32"/>
          <w:szCs w:val="32"/>
          <w:lang w:val="en-US" w:eastAsia="zh-CN"/>
        </w:rPr>
        <w:t>芙蓉名师经费</w:t>
      </w:r>
      <w:r>
        <w:rPr>
          <w:rFonts w:hint="eastAsia" w:ascii="宋体" w:hAnsi="宋体" w:eastAsia="宋体" w:cs="宋体"/>
          <w:i w:val="0"/>
          <w:iCs w:val="0"/>
          <w:caps w:val="0"/>
          <w:color w:val="000000"/>
          <w:spacing w:val="0"/>
          <w:sz w:val="32"/>
          <w:szCs w:val="32"/>
          <w:shd w:val="clear" w:fill="FFFFFF"/>
        </w:rPr>
        <w:t>项目绩效自评综述：根据年初设定的绩效目标，项目绩效自评得分为93分。项目全年预算数为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14.46</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14.46</w:t>
      </w:r>
      <w:r>
        <w:rPr>
          <w:rFonts w:hint="eastAsia" w:ascii="宋体" w:hAnsi="宋体" w:eastAsia="宋体" w:cs="宋体"/>
          <w:i w:val="0"/>
          <w:iCs w:val="0"/>
          <w:caps w:val="0"/>
          <w:color w:val="000000"/>
          <w:spacing w:val="0"/>
          <w:sz w:val="32"/>
          <w:szCs w:val="32"/>
          <w:shd w:val="clear" w:fill="FFFFFF"/>
        </w:rPr>
        <w:t>万元，完成预算的100%。项目绩效目标完成情况：已完成</w:t>
      </w:r>
      <w:r>
        <w:rPr>
          <w:rFonts w:hint="eastAsia" w:ascii="宋体" w:hAnsi="宋体" w:eastAsia="宋体" w:cs="宋体"/>
          <w:i w:val="0"/>
          <w:iCs w:val="0"/>
          <w:caps w:val="0"/>
          <w:color w:val="000000"/>
          <w:spacing w:val="0"/>
          <w:sz w:val="32"/>
          <w:szCs w:val="32"/>
          <w:shd w:val="clear" w:fill="FFFFFF"/>
          <w:lang w:val="en-US" w:eastAsia="zh-CN"/>
        </w:rPr>
        <w:t>两次名师工作室人员培训，完成名师工作室的设备采购与建设。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特校学生生活费补助项目</w:t>
      </w:r>
      <w:r>
        <w:rPr>
          <w:rFonts w:hint="eastAsia" w:ascii="宋体" w:hAnsi="宋体" w:eastAsia="宋体" w:cs="宋体"/>
          <w:i w:val="0"/>
          <w:iCs w:val="0"/>
          <w:caps w:val="0"/>
          <w:color w:val="000000"/>
          <w:spacing w:val="0"/>
          <w:sz w:val="32"/>
          <w:szCs w:val="32"/>
          <w:shd w:val="clear" w:fill="FFFFFF"/>
        </w:rPr>
        <w:t>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89.32</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89.32</w:t>
      </w:r>
      <w:r>
        <w:rPr>
          <w:rFonts w:hint="eastAsia" w:ascii="宋体" w:hAnsi="宋体" w:eastAsia="宋体" w:cs="宋体"/>
          <w:i w:val="0"/>
          <w:iCs w:val="0"/>
          <w:caps w:val="0"/>
          <w:color w:val="000000"/>
          <w:spacing w:val="0"/>
          <w:sz w:val="32"/>
          <w:szCs w:val="32"/>
          <w:shd w:val="clear" w:fill="FFFFFF"/>
        </w:rPr>
        <w:t>万元，完成预算的100%。项目绩效目标完成情况：</w:t>
      </w:r>
      <w:r>
        <w:rPr>
          <w:rFonts w:hint="eastAsia" w:cs="黑体" w:asciiTheme="minorEastAsia" w:hAnsiTheme="minorEastAsia"/>
          <w:color w:val="000000"/>
          <w:kern w:val="0"/>
          <w:sz w:val="32"/>
          <w:szCs w:val="32"/>
          <w:lang w:val="en-US" w:eastAsia="zh-CN"/>
        </w:rPr>
        <w:t>解决在校学生生活问题，所有学生在校期间食宿全免，减轻了学生家庭的经济负担，提高了学生的幸福感。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学校改扩建（一期）工程项目</w:t>
      </w:r>
      <w:r>
        <w:rPr>
          <w:rFonts w:hint="eastAsia" w:ascii="宋体" w:hAnsi="宋体" w:eastAsia="宋体" w:cs="宋体"/>
          <w:i w:val="0"/>
          <w:iCs w:val="0"/>
          <w:caps w:val="0"/>
          <w:color w:val="000000"/>
          <w:spacing w:val="0"/>
          <w:sz w:val="32"/>
          <w:szCs w:val="32"/>
          <w:shd w:val="clear" w:fill="FFFFFF"/>
        </w:rPr>
        <w:t>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630.75</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630.75</w:t>
      </w:r>
      <w:r>
        <w:rPr>
          <w:rFonts w:hint="eastAsia" w:ascii="宋体" w:hAnsi="宋体" w:eastAsia="宋体" w:cs="宋体"/>
          <w:i w:val="0"/>
          <w:iCs w:val="0"/>
          <w:caps w:val="0"/>
          <w:color w:val="000000"/>
          <w:spacing w:val="0"/>
          <w:sz w:val="32"/>
          <w:szCs w:val="32"/>
          <w:shd w:val="clear" w:fill="FFFFFF"/>
        </w:rPr>
        <w:t>万元，完成预算的100%。项目绩效目标完成情况：</w:t>
      </w:r>
      <w:r>
        <w:rPr>
          <w:rFonts w:hint="eastAsia" w:cs="黑体" w:asciiTheme="minorEastAsia" w:hAnsiTheme="minorEastAsia"/>
          <w:color w:val="000000"/>
          <w:kern w:val="0"/>
          <w:sz w:val="32"/>
          <w:szCs w:val="32"/>
          <w:lang w:val="en-US" w:eastAsia="zh-CN"/>
        </w:rPr>
        <w:t>本年度改扩建（一期）工程已全部完工，工程及验收款项已支付完成。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Calibri" w:hAnsi="Calibri" w:cs="Calibri"/>
          <w:i w:val="0"/>
          <w:iCs w:val="0"/>
          <w:caps w:val="0"/>
          <w:color w:val="3D3D3D"/>
          <w:spacing w:val="0"/>
          <w:sz w:val="21"/>
          <w:szCs w:val="21"/>
        </w:rPr>
      </w:pPr>
      <w:r>
        <w:rPr>
          <w:rFonts w:hint="eastAsia" w:cs="黑体" w:asciiTheme="minorEastAsia" w:hAnsiTheme="minorEastAsia"/>
          <w:color w:val="000000"/>
          <w:kern w:val="0"/>
          <w:sz w:val="32"/>
          <w:szCs w:val="32"/>
          <w:lang w:val="en-US" w:eastAsia="zh-CN"/>
        </w:rPr>
        <w:t>临聘教师经费</w:t>
      </w:r>
      <w:r>
        <w:rPr>
          <w:rFonts w:hint="eastAsia" w:ascii="宋体" w:hAnsi="宋体" w:eastAsia="宋体" w:cs="宋体"/>
          <w:i w:val="0"/>
          <w:iCs w:val="0"/>
          <w:caps w:val="0"/>
          <w:color w:val="000000"/>
          <w:spacing w:val="0"/>
          <w:sz w:val="32"/>
          <w:szCs w:val="32"/>
          <w:shd w:val="clear" w:fill="FFFFFF"/>
        </w:rPr>
        <w:t>项目绩效自评综述：根据年初设定的绩效目标，项目绩效自评得分为93分。项目全年预算数为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124.88</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124.88</w:t>
      </w:r>
      <w:r>
        <w:rPr>
          <w:rFonts w:hint="eastAsia" w:ascii="宋体" w:hAnsi="宋体" w:eastAsia="宋体" w:cs="宋体"/>
          <w:i w:val="0"/>
          <w:iCs w:val="0"/>
          <w:caps w:val="0"/>
          <w:color w:val="000000"/>
          <w:spacing w:val="0"/>
          <w:sz w:val="32"/>
          <w:szCs w:val="32"/>
          <w:shd w:val="clear" w:fill="FFFFFF"/>
        </w:rPr>
        <w:t>万元，完成预算的100%。项目绩效目标完成情况：已完成学校</w:t>
      </w:r>
      <w:r>
        <w:rPr>
          <w:rFonts w:hint="eastAsia" w:cs="黑体" w:asciiTheme="minorEastAsia" w:hAnsiTheme="minorEastAsia"/>
          <w:color w:val="000000"/>
          <w:kern w:val="0"/>
          <w:sz w:val="32"/>
          <w:szCs w:val="32"/>
          <w:lang w:val="en-US" w:eastAsia="zh-CN"/>
        </w:rPr>
        <w:t>临聘教师经费发放，提高临聘教师幸福感，提高工作积极性</w:t>
      </w:r>
      <w:r>
        <w:rPr>
          <w:rFonts w:hint="eastAsia" w:ascii="宋体" w:hAnsi="宋体" w:eastAsia="宋体" w:cs="宋体"/>
          <w:i w:val="0"/>
          <w:iCs w:val="0"/>
          <w:caps w:val="0"/>
          <w:color w:val="000000"/>
          <w:spacing w:val="0"/>
          <w:sz w:val="32"/>
          <w:szCs w:val="32"/>
          <w:shd w:val="clear"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Calibri" w:hAnsi="Calibri" w:cs="Calibri"/>
          <w:i w:val="0"/>
          <w:iCs w:val="0"/>
          <w:caps w:val="0"/>
          <w:color w:val="3D3D3D"/>
          <w:spacing w:val="0"/>
          <w:sz w:val="21"/>
          <w:szCs w:val="21"/>
        </w:rPr>
      </w:pPr>
      <w:r>
        <w:rPr>
          <w:rFonts w:hint="eastAsia" w:ascii="宋体" w:hAnsi="宋体" w:eastAsia="宋体" w:cs="宋体"/>
          <w:i w:val="0"/>
          <w:iCs w:val="0"/>
          <w:caps w:val="0"/>
          <w:color w:val="000000"/>
          <w:spacing w:val="0"/>
          <w:sz w:val="32"/>
          <w:szCs w:val="32"/>
          <w:shd w:val="clear" w:fill="FFFFFF"/>
          <w:lang w:val="en-US" w:eastAsia="zh-CN"/>
        </w:rPr>
        <w:t>校园保安经费</w:t>
      </w:r>
      <w:r>
        <w:rPr>
          <w:rFonts w:hint="eastAsia" w:ascii="宋体" w:hAnsi="宋体" w:eastAsia="宋体" w:cs="宋体"/>
          <w:i w:val="0"/>
          <w:iCs w:val="0"/>
          <w:caps w:val="0"/>
          <w:color w:val="000000"/>
          <w:spacing w:val="0"/>
          <w:sz w:val="32"/>
          <w:szCs w:val="32"/>
          <w:shd w:val="clear" w:fill="FFFFFF"/>
        </w:rPr>
        <w:t>项目绩效自评综述：根据年初设定的绩效目标，项目绩效自评得分为93分。项目全年预算数为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10.86</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10.86</w:t>
      </w:r>
      <w:r>
        <w:rPr>
          <w:rFonts w:hint="eastAsia" w:ascii="宋体" w:hAnsi="宋体" w:eastAsia="宋体" w:cs="宋体"/>
          <w:i w:val="0"/>
          <w:iCs w:val="0"/>
          <w:caps w:val="0"/>
          <w:color w:val="000000"/>
          <w:spacing w:val="0"/>
          <w:sz w:val="32"/>
          <w:szCs w:val="32"/>
          <w:shd w:val="clear" w:fill="FFFFFF"/>
        </w:rPr>
        <w:t>万元，完成预算的100%。项目绩效目标完成情况：已完成学校</w:t>
      </w:r>
      <w:r>
        <w:rPr>
          <w:rFonts w:hint="eastAsia" w:cs="黑体" w:asciiTheme="minorEastAsia" w:hAnsiTheme="minorEastAsia"/>
          <w:color w:val="000000"/>
          <w:kern w:val="0"/>
          <w:sz w:val="32"/>
          <w:szCs w:val="32"/>
          <w:lang w:val="en-US" w:eastAsia="zh-CN"/>
        </w:rPr>
        <w:t>保安工资发放，提升校园安全。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Calibri" w:hAnsi="Calibri" w:cs="Calibri"/>
          <w:i w:val="0"/>
          <w:iCs w:val="0"/>
          <w:caps w:val="0"/>
          <w:color w:val="3D3D3D"/>
          <w:spacing w:val="0"/>
          <w:sz w:val="21"/>
          <w:szCs w:val="21"/>
        </w:rPr>
      </w:pPr>
      <w:r>
        <w:rPr>
          <w:rFonts w:hint="eastAsia" w:cs="黑体" w:asciiTheme="minorEastAsia" w:hAnsiTheme="minorEastAsia"/>
          <w:color w:val="000000"/>
          <w:kern w:val="0"/>
          <w:sz w:val="32"/>
          <w:szCs w:val="32"/>
          <w:lang w:val="en-US" w:eastAsia="zh-CN"/>
        </w:rPr>
        <w:t>食堂薄改专项</w:t>
      </w:r>
      <w:r>
        <w:rPr>
          <w:rFonts w:hint="eastAsia" w:ascii="宋体" w:hAnsi="宋体" w:eastAsia="宋体" w:cs="宋体"/>
          <w:i w:val="0"/>
          <w:iCs w:val="0"/>
          <w:caps w:val="0"/>
          <w:color w:val="000000"/>
          <w:spacing w:val="0"/>
          <w:sz w:val="32"/>
          <w:szCs w:val="32"/>
          <w:shd w:val="clear" w:fill="FFFFFF"/>
        </w:rPr>
        <w:t>项目绩效自评综述：根据年初设定的绩效目标，项目绩效自评得分为93分。项目全年预算数为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19.98</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19.98</w:t>
      </w:r>
      <w:r>
        <w:rPr>
          <w:rFonts w:hint="eastAsia" w:ascii="宋体" w:hAnsi="宋体" w:eastAsia="宋体" w:cs="宋体"/>
          <w:i w:val="0"/>
          <w:iCs w:val="0"/>
          <w:caps w:val="0"/>
          <w:color w:val="000000"/>
          <w:spacing w:val="0"/>
          <w:sz w:val="32"/>
          <w:szCs w:val="32"/>
          <w:shd w:val="clear" w:fill="FFFFFF"/>
        </w:rPr>
        <w:t>万元，完成预算的100%。项目绩效目标完成情况：已完成学校</w:t>
      </w:r>
      <w:r>
        <w:rPr>
          <w:rFonts w:hint="eastAsia" w:cs="黑体" w:asciiTheme="minorEastAsia" w:hAnsiTheme="minorEastAsia"/>
          <w:color w:val="000000"/>
          <w:kern w:val="0"/>
          <w:sz w:val="32"/>
          <w:szCs w:val="32"/>
          <w:lang w:val="en-US" w:eastAsia="zh-CN"/>
        </w:rPr>
        <w:t>食堂改造，美化师生就餐环境</w:t>
      </w:r>
      <w:r>
        <w:rPr>
          <w:rFonts w:hint="eastAsia" w:ascii="宋体" w:hAnsi="宋体" w:eastAsia="宋体" w:cs="宋体"/>
          <w:i w:val="0"/>
          <w:iCs w:val="0"/>
          <w:caps w:val="0"/>
          <w:color w:val="000000"/>
          <w:spacing w:val="0"/>
          <w:sz w:val="32"/>
          <w:szCs w:val="32"/>
          <w:shd w:val="clear"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Calibri" w:hAnsi="Calibri" w:cs="Calibri"/>
          <w:i w:val="0"/>
          <w:iCs w:val="0"/>
          <w:caps w:val="0"/>
          <w:color w:val="3D3D3D"/>
          <w:spacing w:val="0"/>
          <w:sz w:val="21"/>
          <w:szCs w:val="21"/>
        </w:rPr>
      </w:pPr>
      <w:r>
        <w:rPr>
          <w:rFonts w:hint="eastAsia" w:cs="黑体" w:asciiTheme="minorEastAsia" w:hAnsiTheme="minorEastAsia"/>
          <w:color w:val="000000"/>
          <w:kern w:val="0"/>
          <w:sz w:val="32"/>
          <w:szCs w:val="32"/>
          <w:lang w:val="en-US" w:eastAsia="zh-CN"/>
        </w:rPr>
        <w:t>教学楼外墙改造</w:t>
      </w:r>
      <w:r>
        <w:rPr>
          <w:rFonts w:hint="eastAsia" w:ascii="宋体" w:hAnsi="宋体" w:eastAsia="宋体" w:cs="宋体"/>
          <w:i w:val="0"/>
          <w:iCs w:val="0"/>
          <w:caps w:val="0"/>
          <w:color w:val="000000"/>
          <w:spacing w:val="0"/>
          <w:sz w:val="32"/>
          <w:szCs w:val="32"/>
          <w:shd w:val="clear" w:fill="FFFFFF"/>
        </w:rPr>
        <w:t>项目绩效自评综述：根据年初设定的绩效目标，项目绩效自评得分为93分。项目全年预算数为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97.1</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97.1</w:t>
      </w:r>
      <w:r>
        <w:rPr>
          <w:rFonts w:hint="eastAsia" w:ascii="宋体" w:hAnsi="宋体" w:eastAsia="宋体" w:cs="宋体"/>
          <w:i w:val="0"/>
          <w:iCs w:val="0"/>
          <w:caps w:val="0"/>
          <w:color w:val="000000"/>
          <w:spacing w:val="0"/>
          <w:sz w:val="32"/>
          <w:szCs w:val="32"/>
          <w:shd w:val="clear" w:fill="FFFFFF"/>
        </w:rPr>
        <w:t>万元，完成预算的100%。项目绩效目标完成情况：已完成</w:t>
      </w:r>
      <w:r>
        <w:rPr>
          <w:rFonts w:hint="eastAsia" w:ascii="宋体" w:hAnsi="宋体" w:eastAsia="宋体" w:cs="宋体"/>
          <w:i w:val="0"/>
          <w:iCs w:val="0"/>
          <w:caps w:val="0"/>
          <w:color w:val="000000"/>
          <w:spacing w:val="0"/>
          <w:sz w:val="32"/>
          <w:szCs w:val="32"/>
          <w:shd w:val="clear" w:fill="FFFFFF"/>
          <w:lang w:val="en-US" w:eastAsia="zh-CN"/>
        </w:rPr>
        <w:t>学校教学楼外墙改造，美化校园环境</w:t>
      </w:r>
      <w:r>
        <w:rPr>
          <w:rFonts w:hint="eastAsia" w:ascii="宋体" w:hAnsi="宋体" w:eastAsia="宋体" w:cs="宋体"/>
          <w:i w:val="0"/>
          <w:iCs w:val="0"/>
          <w:caps w:val="0"/>
          <w:color w:val="000000"/>
          <w:spacing w:val="0"/>
          <w:sz w:val="32"/>
          <w:szCs w:val="32"/>
          <w:shd w:val="clear"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40"/>
        <w:jc w:val="left"/>
        <w:rPr>
          <w:rFonts w:hint="default" w:ascii="Calibri" w:hAnsi="Calibri" w:cs="Calibri"/>
          <w:i w:val="0"/>
          <w:iCs w:val="0"/>
          <w:caps w:val="0"/>
          <w:color w:val="3D3D3D"/>
          <w:spacing w:val="0"/>
          <w:sz w:val="21"/>
          <w:szCs w:val="21"/>
        </w:rPr>
      </w:pPr>
      <w:r>
        <w:rPr>
          <w:rFonts w:hint="eastAsia" w:cs="黑体" w:asciiTheme="minorEastAsia" w:hAnsiTheme="minorEastAsia"/>
          <w:color w:val="000000"/>
          <w:kern w:val="0"/>
          <w:sz w:val="32"/>
          <w:szCs w:val="32"/>
          <w:lang w:val="en-US" w:eastAsia="zh-CN"/>
        </w:rPr>
        <w:t>贫困寄宿生生活费补助</w:t>
      </w:r>
      <w:r>
        <w:rPr>
          <w:rFonts w:hint="eastAsia" w:ascii="宋体" w:hAnsi="宋体" w:eastAsia="宋体" w:cs="宋体"/>
          <w:i w:val="0"/>
          <w:iCs w:val="0"/>
          <w:caps w:val="0"/>
          <w:color w:val="000000"/>
          <w:spacing w:val="0"/>
          <w:sz w:val="32"/>
          <w:szCs w:val="32"/>
          <w:shd w:val="clear" w:fill="FFFFFF"/>
        </w:rPr>
        <w:t>项目绩效自评综述：根据年初设定的绩效目标，项目绩效自评得分为93分。项目全年预算数为</w:t>
      </w:r>
      <w:r>
        <w:rPr>
          <w:rFonts w:hint="eastAsia" w:ascii="宋体" w:hAnsi="宋体" w:eastAsia="宋体" w:cs="宋体"/>
          <w:i w:val="0"/>
          <w:iCs w:val="0"/>
          <w:caps w:val="0"/>
          <w:color w:val="000000"/>
          <w:spacing w:val="0"/>
          <w:sz w:val="32"/>
          <w:szCs w:val="32"/>
          <w:shd w:val="clear" w:fill="FFFFFF"/>
          <w:lang w:val="en-US" w:eastAsia="zh-CN"/>
        </w:rPr>
        <w:t>25.35</w:t>
      </w:r>
      <w:r>
        <w:rPr>
          <w:rFonts w:hint="eastAsia" w:ascii="宋体" w:hAnsi="宋体" w:eastAsia="宋体" w:cs="宋体"/>
          <w:i w:val="0"/>
          <w:iCs w:val="0"/>
          <w:caps w:val="0"/>
          <w:color w:val="000000"/>
          <w:spacing w:val="0"/>
          <w:sz w:val="32"/>
          <w:szCs w:val="32"/>
          <w:shd w:val="clear" w:fill="FFFFFF"/>
        </w:rPr>
        <w:t>万元，执行数为</w:t>
      </w:r>
      <w:r>
        <w:rPr>
          <w:rFonts w:hint="eastAsia" w:ascii="宋体" w:hAnsi="宋体" w:eastAsia="宋体" w:cs="宋体"/>
          <w:i w:val="0"/>
          <w:iCs w:val="0"/>
          <w:caps w:val="0"/>
          <w:color w:val="000000"/>
          <w:spacing w:val="0"/>
          <w:sz w:val="32"/>
          <w:szCs w:val="32"/>
          <w:shd w:val="clear" w:fill="FFFFFF"/>
          <w:lang w:val="en-US" w:eastAsia="zh-CN"/>
        </w:rPr>
        <w:t>25.35</w:t>
      </w:r>
      <w:r>
        <w:rPr>
          <w:rFonts w:hint="eastAsia" w:ascii="宋体" w:hAnsi="宋体" w:eastAsia="宋体" w:cs="宋体"/>
          <w:i w:val="0"/>
          <w:iCs w:val="0"/>
          <w:caps w:val="0"/>
          <w:color w:val="000000"/>
          <w:spacing w:val="0"/>
          <w:sz w:val="32"/>
          <w:szCs w:val="32"/>
          <w:shd w:val="clear" w:fill="FFFFFF"/>
        </w:rPr>
        <w:t>万元，完成预算的100%。项目绩效目标完成情况：已完成学校</w:t>
      </w:r>
      <w:r>
        <w:rPr>
          <w:rFonts w:hint="eastAsia" w:cs="黑体" w:asciiTheme="minorEastAsia" w:hAnsiTheme="minorEastAsia"/>
          <w:color w:val="000000"/>
          <w:kern w:val="0"/>
          <w:sz w:val="32"/>
          <w:szCs w:val="32"/>
          <w:lang w:val="en-US" w:eastAsia="zh-CN"/>
        </w:rPr>
        <w:t>贫困寄宿生生活补助发放，提升学生幸福感</w:t>
      </w:r>
      <w:r>
        <w:rPr>
          <w:rFonts w:hint="eastAsia" w:ascii="宋体" w:hAnsi="宋体" w:eastAsia="宋体" w:cs="宋体"/>
          <w:i w:val="0"/>
          <w:iCs w:val="0"/>
          <w:caps w:val="0"/>
          <w:color w:val="000000"/>
          <w:spacing w:val="0"/>
          <w:sz w:val="32"/>
          <w:szCs w:val="32"/>
          <w:shd w:val="clear" w:fill="FFFFFF"/>
        </w:rPr>
        <w:t>。</w:t>
      </w:r>
    </w:p>
    <w:p>
      <w:pPr>
        <w:numPr>
          <w:ilvl w:val="0"/>
          <w:numId w:val="0"/>
        </w:numPr>
        <w:autoSpaceDE w:val="0"/>
        <w:autoSpaceDN w:val="0"/>
        <w:adjustRightInd w:val="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lang w:val="en-US" w:eastAsia="zh-CN"/>
        </w:rPr>
        <w:t xml:space="preserve">   </w:t>
      </w: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pPr>
        <w:pStyle w:val="14"/>
        <w:ind w:firstLine="640" w:firstLineChars="200"/>
        <w:jc w:val="both"/>
        <w:rPr>
          <w:rFonts w:hint="default" w:eastAsia="黑体"/>
          <w:sz w:val="72"/>
          <w:szCs w:val="72"/>
          <w:lang w:val="en-US" w:eastAsia="zh-CN"/>
        </w:rPr>
      </w:pPr>
      <w:r>
        <w:rPr>
          <w:rFonts w:hint="eastAsia" w:cs="黑体" w:asciiTheme="minorEastAsia" w:hAnsiTheme="minorEastAsia"/>
          <w:color w:val="000000"/>
          <w:kern w:val="0"/>
          <w:sz w:val="32"/>
          <w:szCs w:val="32"/>
          <w:lang w:val="en-US" w:eastAsia="zh-CN"/>
        </w:rPr>
        <w:t>2022年度部门项目绩效评价报告见附件。</w:t>
      </w:r>
    </w:p>
    <w:p>
      <w:pPr>
        <w:pStyle w:val="14"/>
        <w:ind w:firstLine="3600" w:firstLineChars="500"/>
        <w:jc w:val="both"/>
        <w:rPr>
          <w:rFonts w:hint="eastAsia"/>
          <w:sz w:val="72"/>
          <w:szCs w:val="7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仿宋" w:hAnsi="仿宋" w:eastAsia="仿宋" w:cs="仿宋"/>
          <w:color w:val="auto"/>
          <w:kern w:val="0"/>
          <w:sz w:val="32"/>
          <w:szCs w:val="32"/>
          <w:lang w:val="en-US" w:eastAsia="zh-CN" w:bidi="ar-SA"/>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keepNext w:val="0"/>
        <w:keepLines w:val="0"/>
        <w:pageBreakBefore w:val="0"/>
        <w:kinsoku/>
        <w:overflowPunct/>
        <w:topLinePunct w:val="0"/>
        <w:bidi w:val="0"/>
        <w:snapToGrid/>
        <w:spacing w:line="600" w:lineRule="exact"/>
        <w:ind w:left="0" w:leftChars="0" w:right="0" w:firstLine="640" w:firstLineChars="200"/>
        <w:jc w:val="both"/>
        <w:rPr>
          <w:rFonts w:hint="eastAsia" w:ascii="仿宋" w:hAnsi="仿宋" w:eastAsia="仿宋" w:cs="仿宋"/>
          <w:color w:val="auto"/>
          <w:sz w:val="32"/>
          <w:szCs w:val="32"/>
        </w:rPr>
      </w:pPr>
    </w:p>
    <w:p>
      <w:pPr>
        <w:pStyle w:val="14"/>
        <w:ind w:firstLine="2880" w:firstLineChars="400"/>
        <w:jc w:val="both"/>
        <w:rPr>
          <w:rFonts w:hint="eastAsia" w:ascii="方正小标宋_GBK" w:hAnsi="方正小标宋_GBK" w:eastAsia="方正小标宋_GBK" w:cs="方正小标宋_GBK"/>
          <w:sz w:val="72"/>
          <w:szCs w:val="72"/>
        </w:rPr>
      </w:pPr>
    </w:p>
    <w:p>
      <w:pPr>
        <w:pStyle w:val="14"/>
        <w:jc w:val="both"/>
        <w:rPr>
          <w:rFonts w:hint="eastAsia" w:ascii="方正小标宋_GBK" w:hAnsi="方正小标宋_GBK" w:eastAsia="方正小标宋_GBK" w:cs="方正小标宋_GBK"/>
          <w:sz w:val="72"/>
          <w:szCs w:val="72"/>
        </w:rPr>
      </w:pPr>
    </w:p>
    <w:p>
      <w:pPr>
        <w:pStyle w:val="14"/>
        <w:ind w:firstLine="2880" w:firstLineChars="400"/>
        <w:jc w:val="both"/>
        <w:rPr>
          <w:rFonts w:hint="eastAsia" w:ascii="方正小标宋_GBK" w:hAnsi="方正小标宋_GBK" w:eastAsia="方正小标宋_GBK" w:cs="方正小标宋_GBK"/>
          <w:sz w:val="72"/>
          <w:szCs w:val="72"/>
        </w:rPr>
      </w:pPr>
    </w:p>
    <w:p>
      <w:pPr>
        <w:pStyle w:val="14"/>
        <w:ind w:firstLine="2520" w:firstLineChars="300"/>
        <w:jc w:val="left"/>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第四部分</w:t>
      </w:r>
    </w:p>
    <w:p>
      <w:pPr>
        <w:pStyle w:val="14"/>
        <w:ind w:firstLine="3360" w:firstLineChars="400"/>
        <w:jc w:val="left"/>
        <w:rPr>
          <w:rFonts w:hint="eastAsia" w:ascii="方正小标宋_GBK" w:hAnsi="方正小标宋_GBK" w:eastAsia="方正小标宋_GBK" w:cs="方正小标宋_GBK"/>
          <w:sz w:val="84"/>
          <w:szCs w:val="84"/>
        </w:rPr>
      </w:pPr>
    </w:p>
    <w:p>
      <w:pPr>
        <w:pStyle w:val="14"/>
        <w:ind w:firstLine="2520" w:firstLineChars="300"/>
        <w:jc w:val="left"/>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名词解释</w:t>
      </w:r>
    </w:p>
    <w:p>
      <w:pPr>
        <w:pStyle w:val="14"/>
        <w:ind w:firstLine="2880" w:firstLineChars="400"/>
        <w:jc w:val="both"/>
        <w:rPr>
          <w:rFonts w:hint="eastAsia" w:ascii="方正小标宋_GBK" w:hAnsi="方正小标宋_GBK" w:eastAsia="方正小标宋_GBK" w:cs="方正小标宋_GBK"/>
          <w:sz w:val="72"/>
          <w:szCs w:val="72"/>
        </w:rPr>
      </w:pPr>
    </w:p>
    <w:p>
      <w:pPr>
        <w:pStyle w:val="14"/>
        <w:ind w:firstLine="2880" w:firstLineChars="400"/>
        <w:jc w:val="both"/>
        <w:rPr>
          <w:rFonts w:hint="eastAsia" w:ascii="方正小标宋_GBK" w:hAnsi="方正小标宋_GBK" w:eastAsia="方正小标宋_GBK" w:cs="方正小标宋_GBK"/>
          <w:sz w:val="72"/>
          <w:szCs w:val="72"/>
        </w:rPr>
      </w:pPr>
    </w:p>
    <w:p>
      <w:pPr>
        <w:pStyle w:val="14"/>
        <w:ind w:firstLine="2880" w:firstLineChars="400"/>
        <w:jc w:val="both"/>
        <w:rPr>
          <w:rFonts w:hint="eastAsia" w:ascii="方正小标宋_GBK" w:hAnsi="方正小标宋_GBK" w:eastAsia="方正小标宋_GBK" w:cs="方正小标宋_GBK"/>
          <w:sz w:val="72"/>
          <w:szCs w:val="72"/>
        </w:rPr>
      </w:pPr>
    </w:p>
    <w:p>
      <w:pPr>
        <w:pStyle w:val="14"/>
        <w:jc w:val="both"/>
        <w:rPr>
          <w:rFonts w:hint="eastAsia" w:ascii="方正小标宋_GBK" w:hAnsi="方正小标宋_GBK" w:eastAsia="方正小标宋_GBK" w:cs="方正小标宋_GBK"/>
          <w:sz w:val="72"/>
          <w:szCs w:val="7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4480" w:firstLineChars="14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怀化市中心特殊教育学校</w:t>
      </w: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2023年9月25日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附</w:t>
      </w:r>
      <w:r>
        <w:rPr>
          <w:rFonts w:hint="eastAsia" w:ascii="仿宋" w:hAnsi="仿宋" w:eastAsia="仿宋" w:cs="仿宋"/>
          <w:color w:val="auto"/>
          <w:sz w:val="32"/>
          <w:szCs w:val="32"/>
          <w:shd w:val="clear" w:fill="FFFFFF"/>
        </w:rPr>
        <w:t> </w:t>
      </w:r>
      <w:r>
        <w:rPr>
          <w:rFonts w:hint="eastAsia" w:ascii="仿宋" w:hAnsi="仿宋" w:eastAsia="仿宋" w:cs="仿宋"/>
          <w:color w:val="auto"/>
          <w:sz w:val="32"/>
          <w:szCs w:val="32"/>
          <w:shd w:val="clear" w:fill="FFFFFF"/>
          <w:lang w:val="en-US" w:eastAsia="zh-CN"/>
        </w:rPr>
        <w:t>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1.2022年决算公开表；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2.2022年部门整体支出绩效评价自评报告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default"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3.2022年部门整体支出绩效目标表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4.2022年专项资金绩效评价报告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color w:val="auto"/>
          <w:sz w:val="32"/>
          <w:szCs w:val="32"/>
          <w:shd w:val="clear" w:fill="FFFFFF"/>
          <w:lang w:val="en-US" w:eastAsia="zh-CN"/>
        </w:rPr>
      </w:pPr>
      <w:r>
        <w:rPr>
          <w:rFonts w:hint="eastAsia" w:ascii="仿宋" w:hAnsi="仿宋" w:eastAsia="仿宋" w:cs="仿宋"/>
          <w:color w:val="auto"/>
          <w:sz w:val="32"/>
          <w:szCs w:val="32"/>
          <w:shd w:val="clear" w:fill="FFFFFF"/>
          <w:lang w:val="en-US" w:eastAsia="zh-CN"/>
        </w:rPr>
        <w:t>5.2022年专项支出绩效目标表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default" w:ascii="仿宋" w:hAnsi="仿宋" w:eastAsia="仿宋" w:cs="仿宋"/>
          <w:color w:val="auto"/>
          <w:sz w:val="32"/>
          <w:szCs w:val="32"/>
          <w:shd w:val="clear" w:fill="FFFFFF"/>
          <w:lang w:val="en-US" w:eastAsia="zh-CN"/>
        </w:rPr>
      </w:pPr>
    </w:p>
    <w:p>
      <w:pPr>
        <w:pStyle w:val="6"/>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left"/>
        <w:textAlignment w:val="auto"/>
        <w:rPr>
          <w:rFonts w:hint="eastAsia" w:ascii="仿宋" w:hAnsi="仿宋" w:eastAsia="仿宋" w:cs="仿宋"/>
          <w:color w:val="auto"/>
          <w:sz w:val="32"/>
          <w:szCs w:val="32"/>
        </w:rPr>
      </w:pPr>
    </w:p>
    <w:p>
      <w:pPr>
        <w:keepNext w:val="0"/>
        <w:keepLines w:val="0"/>
        <w:pageBreakBefore w:val="0"/>
        <w:widowControl/>
        <w:kinsoku/>
        <w:overflowPunct/>
        <w:topLinePunct w:val="0"/>
        <w:bidi w:val="0"/>
        <w:snapToGrid/>
        <w:spacing w:line="600" w:lineRule="exact"/>
        <w:ind w:right="0"/>
        <w:jc w:val="left"/>
        <w:rPr>
          <w:rFonts w:hint="eastAsia" w:ascii="仿宋" w:hAnsi="仿宋" w:eastAsia="仿宋" w:cs="仿宋"/>
          <w:color w:val="auto"/>
          <w:kern w:val="0"/>
          <w:sz w:val="32"/>
          <w:szCs w:val="32"/>
        </w:rPr>
      </w:pPr>
    </w:p>
    <w:sectPr>
      <w:pgSz w:w="11906" w:h="16838"/>
      <w:pgMar w:top="1417" w:right="1587" w:bottom="1417"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CAB8B"/>
    <w:multiLevelType w:val="singleLevel"/>
    <w:tmpl w:val="FF5CAB8B"/>
    <w:lvl w:ilvl="0" w:tentative="0">
      <w:start w:val="1"/>
      <w:numFmt w:val="chineseCounting"/>
      <w:suff w:val="nothing"/>
      <w:lvlText w:val="%1、"/>
      <w:lvlJc w:val="left"/>
      <w:rPr>
        <w:rFonts w:hint="eastAsia"/>
      </w:rPr>
    </w:lvl>
  </w:abstractNum>
  <w:abstractNum w:abstractNumId="1">
    <w:nsid w:val="214A2397"/>
    <w:multiLevelType w:val="singleLevel"/>
    <w:tmpl w:val="214A2397"/>
    <w:lvl w:ilvl="0" w:tentative="0">
      <w:start w:val="2"/>
      <w:numFmt w:val="decimal"/>
      <w:suff w:val="nothing"/>
      <w:lvlText w:val="（%1）"/>
      <w:lvlJc w:val="left"/>
    </w:lvl>
  </w:abstractNum>
  <w:abstractNum w:abstractNumId="2">
    <w:nsid w:val="7F2AA498"/>
    <w:multiLevelType w:val="singleLevel"/>
    <w:tmpl w:val="7F2AA498"/>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YjM5MzA0NzFmNjYxZDQyZjgxNzIxOWFiNWFhNzU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D2C01"/>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164C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52086"/>
    <w:rsid w:val="0086638C"/>
    <w:rsid w:val="00882621"/>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B62F5"/>
    <w:rsid w:val="00FE16FA"/>
    <w:rsid w:val="00FE328A"/>
    <w:rsid w:val="00FE6269"/>
    <w:rsid w:val="00FF5CD6"/>
    <w:rsid w:val="019E4ED3"/>
    <w:rsid w:val="01D738EC"/>
    <w:rsid w:val="022278B2"/>
    <w:rsid w:val="034132F3"/>
    <w:rsid w:val="0453684A"/>
    <w:rsid w:val="04C414F5"/>
    <w:rsid w:val="05762682"/>
    <w:rsid w:val="05CD3158"/>
    <w:rsid w:val="06F07F7E"/>
    <w:rsid w:val="07702E6D"/>
    <w:rsid w:val="07B90CB8"/>
    <w:rsid w:val="088968DD"/>
    <w:rsid w:val="090F782C"/>
    <w:rsid w:val="09E83B86"/>
    <w:rsid w:val="0A1E12A6"/>
    <w:rsid w:val="0B4E34C6"/>
    <w:rsid w:val="0BE20906"/>
    <w:rsid w:val="0C346771"/>
    <w:rsid w:val="0CF84031"/>
    <w:rsid w:val="0E2C21E4"/>
    <w:rsid w:val="0F5D017B"/>
    <w:rsid w:val="112076B2"/>
    <w:rsid w:val="113F6615"/>
    <w:rsid w:val="11423ACC"/>
    <w:rsid w:val="12942044"/>
    <w:rsid w:val="133D39D3"/>
    <w:rsid w:val="13831B9F"/>
    <w:rsid w:val="13E838EE"/>
    <w:rsid w:val="143771ED"/>
    <w:rsid w:val="14A64372"/>
    <w:rsid w:val="15204125"/>
    <w:rsid w:val="1557566D"/>
    <w:rsid w:val="15E25A62"/>
    <w:rsid w:val="1630194C"/>
    <w:rsid w:val="164A4D4F"/>
    <w:rsid w:val="185D2F9A"/>
    <w:rsid w:val="188744BB"/>
    <w:rsid w:val="18F05E1B"/>
    <w:rsid w:val="191253D2"/>
    <w:rsid w:val="19521D97"/>
    <w:rsid w:val="19687E48"/>
    <w:rsid w:val="19923117"/>
    <w:rsid w:val="19CE3E03"/>
    <w:rsid w:val="1B554908"/>
    <w:rsid w:val="1E0740D4"/>
    <w:rsid w:val="20C57D36"/>
    <w:rsid w:val="22435C64"/>
    <w:rsid w:val="22AD4B1E"/>
    <w:rsid w:val="231A6657"/>
    <w:rsid w:val="23A93537"/>
    <w:rsid w:val="240D3AC6"/>
    <w:rsid w:val="24286B52"/>
    <w:rsid w:val="25C24650"/>
    <w:rsid w:val="264D0AF2"/>
    <w:rsid w:val="276B7A9A"/>
    <w:rsid w:val="27B16E5E"/>
    <w:rsid w:val="27F07987"/>
    <w:rsid w:val="280D0539"/>
    <w:rsid w:val="28321D4D"/>
    <w:rsid w:val="28E55011"/>
    <w:rsid w:val="29183639"/>
    <w:rsid w:val="2AA11E41"/>
    <w:rsid w:val="2D8D7A26"/>
    <w:rsid w:val="2D962D7E"/>
    <w:rsid w:val="2E017482"/>
    <w:rsid w:val="2EC8380D"/>
    <w:rsid w:val="300C557A"/>
    <w:rsid w:val="30BC6FA0"/>
    <w:rsid w:val="30F32296"/>
    <w:rsid w:val="31615451"/>
    <w:rsid w:val="31A024CE"/>
    <w:rsid w:val="31B1462B"/>
    <w:rsid w:val="31F91B2E"/>
    <w:rsid w:val="32044D41"/>
    <w:rsid w:val="327D450D"/>
    <w:rsid w:val="32892EB1"/>
    <w:rsid w:val="329D070B"/>
    <w:rsid w:val="32A970B0"/>
    <w:rsid w:val="33174961"/>
    <w:rsid w:val="33EB5B94"/>
    <w:rsid w:val="34CB67EC"/>
    <w:rsid w:val="35147EA3"/>
    <w:rsid w:val="36260A17"/>
    <w:rsid w:val="378232F8"/>
    <w:rsid w:val="393C6ED0"/>
    <w:rsid w:val="3AC058DE"/>
    <w:rsid w:val="3B027CA5"/>
    <w:rsid w:val="3B0F4170"/>
    <w:rsid w:val="3B4E4C98"/>
    <w:rsid w:val="3B693880"/>
    <w:rsid w:val="3B9528C7"/>
    <w:rsid w:val="3BB05953"/>
    <w:rsid w:val="3BCB453B"/>
    <w:rsid w:val="3C0637C5"/>
    <w:rsid w:val="3C7A386B"/>
    <w:rsid w:val="3C9B3F0D"/>
    <w:rsid w:val="3CA32DC2"/>
    <w:rsid w:val="3E021D6A"/>
    <w:rsid w:val="3E0930F8"/>
    <w:rsid w:val="3E6B790F"/>
    <w:rsid w:val="3EF734AC"/>
    <w:rsid w:val="406E7B8B"/>
    <w:rsid w:val="40C8285B"/>
    <w:rsid w:val="414A7A91"/>
    <w:rsid w:val="41AC44C7"/>
    <w:rsid w:val="421F2EEA"/>
    <w:rsid w:val="42731488"/>
    <w:rsid w:val="42866AE8"/>
    <w:rsid w:val="43956868"/>
    <w:rsid w:val="44810396"/>
    <w:rsid w:val="44CE29A6"/>
    <w:rsid w:val="44DA134B"/>
    <w:rsid w:val="44F22ED1"/>
    <w:rsid w:val="4554734F"/>
    <w:rsid w:val="45D3296A"/>
    <w:rsid w:val="47307948"/>
    <w:rsid w:val="473C453F"/>
    <w:rsid w:val="476615BC"/>
    <w:rsid w:val="48D2515B"/>
    <w:rsid w:val="48E1714C"/>
    <w:rsid w:val="48F7696F"/>
    <w:rsid w:val="49156DF5"/>
    <w:rsid w:val="49215FEB"/>
    <w:rsid w:val="49A60395"/>
    <w:rsid w:val="4C0B44E0"/>
    <w:rsid w:val="4C87000A"/>
    <w:rsid w:val="4CCC6DFF"/>
    <w:rsid w:val="4CE30FB8"/>
    <w:rsid w:val="4D2515D1"/>
    <w:rsid w:val="4E4B5067"/>
    <w:rsid w:val="4EB66985"/>
    <w:rsid w:val="4EB95470"/>
    <w:rsid w:val="4F55619D"/>
    <w:rsid w:val="50642410"/>
    <w:rsid w:val="506D39BB"/>
    <w:rsid w:val="506F7733"/>
    <w:rsid w:val="50812FC2"/>
    <w:rsid w:val="51022355"/>
    <w:rsid w:val="522462FB"/>
    <w:rsid w:val="533267F6"/>
    <w:rsid w:val="535E1CC5"/>
    <w:rsid w:val="53DF32C8"/>
    <w:rsid w:val="54A0435F"/>
    <w:rsid w:val="572D17AE"/>
    <w:rsid w:val="57E52089"/>
    <w:rsid w:val="58DD68BA"/>
    <w:rsid w:val="59282B75"/>
    <w:rsid w:val="594B23BF"/>
    <w:rsid w:val="5A731BCE"/>
    <w:rsid w:val="5A897643"/>
    <w:rsid w:val="5AB126F6"/>
    <w:rsid w:val="5B06360A"/>
    <w:rsid w:val="5B445318"/>
    <w:rsid w:val="5BC621D1"/>
    <w:rsid w:val="5BF3746A"/>
    <w:rsid w:val="5C2238AB"/>
    <w:rsid w:val="5C961BA3"/>
    <w:rsid w:val="5C974299"/>
    <w:rsid w:val="5D886258"/>
    <w:rsid w:val="5DC82230"/>
    <w:rsid w:val="5DFE59BA"/>
    <w:rsid w:val="5E5F47B7"/>
    <w:rsid w:val="5EDA221B"/>
    <w:rsid w:val="5F1576F7"/>
    <w:rsid w:val="5F8108E9"/>
    <w:rsid w:val="5FC627A0"/>
    <w:rsid w:val="5FD924D3"/>
    <w:rsid w:val="5FE33352"/>
    <w:rsid w:val="60AF2A95"/>
    <w:rsid w:val="60BE1475"/>
    <w:rsid w:val="60D11E95"/>
    <w:rsid w:val="61C76655"/>
    <w:rsid w:val="62377985"/>
    <w:rsid w:val="63A454EE"/>
    <w:rsid w:val="64144421"/>
    <w:rsid w:val="644D348F"/>
    <w:rsid w:val="64E831B8"/>
    <w:rsid w:val="66012783"/>
    <w:rsid w:val="66BA34C7"/>
    <w:rsid w:val="66F347C2"/>
    <w:rsid w:val="67E61C31"/>
    <w:rsid w:val="67E934CF"/>
    <w:rsid w:val="683D381B"/>
    <w:rsid w:val="6870599E"/>
    <w:rsid w:val="68896A60"/>
    <w:rsid w:val="68F4037D"/>
    <w:rsid w:val="692A3D9F"/>
    <w:rsid w:val="69981651"/>
    <w:rsid w:val="699D27C3"/>
    <w:rsid w:val="6A61457F"/>
    <w:rsid w:val="6B621F16"/>
    <w:rsid w:val="6C054650"/>
    <w:rsid w:val="6D363023"/>
    <w:rsid w:val="6D785A21"/>
    <w:rsid w:val="6D8E2AD7"/>
    <w:rsid w:val="6E2D572D"/>
    <w:rsid w:val="6EAB0203"/>
    <w:rsid w:val="6F0A08FB"/>
    <w:rsid w:val="6F6B6EC0"/>
    <w:rsid w:val="6F78000A"/>
    <w:rsid w:val="6F997ED1"/>
    <w:rsid w:val="700B1190"/>
    <w:rsid w:val="70187355"/>
    <w:rsid w:val="703025E3"/>
    <w:rsid w:val="7049353A"/>
    <w:rsid w:val="715A71EC"/>
    <w:rsid w:val="72240A40"/>
    <w:rsid w:val="729F22CB"/>
    <w:rsid w:val="738A200A"/>
    <w:rsid w:val="73912F37"/>
    <w:rsid w:val="73D40002"/>
    <w:rsid w:val="74736F42"/>
    <w:rsid w:val="74B94060"/>
    <w:rsid w:val="74EE0377"/>
    <w:rsid w:val="750A6DA3"/>
    <w:rsid w:val="75377B38"/>
    <w:rsid w:val="758B3E18"/>
    <w:rsid w:val="76816FC9"/>
    <w:rsid w:val="77C67389"/>
    <w:rsid w:val="78CC3920"/>
    <w:rsid w:val="791A3E30"/>
    <w:rsid w:val="79646EFB"/>
    <w:rsid w:val="7AB20098"/>
    <w:rsid w:val="7BA4364C"/>
    <w:rsid w:val="7BA7127F"/>
    <w:rsid w:val="7C3C2310"/>
    <w:rsid w:val="7C48015E"/>
    <w:rsid w:val="7C9B5288"/>
    <w:rsid w:val="7CB2612E"/>
    <w:rsid w:val="7D692C90"/>
    <w:rsid w:val="7D935F5F"/>
    <w:rsid w:val="7D937D0D"/>
    <w:rsid w:val="7E0D3F64"/>
    <w:rsid w:val="7E327526"/>
    <w:rsid w:val="7E5F3CC6"/>
    <w:rsid w:val="7EF70770"/>
    <w:rsid w:val="7F8A5140"/>
    <w:rsid w:val="7FA02970"/>
    <w:rsid w:val="7FC248DA"/>
    <w:rsid w:val="7FCB7C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semiHidden/>
    <w:unhideWhenUsed/>
    <w:uiPriority w:val="99"/>
    <w:rPr>
      <w:color w:val="0000FF"/>
      <w:u w:val="single"/>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9"/>
    <w:link w:val="3"/>
    <w:semiHidden/>
    <w:qFormat/>
    <w:uiPriority w:val="99"/>
    <w:rPr>
      <w:sz w:val="18"/>
      <w:szCs w:val="18"/>
    </w:rPr>
  </w:style>
  <w:style w:type="character" w:customStyle="1" w:styleId="17">
    <w:name w:val="font01"/>
    <w:basedOn w:val="9"/>
    <w:qFormat/>
    <w:uiPriority w:val="0"/>
    <w:rPr>
      <w:rFonts w:hint="eastAsia" w:ascii="宋体" w:hAnsi="宋体" w:eastAsia="宋体" w:cs="宋体"/>
      <w:color w:val="000000"/>
      <w:sz w:val="22"/>
      <w:szCs w:val="22"/>
      <w:u w:val="none"/>
    </w:rPr>
  </w:style>
  <w:style w:type="character" w:customStyle="1" w:styleId="18">
    <w:name w:val="font21"/>
    <w:basedOn w:val="9"/>
    <w:qFormat/>
    <w:uiPriority w:val="0"/>
    <w:rPr>
      <w:rFonts w:hint="eastAsia" w:ascii="宋体" w:hAnsi="宋体" w:eastAsia="宋体" w:cs="宋体"/>
      <w:color w:val="000000"/>
      <w:sz w:val="24"/>
      <w:szCs w:val="24"/>
      <w:u w:val="none"/>
    </w:rPr>
  </w:style>
  <w:style w:type="character" w:customStyle="1" w:styleId="19">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7906</Words>
  <Characters>8744</Characters>
  <Lines>69</Lines>
  <Paragraphs>19</Paragraphs>
  <TotalTime>42</TotalTime>
  <ScaleCrop>false</ScaleCrop>
  <LinksUpToDate>false</LinksUpToDate>
  <CharactersWithSpaces>8747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2022-08-30T09:02:00Z</dcterms:created>
  <dc:creator>李航 null</dc:creator>
  <cp:lastModifiedBy>雲隐</cp:lastModifiedBy>
  <cp:lastPrinted>2022-07-27T12:55:00Z</cp:lastPrinted>
  <dcterms:modified xsi:type="dcterms:W3CDTF">2023-09-27T11:28:26Z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EB223C870B4648D180998C2DD4A84064_13</vt:lpwstr>
  </property>
</Properties>
</file>