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0F4BC">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FCDA9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2FCDA9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120C458">
      <w:pPr>
        <w:pStyle w:val="13"/>
        <w:jc w:val="center"/>
        <w:rPr>
          <w:sz w:val="56"/>
          <w:szCs w:val="56"/>
        </w:rPr>
      </w:pPr>
    </w:p>
    <w:p w14:paraId="3DF7A163">
      <w:pPr>
        <w:pStyle w:val="13"/>
        <w:jc w:val="center"/>
        <w:rPr>
          <w:sz w:val="84"/>
          <w:szCs w:val="84"/>
        </w:rPr>
      </w:pPr>
    </w:p>
    <w:p w14:paraId="0F40C710">
      <w:pPr>
        <w:pStyle w:val="13"/>
        <w:jc w:val="center"/>
        <w:rPr>
          <w:sz w:val="84"/>
          <w:szCs w:val="84"/>
        </w:rPr>
      </w:pPr>
    </w:p>
    <w:p w14:paraId="4BFB385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73C2196">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怀化市中心特殊教育学校</w:t>
      </w:r>
    </w:p>
    <w:p w14:paraId="302806D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713FEB4">
      <w:pPr>
        <w:pStyle w:val="13"/>
        <w:jc w:val="center"/>
        <w:rPr>
          <w:rFonts w:hint="eastAsia" w:ascii="方正小标宋_GBK" w:hAnsi="方正小标宋_GBK" w:eastAsia="方正小标宋_GBK" w:cs="方正小标宋_GBK"/>
          <w:sz w:val="56"/>
          <w:szCs w:val="56"/>
        </w:rPr>
      </w:pPr>
    </w:p>
    <w:p w14:paraId="01EBD4DD">
      <w:pPr>
        <w:pStyle w:val="13"/>
        <w:jc w:val="center"/>
        <w:rPr>
          <w:sz w:val="56"/>
          <w:szCs w:val="56"/>
        </w:rPr>
      </w:pPr>
    </w:p>
    <w:p w14:paraId="745ABA8E">
      <w:pPr>
        <w:pStyle w:val="13"/>
        <w:jc w:val="center"/>
        <w:rPr>
          <w:sz w:val="56"/>
          <w:szCs w:val="56"/>
        </w:rPr>
      </w:pPr>
    </w:p>
    <w:p w14:paraId="2B0247BD">
      <w:pPr>
        <w:pStyle w:val="13"/>
        <w:jc w:val="center"/>
        <w:rPr>
          <w:sz w:val="56"/>
          <w:szCs w:val="56"/>
        </w:rPr>
      </w:pPr>
    </w:p>
    <w:p w14:paraId="26B11451">
      <w:pPr>
        <w:pStyle w:val="13"/>
        <w:jc w:val="center"/>
        <w:rPr>
          <w:sz w:val="32"/>
          <w:szCs w:val="32"/>
        </w:rPr>
      </w:pPr>
    </w:p>
    <w:p w14:paraId="79654CE3">
      <w:pPr>
        <w:pStyle w:val="13"/>
        <w:jc w:val="center"/>
        <w:rPr>
          <w:sz w:val="32"/>
          <w:szCs w:val="32"/>
        </w:rPr>
      </w:pPr>
    </w:p>
    <w:p w14:paraId="7CE4C976">
      <w:pPr>
        <w:pStyle w:val="13"/>
        <w:jc w:val="center"/>
        <w:rPr>
          <w:sz w:val="32"/>
          <w:szCs w:val="32"/>
        </w:rPr>
      </w:pPr>
    </w:p>
    <w:p w14:paraId="006B6CFE">
      <w:pPr>
        <w:pStyle w:val="13"/>
        <w:spacing w:line="500" w:lineRule="exact"/>
        <w:jc w:val="both"/>
        <w:rPr>
          <w:b/>
          <w:sz w:val="36"/>
          <w:szCs w:val="28"/>
        </w:rPr>
      </w:pPr>
    </w:p>
    <w:p w14:paraId="0055A6DD">
      <w:pPr>
        <w:pStyle w:val="13"/>
        <w:spacing w:line="500" w:lineRule="exact"/>
        <w:jc w:val="center"/>
        <w:rPr>
          <w:b/>
          <w:sz w:val="36"/>
          <w:szCs w:val="28"/>
        </w:rPr>
      </w:pPr>
      <w:r>
        <w:rPr>
          <w:rFonts w:hint="eastAsia"/>
          <w:b/>
          <w:sz w:val="36"/>
          <w:szCs w:val="28"/>
        </w:rPr>
        <w:t>目录</w:t>
      </w:r>
    </w:p>
    <w:p w14:paraId="4595EB6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怀化市中心特殊教育学校</w:t>
      </w:r>
      <w:r>
        <w:rPr>
          <w:rFonts w:hint="eastAsia" w:ascii="黑体" w:hAnsi="黑体" w:eastAsia="黑体" w:cs="黑体"/>
          <w:b w:val="0"/>
          <w:bCs/>
          <w:sz w:val="28"/>
          <w:szCs w:val="28"/>
        </w:rPr>
        <w:t>概况</w:t>
      </w:r>
    </w:p>
    <w:p w14:paraId="0853E36E">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一、部门职责</w:t>
      </w:r>
    </w:p>
    <w:p w14:paraId="68B40676">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二、机构设置</w:t>
      </w:r>
    </w:p>
    <w:p w14:paraId="6E717AA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2023年度</w:t>
      </w:r>
      <w:r>
        <w:rPr>
          <w:rFonts w:hint="eastAsia" w:ascii="黑体" w:hAnsi="黑体" w:eastAsia="黑体" w:cs="黑体"/>
          <w:b w:val="0"/>
          <w:bCs/>
          <w:sz w:val="28"/>
          <w:szCs w:val="28"/>
        </w:rPr>
        <w:t>部门决算表</w:t>
      </w:r>
    </w:p>
    <w:p w14:paraId="5BD56325">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一、收入支出决算总表</w:t>
      </w:r>
    </w:p>
    <w:p w14:paraId="0212440E">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二、收入决算表</w:t>
      </w:r>
    </w:p>
    <w:p w14:paraId="4A0C7355">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三、支出决算表</w:t>
      </w:r>
    </w:p>
    <w:p w14:paraId="1135EFAB">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四、财政拨款收入支出决算总表</w:t>
      </w:r>
    </w:p>
    <w:p w14:paraId="55AE0F4F">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五、一般公共预算财政拨款支出决算表</w:t>
      </w:r>
    </w:p>
    <w:p w14:paraId="2D58CC6F">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六、一般公共预算财政拨款基本支出决算明细表</w:t>
      </w:r>
    </w:p>
    <w:p w14:paraId="56D3CA01">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七、政府性基金预算财政拨款收入支出决算表</w:t>
      </w:r>
    </w:p>
    <w:p w14:paraId="2C283E5F">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八、国有资本经营预算财政拨款支出决算表</w:t>
      </w:r>
    </w:p>
    <w:p w14:paraId="1D3F72A3">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九、财政拨款“三公”经费支出决算表</w:t>
      </w:r>
    </w:p>
    <w:p w14:paraId="6885FC4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2023年度</w:t>
      </w:r>
      <w:r>
        <w:rPr>
          <w:rFonts w:hint="eastAsia" w:ascii="黑体" w:hAnsi="黑体" w:eastAsia="黑体" w:cs="黑体"/>
          <w:b w:val="0"/>
          <w:bCs/>
          <w:sz w:val="28"/>
          <w:szCs w:val="28"/>
        </w:rPr>
        <w:t>部门决算情况说明</w:t>
      </w:r>
    </w:p>
    <w:p w14:paraId="2DDFDABC">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一、收入支出决算总体情况说明</w:t>
      </w:r>
    </w:p>
    <w:p w14:paraId="3A5099F0">
      <w:pPr>
        <w:spacing w:line="500" w:lineRule="exact"/>
        <w:ind w:firstLine="600" w:firstLineChars="25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二、收入决算情况说明</w:t>
      </w:r>
    </w:p>
    <w:p w14:paraId="012B0E7E">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三、支出决算情况说明</w:t>
      </w:r>
    </w:p>
    <w:p w14:paraId="7B394C33">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四、财政拨款收入支出决算总体情况说明</w:t>
      </w:r>
    </w:p>
    <w:p w14:paraId="26B49AEE">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五、一般公共预算财政拨款支出决算情况说明</w:t>
      </w:r>
    </w:p>
    <w:p w14:paraId="00938862">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六、一般公共预算财政拨款基本支出决算情况说明</w:t>
      </w:r>
    </w:p>
    <w:p w14:paraId="38FFC28A">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七、财政拨款三公经费支出决算情况说明</w:t>
      </w:r>
    </w:p>
    <w:p w14:paraId="52F3B632">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八、政府性基金预算收入支出决算情况</w:t>
      </w:r>
    </w:p>
    <w:p w14:paraId="017DA354">
      <w:pPr>
        <w:bidi w:val="0"/>
        <w:jc w:val="left"/>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 xml:space="preserve">    </w:t>
      </w:r>
      <w:r>
        <w:rPr>
          <w:rFonts w:hint="eastAsia"/>
          <w:sz w:val="24"/>
          <w:szCs w:val="24"/>
          <w:lang w:val="en-US" w:eastAsia="zh-CN"/>
        </w:rPr>
        <w:t xml:space="preserve"> </w:t>
      </w:r>
      <w:r>
        <w:rPr>
          <w:rFonts w:hint="eastAsia" w:ascii="仿宋_GB2312" w:hAnsi="仿宋_GB2312" w:eastAsia="仿宋_GB2312" w:cs="仿宋_GB2312"/>
          <w:color w:val="000000"/>
          <w:kern w:val="0"/>
          <w:sz w:val="24"/>
          <w:szCs w:val="24"/>
          <w:lang w:val="en-US" w:eastAsia="zh-CN" w:bidi="ar-SA"/>
        </w:rPr>
        <w:t>九、国有资本经营预算收入支出决算情况</w:t>
      </w:r>
    </w:p>
    <w:p w14:paraId="06D565AC">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十</w:t>
      </w:r>
      <w:r>
        <w:rPr>
          <w:rFonts w:hint="eastAsia" w:ascii="仿宋_GB2312" w:hAnsi="仿宋_GB2312" w:eastAsia="仿宋_GB2312" w:cs="仿宋_GB2312"/>
          <w:color w:val="000000"/>
          <w:kern w:val="0"/>
          <w:sz w:val="24"/>
          <w:szCs w:val="24"/>
        </w:rPr>
        <w:t>、关于机关运行经费支出说明</w:t>
      </w:r>
    </w:p>
    <w:p w14:paraId="12364ECD">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十</w:t>
      </w:r>
      <w:r>
        <w:rPr>
          <w:rFonts w:hint="eastAsia" w:ascii="仿宋_GB2312" w:hAnsi="仿宋_GB2312" w:eastAsia="仿宋_GB2312" w:cs="仿宋_GB2312"/>
          <w:color w:val="000000"/>
          <w:kern w:val="0"/>
          <w:sz w:val="24"/>
          <w:szCs w:val="24"/>
          <w:lang w:val="en-US" w:eastAsia="zh-CN"/>
        </w:rPr>
        <w:t>一</w:t>
      </w:r>
      <w:r>
        <w:rPr>
          <w:rFonts w:hint="eastAsia" w:ascii="仿宋_GB2312" w:hAnsi="仿宋_GB2312" w:eastAsia="仿宋_GB2312" w:cs="仿宋_GB2312"/>
          <w:color w:val="000000"/>
          <w:kern w:val="0"/>
          <w:sz w:val="24"/>
          <w:szCs w:val="24"/>
        </w:rPr>
        <w:t>、一般性支出情况说明</w:t>
      </w:r>
    </w:p>
    <w:p w14:paraId="43600B15">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十</w:t>
      </w:r>
      <w:r>
        <w:rPr>
          <w:rFonts w:hint="eastAsia" w:ascii="仿宋_GB2312" w:hAnsi="仿宋_GB2312" w:eastAsia="仿宋_GB2312" w:cs="仿宋_GB2312"/>
          <w:color w:val="000000"/>
          <w:kern w:val="0"/>
          <w:sz w:val="24"/>
          <w:szCs w:val="24"/>
          <w:lang w:val="en-US" w:eastAsia="zh-CN"/>
        </w:rPr>
        <w:t>二</w:t>
      </w:r>
      <w:r>
        <w:rPr>
          <w:rFonts w:hint="eastAsia" w:ascii="仿宋_GB2312" w:hAnsi="仿宋_GB2312" w:eastAsia="仿宋_GB2312" w:cs="仿宋_GB2312"/>
          <w:color w:val="000000"/>
          <w:kern w:val="0"/>
          <w:sz w:val="24"/>
          <w:szCs w:val="24"/>
        </w:rPr>
        <w:t>、关于政府采购支出说明</w:t>
      </w:r>
    </w:p>
    <w:p w14:paraId="01B4A28D">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rPr>
        <w:t>、关于国有资产占用情况说明</w:t>
      </w:r>
    </w:p>
    <w:p w14:paraId="1F649864">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四</w:t>
      </w:r>
      <w:r>
        <w:rPr>
          <w:rFonts w:hint="eastAsia" w:ascii="仿宋_GB2312" w:hAnsi="仿宋_GB2312" w:eastAsia="仿宋_GB2312" w:cs="仿宋_GB2312"/>
          <w:sz w:val="24"/>
          <w:szCs w:val="24"/>
        </w:rPr>
        <w:t>、关于</w:t>
      </w:r>
      <w:r>
        <w:rPr>
          <w:rFonts w:hint="default" w:ascii="Times New Roman" w:hAnsi="Times New Roman" w:eastAsia="仿宋_GB2312" w:cs="Times New Roman"/>
          <w:sz w:val="24"/>
          <w:szCs w:val="24"/>
        </w:rPr>
        <w:t>202</w:t>
      </w:r>
      <w:r>
        <w:rPr>
          <w:rFonts w:hint="default" w:ascii="Times New Roman" w:hAnsi="Times New Roman" w:eastAsia="仿宋_GB2312" w:cs="Times New Roman"/>
          <w:sz w:val="24"/>
          <w:szCs w:val="24"/>
          <w:lang w:val="en-US" w:eastAsia="zh-CN"/>
        </w:rPr>
        <w:t>3</w:t>
      </w:r>
      <w:r>
        <w:rPr>
          <w:rFonts w:hint="eastAsia" w:ascii="仿宋_GB2312" w:hAnsi="仿宋_GB2312" w:eastAsia="仿宋_GB2312" w:cs="仿宋_GB2312"/>
          <w:sz w:val="24"/>
          <w:szCs w:val="24"/>
        </w:rPr>
        <w:t>年度</w:t>
      </w:r>
      <w:r>
        <w:rPr>
          <w:rFonts w:hint="eastAsia" w:ascii="仿宋_GB2312" w:hAnsi="仿宋_GB2312" w:eastAsia="仿宋_GB2312" w:cs="仿宋_GB2312"/>
          <w:sz w:val="24"/>
          <w:szCs w:val="24"/>
          <w:lang w:eastAsia="zh-CN"/>
        </w:rPr>
        <w:t>预算</w:t>
      </w:r>
      <w:r>
        <w:rPr>
          <w:rFonts w:hint="eastAsia" w:ascii="仿宋_GB2312" w:hAnsi="仿宋_GB2312" w:eastAsia="仿宋_GB2312" w:cs="仿宋_GB2312"/>
          <w:sz w:val="24"/>
          <w:szCs w:val="24"/>
        </w:rPr>
        <w:t>绩效情况的说明</w:t>
      </w:r>
    </w:p>
    <w:p w14:paraId="50876C4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F981494">
      <w:pPr>
        <w:pStyle w:val="13"/>
        <w:spacing w:line="500" w:lineRule="exact"/>
        <w:rPr>
          <w:sz w:val="72"/>
          <w:szCs w:val="72"/>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附件</w:t>
      </w:r>
    </w:p>
    <w:p w14:paraId="456E83B7">
      <w:pPr>
        <w:pStyle w:val="2"/>
        <w:rPr>
          <w:rFonts w:hint="eastAsia"/>
        </w:rPr>
      </w:pPr>
    </w:p>
    <w:p w14:paraId="185B03C0">
      <w:pPr>
        <w:pStyle w:val="3"/>
        <w:rPr>
          <w:rFonts w:hint="eastAsia"/>
        </w:rPr>
      </w:pPr>
    </w:p>
    <w:p w14:paraId="0123FB30">
      <w:pPr>
        <w:rPr>
          <w:rFonts w:hint="eastAsia"/>
        </w:rPr>
      </w:pPr>
    </w:p>
    <w:p w14:paraId="7DA1148A">
      <w:pPr>
        <w:pStyle w:val="2"/>
        <w:rPr>
          <w:rFonts w:hint="eastAsia"/>
        </w:rPr>
      </w:pPr>
    </w:p>
    <w:p w14:paraId="31409828">
      <w:pPr>
        <w:pStyle w:val="3"/>
        <w:rPr>
          <w:rFonts w:hint="eastAsia"/>
        </w:rPr>
      </w:pPr>
    </w:p>
    <w:p w14:paraId="561B109C">
      <w:pPr>
        <w:rPr>
          <w:rFonts w:hint="eastAsia"/>
        </w:rPr>
      </w:pPr>
    </w:p>
    <w:p w14:paraId="0A77674B">
      <w:pPr>
        <w:pStyle w:val="2"/>
        <w:rPr>
          <w:rFonts w:hint="eastAsia"/>
        </w:rPr>
      </w:pPr>
    </w:p>
    <w:p w14:paraId="546697AD">
      <w:pPr>
        <w:pStyle w:val="3"/>
        <w:rPr>
          <w:rFonts w:hint="eastAsia"/>
        </w:rPr>
      </w:pPr>
    </w:p>
    <w:p w14:paraId="22FBEBA5">
      <w:pPr>
        <w:rPr>
          <w:rFonts w:hint="eastAsia"/>
        </w:rPr>
      </w:pPr>
    </w:p>
    <w:p w14:paraId="17FF9963">
      <w:pPr>
        <w:rPr>
          <w:rFonts w:hint="eastAsia"/>
        </w:rPr>
      </w:pPr>
    </w:p>
    <w:p w14:paraId="693F019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FB198ED">
      <w:pPr>
        <w:pStyle w:val="13"/>
        <w:jc w:val="center"/>
        <w:rPr>
          <w:rFonts w:hint="eastAsia" w:ascii="方正小标宋_GBK" w:hAnsi="方正小标宋_GBK" w:eastAsia="方正小标宋_GBK" w:cs="方正小标宋_GBK"/>
          <w:sz w:val="84"/>
          <w:szCs w:val="84"/>
        </w:rPr>
      </w:pPr>
    </w:p>
    <w:p w14:paraId="40084C92">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怀化市中心特殊教育学</w:t>
      </w:r>
    </w:p>
    <w:p w14:paraId="3E4B1C1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校</w:t>
      </w:r>
      <w:r>
        <w:rPr>
          <w:rFonts w:hint="eastAsia" w:ascii="方正小标宋_GBK" w:hAnsi="方正小标宋_GBK" w:eastAsia="方正小标宋_GBK" w:cs="方正小标宋_GBK"/>
          <w:sz w:val="84"/>
          <w:szCs w:val="84"/>
        </w:rPr>
        <w:t>概况</w:t>
      </w:r>
    </w:p>
    <w:p w14:paraId="4643A6F9">
      <w:pPr>
        <w:jc w:val="center"/>
        <w:rPr>
          <w:rFonts w:hint="eastAsia" w:ascii="方正小标宋_GBK" w:hAnsi="方正小标宋_GBK" w:eastAsia="方正小标宋_GBK" w:cs="方正小标宋_GBK"/>
          <w:sz w:val="72"/>
          <w:szCs w:val="72"/>
        </w:rPr>
      </w:pPr>
    </w:p>
    <w:p w14:paraId="7D932632">
      <w:pPr>
        <w:jc w:val="center"/>
        <w:rPr>
          <w:rFonts w:hint="eastAsia" w:ascii="方正小标宋_GBK" w:hAnsi="方正小标宋_GBK" w:eastAsia="方正小标宋_GBK" w:cs="方正小标宋_GBK"/>
          <w:sz w:val="72"/>
          <w:szCs w:val="72"/>
        </w:rPr>
      </w:pPr>
    </w:p>
    <w:p w14:paraId="3CCE5567">
      <w:pPr>
        <w:jc w:val="center"/>
        <w:rPr>
          <w:sz w:val="72"/>
          <w:szCs w:val="72"/>
        </w:rPr>
      </w:pPr>
    </w:p>
    <w:p w14:paraId="37A44D25">
      <w:pPr>
        <w:pStyle w:val="2"/>
        <w:rPr>
          <w:sz w:val="72"/>
          <w:szCs w:val="72"/>
        </w:rPr>
      </w:pPr>
    </w:p>
    <w:p w14:paraId="6EE69D84">
      <w:pPr>
        <w:pStyle w:val="3"/>
        <w:rPr>
          <w:sz w:val="72"/>
          <w:szCs w:val="72"/>
        </w:rPr>
      </w:pPr>
    </w:p>
    <w:p w14:paraId="4EA297C4"/>
    <w:p w14:paraId="7E9808EB"/>
    <w:p w14:paraId="02D0F5AE">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CA10F97">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 w:val="0"/>
          <w:i w:val="0"/>
          <w:caps w:val="0"/>
          <w:color w:val="auto"/>
          <w:spacing w:val="0"/>
          <w:sz w:val="32"/>
          <w:szCs w:val="32"/>
          <w:shd w:val="clear" w:fill="FFFFFF"/>
          <w:lang w:val="en-US" w:eastAsia="zh-CN"/>
        </w:rPr>
      </w:pPr>
      <w:r>
        <w:rPr>
          <w:rFonts w:hint="eastAsia" w:ascii="仿宋" w:hAnsi="仿宋" w:eastAsia="仿宋" w:cs="仿宋"/>
          <w:b w:val="0"/>
          <w:i w:val="0"/>
          <w:caps w:val="0"/>
          <w:color w:val="auto"/>
          <w:spacing w:val="0"/>
          <w:sz w:val="32"/>
          <w:szCs w:val="32"/>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 </w:t>
      </w:r>
    </w:p>
    <w:p w14:paraId="1A54D2AB">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C4EA35C">
      <w:pPr>
        <w:keepNext w:val="0"/>
        <w:keepLines w:val="0"/>
        <w:pageBreakBefore w:val="0"/>
        <w:widowControl/>
        <w:kinsoku/>
        <w:overflowPunct/>
        <w:topLinePunct w:val="0"/>
        <w:bidi w:val="0"/>
        <w:snapToGrid/>
        <w:spacing w:line="600" w:lineRule="exact"/>
        <w:ind w:left="0" w:leftChars="0" w:right="0" w:firstLine="643" w:firstLineChars="200"/>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Cs/>
          <w:color w:val="auto"/>
          <w:kern w:val="0"/>
          <w:sz w:val="32"/>
          <w:szCs w:val="32"/>
        </w:rPr>
        <w:t>怀化市中心特殊教育学校</w:t>
      </w:r>
      <w:r>
        <w:rPr>
          <w:rFonts w:hint="eastAsia" w:ascii="仿宋" w:hAnsi="仿宋" w:eastAsia="仿宋" w:cs="仿宋"/>
          <w:bCs/>
          <w:color w:val="auto"/>
          <w:kern w:val="0"/>
          <w:sz w:val="32"/>
          <w:szCs w:val="32"/>
          <w:lang w:val="en-US" w:eastAsia="zh-CN"/>
        </w:rPr>
        <w:t>为</w:t>
      </w:r>
      <w:r>
        <w:rPr>
          <w:rFonts w:hint="eastAsia" w:ascii="仿宋" w:hAnsi="仿宋" w:eastAsia="仿宋" w:cs="仿宋"/>
          <w:bCs/>
          <w:color w:val="auto"/>
          <w:kern w:val="0"/>
          <w:sz w:val="32"/>
          <w:szCs w:val="32"/>
        </w:rPr>
        <w:t>一级部门预算单位</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rPr>
        <w:t>内设机构包括：办公室、教导</w:t>
      </w:r>
      <w:r>
        <w:rPr>
          <w:rFonts w:hint="eastAsia" w:ascii="仿宋" w:hAnsi="仿宋" w:eastAsia="仿宋" w:cs="仿宋"/>
          <w:bCs/>
          <w:color w:val="auto"/>
          <w:kern w:val="0"/>
          <w:sz w:val="32"/>
          <w:szCs w:val="32"/>
          <w:lang w:val="en-US" w:eastAsia="zh-CN"/>
        </w:rPr>
        <w:t>室</w:t>
      </w:r>
      <w:r>
        <w:rPr>
          <w:rFonts w:hint="eastAsia" w:ascii="仿宋" w:hAnsi="仿宋" w:eastAsia="仿宋" w:cs="仿宋"/>
          <w:bCs/>
          <w:color w:val="auto"/>
          <w:kern w:val="0"/>
          <w:sz w:val="32"/>
          <w:szCs w:val="32"/>
        </w:rPr>
        <w:t>、总务</w:t>
      </w:r>
      <w:r>
        <w:rPr>
          <w:rFonts w:hint="eastAsia" w:ascii="仿宋" w:hAnsi="仿宋" w:eastAsia="仿宋" w:cs="仿宋"/>
          <w:bCs/>
          <w:color w:val="auto"/>
          <w:kern w:val="0"/>
          <w:sz w:val="32"/>
          <w:szCs w:val="32"/>
          <w:lang w:val="en-US" w:eastAsia="zh-CN"/>
        </w:rPr>
        <w:t>室</w:t>
      </w: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val="en-US" w:eastAsia="zh-CN"/>
        </w:rPr>
        <w:t>校安办、督导室、德育室、信息中心</w:t>
      </w:r>
      <w:r>
        <w:rPr>
          <w:rFonts w:hint="eastAsia" w:ascii="仿宋" w:hAnsi="仿宋" w:eastAsia="仿宋" w:cs="仿宋"/>
          <w:bCs/>
          <w:color w:val="auto"/>
          <w:kern w:val="0"/>
          <w:sz w:val="32"/>
          <w:szCs w:val="32"/>
        </w:rPr>
        <w:t>等</w:t>
      </w:r>
      <w:r>
        <w:rPr>
          <w:rFonts w:hint="eastAsia" w:ascii="仿宋" w:hAnsi="仿宋" w:eastAsia="仿宋" w:cs="仿宋"/>
          <w:bCs/>
          <w:color w:val="auto"/>
          <w:kern w:val="0"/>
          <w:sz w:val="32"/>
          <w:szCs w:val="32"/>
          <w:lang w:val="en-US" w:eastAsia="zh-CN"/>
        </w:rPr>
        <w:t>7</w:t>
      </w:r>
      <w:r>
        <w:rPr>
          <w:rFonts w:hint="eastAsia" w:ascii="仿宋" w:hAnsi="仿宋" w:eastAsia="仿宋" w:cs="仿宋"/>
          <w:bCs/>
          <w:color w:val="auto"/>
          <w:kern w:val="0"/>
          <w:sz w:val="32"/>
          <w:szCs w:val="32"/>
        </w:rPr>
        <w:t>个处室。</w:t>
      </w:r>
    </w:p>
    <w:p w14:paraId="0CF3732C">
      <w:pPr>
        <w:keepNext w:val="0"/>
        <w:keepLines w:val="0"/>
        <w:pageBreakBefore w:val="0"/>
        <w:widowControl/>
        <w:kinsoku/>
        <w:overflowPunct/>
        <w:topLinePunct w:val="0"/>
        <w:bidi w:val="0"/>
        <w:snapToGrid/>
        <w:spacing w:line="600" w:lineRule="exact"/>
        <w:ind w:left="0" w:leftChars="0" w:right="0" w:firstLine="643" w:firstLineChars="200"/>
        <w:rPr>
          <w:rFonts w:hint="eastAsia" w:ascii="仿宋" w:hAnsi="仿宋" w:eastAsia="仿宋" w:cs="仿宋"/>
          <w:bCs/>
          <w:color w:val="auto"/>
          <w:kern w:val="0"/>
          <w:sz w:val="32"/>
          <w:szCs w:val="32"/>
          <w:lang w:val="en-US" w:eastAsia="zh-CN"/>
        </w:rPr>
      </w:pPr>
      <w:r>
        <w:rPr>
          <w:rFonts w:hint="eastAsia" w:ascii="仿宋" w:hAnsi="仿宋" w:eastAsia="仿宋" w:cs="仿宋"/>
          <w:b/>
          <w:bCs w:val="0"/>
          <w:color w:val="auto"/>
          <w:kern w:val="0"/>
          <w:sz w:val="32"/>
          <w:szCs w:val="32"/>
        </w:rPr>
        <w:t>（二）决算单位构成。</w:t>
      </w:r>
      <w:r>
        <w:rPr>
          <w:rFonts w:hint="eastAsia" w:ascii="仿宋" w:hAnsi="仿宋" w:eastAsia="仿宋" w:cs="仿宋"/>
          <w:bCs/>
          <w:color w:val="auto"/>
          <w:kern w:val="0"/>
          <w:sz w:val="32"/>
          <w:szCs w:val="32"/>
        </w:rPr>
        <w:t>怀化市中心特殊教育学校202</w:t>
      </w:r>
      <w:r>
        <w:rPr>
          <w:rFonts w:hint="eastAsia" w:ascii="仿宋" w:hAnsi="仿宋" w:eastAsia="仿宋" w:cs="仿宋"/>
          <w:bCs/>
          <w:color w:val="auto"/>
          <w:kern w:val="0"/>
          <w:sz w:val="32"/>
          <w:szCs w:val="32"/>
          <w:lang w:val="en-US" w:eastAsia="zh-CN"/>
        </w:rPr>
        <w:t>3</w:t>
      </w:r>
      <w:r>
        <w:rPr>
          <w:rFonts w:hint="eastAsia" w:ascii="仿宋" w:hAnsi="仿宋" w:eastAsia="仿宋" w:cs="仿宋"/>
          <w:bCs/>
          <w:color w:val="auto"/>
          <w:kern w:val="0"/>
          <w:sz w:val="32"/>
          <w:szCs w:val="32"/>
        </w:rPr>
        <w:t>年部门决算公开单位构成</w:t>
      </w:r>
      <w:r>
        <w:rPr>
          <w:rFonts w:hint="eastAsia" w:ascii="仿宋" w:hAnsi="仿宋" w:eastAsia="仿宋" w:cs="仿宋"/>
          <w:bCs/>
          <w:color w:val="auto"/>
          <w:kern w:val="0"/>
          <w:sz w:val="32"/>
          <w:szCs w:val="32"/>
          <w:lang w:val="en-US" w:eastAsia="zh-CN"/>
        </w:rPr>
        <w:t>的只有怀化市中心特殊教育学校本级。</w:t>
      </w:r>
    </w:p>
    <w:p w14:paraId="7FA741D4">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p>
    <w:p w14:paraId="51772036">
      <w:pPr>
        <w:jc w:val="left"/>
        <w:rPr>
          <w:rFonts w:ascii="仿宋_GB2312" w:eastAsia="仿宋_GB2312" w:hAnsiTheme="minorEastAsia"/>
          <w:sz w:val="28"/>
          <w:szCs w:val="32"/>
        </w:rPr>
      </w:pPr>
    </w:p>
    <w:p w14:paraId="251325D1">
      <w:pPr>
        <w:jc w:val="center"/>
        <w:rPr>
          <w:rFonts w:ascii="黑体" w:hAnsi="黑体" w:eastAsia="黑体"/>
          <w:sz w:val="28"/>
          <w:szCs w:val="28"/>
        </w:rPr>
      </w:pPr>
    </w:p>
    <w:p w14:paraId="21AEC9C9">
      <w:pPr>
        <w:jc w:val="center"/>
        <w:rPr>
          <w:rFonts w:ascii="黑体" w:hAnsi="黑体" w:eastAsia="黑体"/>
          <w:sz w:val="28"/>
          <w:szCs w:val="28"/>
        </w:rPr>
      </w:pPr>
    </w:p>
    <w:p w14:paraId="6738FB82">
      <w:pPr>
        <w:jc w:val="center"/>
        <w:rPr>
          <w:rFonts w:ascii="黑体" w:hAnsi="黑体" w:eastAsia="黑体"/>
          <w:sz w:val="28"/>
          <w:szCs w:val="28"/>
        </w:rPr>
      </w:pPr>
    </w:p>
    <w:p w14:paraId="276831F0">
      <w:pPr>
        <w:jc w:val="center"/>
        <w:rPr>
          <w:rFonts w:ascii="黑体" w:hAnsi="黑体" w:eastAsia="黑体"/>
          <w:sz w:val="28"/>
          <w:szCs w:val="28"/>
        </w:rPr>
      </w:pPr>
    </w:p>
    <w:p w14:paraId="44AFC04F">
      <w:pPr>
        <w:jc w:val="center"/>
        <w:rPr>
          <w:rFonts w:ascii="黑体" w:hAnsi="黑体" w:eastAsia="黑体"/>
          <w:sz w:val="28"/>
          <w:szCs w:val="28"/>
        </w:rPr>
      </w:pPr>
    </w:p>
    <w:p w14:paraId="61B79BC5">
      <w:pPr>
        <w:jc w:val="center"/>
        <w:rPr>
          <w:rFonts w:ascii="黑体" w:hAnsi="黑体" w:eastAsia="黑体"/>
          <w:sz w:val="28"/>
          <w:szCs w:val="28"/>
        </w:rPr>
      </w:pPr>
    </w:p>
    <w:p w14:paraId="7A9224DD">
      <w:pPr>
        <w:jc w:val="center"/>
        <w:rPr>
          <w:rFonts w:ascii="黑体" w:hAnsi="黑体" w:eastAsia="黑体"/>
          <w:sz w:val="28"/>
          <w:szCs w:val="28"/>
        </w:rPr>
      </w:pPr>
    </w:p>
    <w:p w14:paraId="5EBE8E13">
      <w:pPr>
        <w:jc w:val="center"/>
        <w:rPr>
          <w:rFonts w:ascii="黑体" w:hAnsi="黑体" w:eastAsia="黑体"/>
          <w:sz w:val="28"/>
          <w:szCs w:val="28"/>
        </w:rPr>
      </w:pPr>
    </w:p>
    <w:p w14:paraId="5243B653">
      <w:pPr>
        <w:jc w:val="center"/>
        <w:rPr>
          <w:rFonts w:ascii="黑体" w:hAnsi="黑体" w:eastAsia="黑体"/>
          <w:sz w:val="28"/>
          <w:szCs w:val="28"/>
        </w:rPr>
      </w:pPr>
    </w:p>
    <w:p w14:paraId="75E02BDD">
      <w:pPr>
        <w:jc w:val="center"/>
        <w:rPr>
          <w:rFonts w:ascii="黑体" w:hAnsi="黑体" w:eastAsia="黑体"/>
          <w:sz w:val="28"/>
          <w:szCs w:val="28"/>
        </w:rPr>
      </w:pPr>
    </w:p>
    <w:p w14:paraId="72F316F1">
      <w:pPr>
        <w:jc w:val="center"/>
        <w:rPr>
          <w:rFonts w:ascii="黑体" w:hAnsi="黑体" w:eastAsia="黑体"/>
          <w:sz w:val="28"/>
          <w:szCs w:val="28"/>
        </w:rPr>
      </w:pPr>
    </w:p>
    <w:p w14:paraId="21C136D5">
      <w:pPr>
        <w:jc w:val="center"/>
        <w:rPr>
          <w:rFonts w:ascii="黑体" w:hAnsi="黑体" w:eastAsia="黑体"/>
          <w:sz w:val="28"/>
          <w:szCs w:val="28"/>
        </w:rPr>
      </w:pPr>
    </w:p>
    <w:p w14:paraId="7A34B793">
      <w:pPr>
        <w:jc w:val="center"/>
        <w:rPr>
          <w:sz w:val="72"/>
          <w:szCs w:val="72"/>
        </w:rPr>
      </w:pPr>
    </w:p>
    <w:p w14:paraId="3618CB83">
      <w:pPr>
        <w:jc w:val="center"/>
        <w:rPr>
          <w:sz w:val="72"/>
          <w:szCs w:val="72"/>
        </w:rPr>
      </w:pPr>
    </w:p>
    <w:p w14:paraId="339D2D06">
      <w:pPr>
        <w:jc w:val="center"/>
        <w:rPr>
          <w:sz w:val="72"/>
          <w:szCs w:val="72"/>
        </w:rPr>
      </w:pPr>
    </w:p>
    <w:p w14:paraId="4D9757EA">
      <w:pPr>
        <w:jc w:val="center"/>
        <w:rPr>
          <w:sz w:val="72"/>
          <w:szCs w:val="72"/>
        </w:rPr>
      </w:pPr>
    </w:p>
    <w:p w14:paraId="312AACCB">
      <w:pPr>
        <w:pStyle w:val="13"/>
        <w:jc w:val="center"/>
        <w:rPr>
          <w:rFonts w:hint="eastAsia" w:ascii="方正小标宋_GBK" w:hAnsi="方正小标宋_GBK" w:eastAsia="方正小标宋_GBK" w:cs="方正小标宋_GBK"/>
          <w:sz w:val="84"/>
          <w:szCs w:val="84"/>
        </w:rPr>
      </w:pPr>
    </w:p>
    <w:p w14:paraId="0F5F203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5597D72">
      <w:pPr>
        <w:pStyle w:val="13"/>
        <w:jc w:val="center"/>
        <w:rPr>
          <w:rFonts w:hint="eastAsia" w:ascii="方正小标宋_GBK" w:hAnsi="方正小标宋_GBK" w:eastAsia="方正小标宋_GBK" w:cs="方正小标宋_GBK"/>
          <w:sz w:val="84"/>
          <w:szCs w:val="84"/>
        </w:rPr>
      </w:pPr>
    </w:p>
    <w:p w14:paraId="2E70DFD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2023年度</w:t>
      </w:r>
      <w:r>
        <w:rPr>
          <w:rFonts w:hint="eastAsia" w:ascii="方正小标宋_GBK" w:hAnsi="方正小标宋_GBK" w:eastAsia="方正小标宋_GBK" w:cs="方正小标宋_GBK"/>
          <w:sz w:val="84"/>
          <w:szCs w:val="84"/>
        </w:rPr>
        <w:t>部门决算表</w:t>
      </w:r>
    </w:p>
    <w:p w14:paraId="65F15D3A">
      <w:pPr>
        <w:jc w:val="center"/>
        <w:rPr>
          <w:sz w:val="72"/>
          <w:szCs w:val="72"/>
        </w:rPr>
      </w:pPr>
    </w:p>
    <w:p w14:paraId="72DFD346">
      <w:pPr>
        <w:pStyle w:val="2"/>
        <w:jc w:val="center"/>
        <w:rPr>
          <w:rFonts w:hint="default" w:asciiTheme="minorEastAsia" w:hAnsiTheme="minorEastAsia"/>
          <w:sz w:val="32"/>
          <w:szCs w:val="32"/>
          <w:lang w:val="en-US"/>
        </w:rPr>
        <w:sectPr>
          <w:pgSz w:w="11906" w:h="16838"/>
          <w:pgMar w:top="720" w:right="720" w:bottom="720" w:left="720" w:header="851" w:footer="992" w:gutter="0"/>
          <w:cols w:space="425" w:num="1"/>
          <w:docGrid w:type="lines" w:linePitch="312" w:charSpace="0"/>
        </w:sectPr>
      </w:pPr>
      <w:r>
        <w:rPr>
          <w:rFonts w:hint="eastAsia" w:ascii="仿宋" w:hAnsi="仿宋" w:eastAsia="仿宋" w:cs="仿宋"/>
          <w:bCs/>
          <w:color w:val="auto"/>
          <w:kern w:val="0"/>
          <w:sz w:val="32"/>
          <w:szCs w:val="32"/>
          <w:lang w:val="en-US" w:eastAsia="zh-CN" w:bidi="ar-SA"/>
        </w:rPr>
        <w:t>见附件</w:t>
      </w:r>
    </w:p>
    <w:p w14:paraId="5B846550">
      <w:pPr>
        <w:pStyle w:val="13"/>
        <w:rPr>
          <w:sz w:val="72"/>
          <w:szCs w:val="72"/>
        </w:rPr>
      </w:pPr>
    </w:p>
    <w:p w14:paraId="1DE12588">
      <w:pPr>
        <w:pStyle w:val="13"/>
        <w:rPr>
          <w:sz w:val="72"/>
          <w:szCs w:val="72"/>
        </w:rPr>
      </w:pPr>
    </w:p>
    <w:p w14:paraId="728DD897">
      <w:pPr>
        <w:pStyle w:val="13"/>
        <w:rPr>
          <w:sz w:val="72"/>
          <w:szCs w:val="72"/>
        </w:rPr>
      </w:pPr>
    </w:p>
    <w:p w14:paraId="06A3D31A">
      <w:pPr>
        <w:pStyle w:val="13"/>
        <w:rPr>
          <w:sz w:val="72"/>
          <w:szCs w:val="72"/>
        </w:rPr>
      </w:pPr>
    </w:p>
    <w:p w14:paraId="630D5900">
      <w:pPr>
        <w:pStyle w:val="13"/>
        <w:jc w:val="center"/>
        <w:rPr>
          <w:sz w:val="72"/>
          <w:szCs w:val="72"/>
        </w:rPr>
      </w:pPr>
    </w:p>
    <w:p w14:paraId="109251FC">
      <w:pPr>
        <w:pStyle w:val="13"/>
        <w:jc w:val="center"/>
        <w:rPr>
          <w:rFonts w:hint="eastAsia" w:ascii="方正小标宋_GBK" w:hAnsi="方正小标宋_GBK" w:eastAsia="方正小标宋_GBK" w:cs="方正小标宋_GBK"/>
          <w:sz w:val="72"/>
          <w:szCs w:val="72"/>
        </w:rPr>
      </w:pPr>
    </w:p>
    <w:p w14:paraId="299D4AE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2EF449E">
      <w:pPr>
        <w:pStyle w:val="13"/>
        <w:jc w:val="center"/>
        <w:rPr>
          <w:rFonts w:hint="eastAsia" w:ascii="方正小标宋_GBK" w:hAnsi="方正小标宋_GBK" w:eastAsia="方正小标宋_GBK" w:cs="方正小标宋_GBK"/>
          <w:sz w:val="70"/>
          <w:szCs w:val="70"/>
        </w:rPr>
      </w:pPr>
    </w:p>
    <w:p w14:paraId="766CC91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66F97F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EC674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2ABE9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年度收、支总计1725</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万元。与上年</w:t>
      </w:r>
      <w:r>
        <w:rPr>
          <w:rFonts w:hint="eastAsia" w:ascii="仿宋" w:hAnsi="仿宋" w:eastAsia="仿宋" w:cs="仿宋"/>
          <w:color w:val="auto"/>
          <w:sz w:val="32"/>
          <w:szCs w:val="32"/>
          <w:lang w:val="en-US" w:eastAsia="zh-CN"/>
        </w:rPr>
        <w:t>2013.74万元</w:t>
      </w:r>
      <w:r>
        <w:rPr>
          <w:rFonts w:hint="eastAsia" w:ascii="Times New Roman" w:hAnsi="Times New Roman" w:eastAsia="仿宋_GB2312"/>
          <w:sz w:val="32"/>
          <w:szCs w:val="32"/>
        </w:rPr>
        <w:t>相比，减少</w:t>
      </w:r>
      <w:r>
        <w:rPr>
          <w:rFonts w:hint="eastAsia" w:ascii="Times New Roman" w:hAnsi="Times New Roman" w:eastAsia="仿宋_GB2312"/>
          <w:sz w:val="32"/>
          <w:szCs w:val="32"/>
          <w:lang w:val="en-US" w:eastAsia="zh-CN"/>
        </w:rPr>
        <w:t>288.36</w:t>
      </w:r>
      <w:r>
        <w:rPr>
          <w:rFonts w:hint="eastAsia" w:ascii="Times New Roman" w:hAnsi="Times New Roman" w:eastAsia="仿宋_GB2312"/>
          <w:sz w:val="32"/>
          <w:szCs w:val="32"/>
        </w:rPr>
        <w:t>万元，减少</w:t>
      </w:r>
      <w:bookmarkStart w:id="0" w:name="OLE_LINK2"/>
      <w:r>
        <w:rPr>
          <w:rFonts w:hint="eastAsia" w:ascii="Times New Roman" w:hAnsi="Times New Roman" w:eastAsia="仿宋_GB2312"/>
          <w:sz w:val="32"/>
          <w:szCs w:val="32"/>
          <w:lang w:val="en-US" w:eastAsia="zh-CN"/>
        </w:rPr>
        <w:t>14.32</w:t>
      </w:r>
      <w:bookmarkEnd w:id="0"/>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学校教学楼外墙改造基本已完工，本年度只支付剩余部分款项。</w:t>
      </w:r>
    </w:p>
    <w:p w14:paraId="1DA5590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D72AB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bookmarkStart w:id="1" w:name="OLE_LINK1"/>
      <w:r>
        <w:rPr>
          <w:rFonts w:hint="eastAsia" w:ascii="Times New Roman" w:hAnsi="Times New Roman" w:eastAsia="仿宋_GB2312"/>
          <w:sz w:val="32"/>
          <w:szCs w:val="32"/>
          <w:lang w:val="en-US" w:eastAsia="zh-CN"/>
        </w:rPr>
        <w:t>1725.38</w:t>
      </w:r>
      <w:bookmarkEnd w:id="1"/>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1725.38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6E5FBF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E24AC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1725.38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979.6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56.78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745.78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43.22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595B1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C84A1A2">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1725.38</w:t>
      </w:r>
      <w:r>
        <w:rPr>
          <w:rFonts w:hint="eastAsia" w:ascii="Times New Roman" w:hAnsi="Times New Roman" w:eastAsia="仿宋_GB2312"/>
          <w:sz w:val="32"/>
          <w:szCs w:val="32"/>
        </w:rPr>
        <w:t>万元，与上年</w:t>
      </w:r>
      <w:r>
        <w:rPr>
          <w:rFonts w:hint="eastAsia" w:ascii="仿宋" w:hAnsi="仿宋" w:eastAsia="仿宋" w:cs="仿宋"/>
          <w:color w:val="auto"/>
          <w:sz w:val="32"/>
          <w:szCs w:val="32"/>
          <w:lang w:val="en-US" w:eastAsia="zh-CN"/>
        </w:rPr>
        <w:t>2013.74万元</w:t>
      </w:r>
      <w:r>
        <w:rPr>
          <w:rFonts w:hint="eastAsia" w:ascii="Times New Roman" w:hAnsi="Times New Roman" w:eastAsia="仿宋_GB2312"/>
          <w:sz w:val="32"/>
          <w:szCs w:val="32"/>
        </w:rPr>
        <w:t>相比，减少</w:t>
      </w:r>
      <w:r>
        <w:rPr>
          <w:rFonts w:hint="eastAsia" w:ascii="Times New Roman" w:hAnsi="Times New Roman" w:eastAsia="仿宋_GB2312"/>
          <w:sz w:val="32"/>
          <w:szCs w:val="32"/>
          <w:lang w:val="en-US" w:eastAsia="zh-CN"/>
        </w:rPr>
        <w:t>288.36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14.32</w:t>
      </w:r>
      <w:r>
        <w:rPr>
          <w:rFonts w:hint="eastAsia" w:ascii="Times New Roman" w:hAnsi="Times New Roman" w:eastAsia="仿宋_GB2312"/>
          <w:sz w:val="32"/>
          <w:szCs w:val="32"/>
        </w:rPr>
        <w:t>%，主要是因为</w:t>
      </w:r>
      <w:bookmarkStart w:id="2" w:name="OLE_LINK3"/>
      <w:r>
        <w:rPr>
          <w:rFonts w:hint="eastAsia" w:ascii="Times New Roman" w:hAnsi="Times New Roman" w:eastAsia="仿宋_GB2312"/>
          <w:sz w:val="32"/>
          <w:szCs w:val="32"/>
          <w:lang w:val="en-US" w:eastAsia="zh-CN"/>
        </w:rPr>
        <w:t>学校教学楼外墙改造基本已完工，本年度只支付剩余部分款项。</w:t>
      </w:r>
      <w:bookmarkEnd w:id="2"/>
    </w:p>
    <w:p w14:paraId="22035CC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A147B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B38BFD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1725.38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w:t>
      </w:r>
      <w:r>
        <w:rPr>
          <w:rFonts w:hint="eastAsia" w:ascii="仿宋" w:hAnsi="仿宋" w:eastAsia="仿宋" w:cs="仿宋"/>
          <w:color w:val="auto"/>
          <w:sz w:val="32"/>
          <w:szCs w:val="32"/>
          <w:lang w:val="en-US" w:eastAsia="zh-CN"/>
        </w:rPr>
        <w:t>2013.74万元</w:t>
      </w:r>
      <w:r>
        <w:rPr>
          <w:rFonts w:hint="eastAsia" w:ascii="Times New Roman" w:hAnsi="Times New Roman" w:eastAsia="仿宋_GB2312"/>
          <w:sz w:val="32"/>
          <w:szCs w:val="32"/>
        </w:rPr>
        <w:t>相比，财政拨款支出减少</w:t>
      </w:r>
      <w:r>
        <w:rPr>
          <w:rFonts w:hint="eastAsia" w:ascii="Times New Roman" w:hAnsi="Times New Roman" w:eastAsia="仿宋_GB2312"/>
          <w:sz w:val="32"/>
          <w:szCs w:val="32"/>
          <w:lang w:val="en-US" w:eastAsia="zh-CN"/>
        </w:rPr>
        <w:t>288.36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14.32</w:t>
      </w:r>
      <w:r>
        <w:rPr>
          <w:rFonts w:hint="eastAsia" w:ascii="Times New Roman" w:hAnsi="Times New Roman" w:eastAsia="仿宋_GB2312"/>
          <w:sz w:val="32"/>
          <w:szCs w:val="32"/>
        </w:rPr>
        <w:t>%，主要是因</w:t>
      </w:r>
      <w:r>
        <w:rPr>
          <w:rFonts w:hint="eastAsia" w:ascii="Times New Roman" w:hAnsi="Times New Roman" w:eastAsia="仿宋_GB2312"/>
          <w:sz w:val="32"/>
          <w:szCs w:val="32"/>
          <w:lang w:val="en-US" w:eastAsia="zh-CN"/>
        </w:rPr>
        <w:t>为学校教学楼外墙改造基本已完工，本年度只支付剩余部分款项。</w:t>
      </w:r>
    </w:p>
    <w:p w14:paraId="61991BF4">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4C590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1725.38</w:t>
      </w:r>
      <w:r>
        <w:rPr>
          <w:rFonts w:hint="eastAsia" w:ascii="Times New Roman" w:hAnsi="Times New Roman" w:eastAsia="仿宋_GB2312"/>
          <w:sz w:val="32"/>
          <w:szCs w:val="32"/>
        </w:rPr>
        <w:t>万元，主要用于以下方面：一般公共服务支出</w:t>
      </w:r>
      <w:r>
        <w:rPr>
          <w:rFonts w:hint="eastAsia" w:ascii="Times New Roman" w:hAnsi="Times New Roman" w:eastAsia="仿宋_GB2312"/>
          <w:sz w:val="32"/>
          <w:szCs w:val="32"/>
          <w:lang w:val="en-US" w:eastAsia="zh-CN"/>
        </w:rPr>
        <w:t>1.98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%；教育支出</w:t>
      </w:r>
      <w:r>
        <w:rPr>
          <w:rFonts w:hint="eastAsia" w:ascii="Times New Roman" w:hAnsi="Times New Roman" w:eastAsia="仿宋_GB2312"/>
          <w:sz w:val="32"/>
          <w:szCs w:val="32"/>
          <w:lang w:val="en-US" w:eastAsia="zh-CN"/>
        </w:rPr>
        <w:t>1557.88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90.29</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116.91万元，占6.78%；卫生健康支出48.6万元，占2.82%</w:t>
      </w:r>
      <w:r>
        <w:rPr>
          <w:rFonts w:hint="eastAsia" w:ascii="Times New Roman" w:hAnsi="Times New Roman" w:eastAsia="仿宋_GB2312"/>
          <w:sz w:val="32"/>
          <w:szCs w:val="32"/>
          <w:lang w:eastAsia="zh-CN"/>
        </w:rPr>
        <w:t>。</w:t>
      </w:r>
    </w:p>
    <w:p w14:paraId="26CAB5E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4E3FBD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1182.88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1725.38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145.86</w:t>
      </w:r>
      <w:r>
        <w:rPr>
          <w:rFonts w:hint="eastAsia" w:ascii="Times New Roman" w:hAnsi="Times New Roman" w:eastAsia="仿宋_GB2312"/>
          <w:sz w:val="32"/>
          <w:szCs w:val="32"/>
        </w:rPr>
        <w:t>%，其中：</w:t>
      </w:r>
    </w:p>
    <w:p w14:paraId="46B9A27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bookmarkStart w:id="3" w:name="OLE_LINK4"/>
      <w:r>
        <w:rPr>
          <w:rFonts w:hint="eastAsia" w:ascii="Times New Roman" w:hAnsi="Times New Roman" w:eastAsia="仿宋_GB2312"/>
          <w:sz w:val="32"/>
          <w:szCs w:val="32"/>
          <w:lang w:val="en-US" w:eastAsia="zh-CN"/>
        </w:rPr>
        <w:t>特殊教育</w:t>
      </w:r>
      <w:bookmarkEnd w:id="3"/>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特殊学校教育</w:t>
      </w:r>
      <w:r>
        <w:rPr>
          <w:rFonts w:hint="eastAsia" w:ascii="Times New Roman" w:hAnsi="Times New Roman" w:eastAsia="仿宋_GB2312"/>
          <w:sz w:val="32"/>
          <w:szCs w:val="32"/>
        </w:rPr>
        <w:t>（项）。</w:t>
      </w:r>
    </w:p>
    <w:p w14:paraId="3DD1D2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962.83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1113.26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115.62</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本年度学校教师工资异动使得福利支出增加，教师增加使得年终绩效奖金增加等。</w:t>
      </w:r>
    </w:p>
    <w:p w14:paraId="5EE49A4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特殊教育</w:t>
      </w:r>
      <w:r>
        <w:rPr>
          <w:rFonts w:hint="eastAsia" w:ascii="Times New Roman" w:hAnsi="Times New Roman" w:eastAsia="仿宋_GB2312"/>
          <w:sz w:val="32"/>
          <w:szCs w:val="32"/>
        </w:rPr>
        <w:t>（款）其他特殊教育支出</w:t>
      </w:r>
      <w:bookmarkStart w:id="4" w:name="OLE_LINK5"/>
      <w:r>
        <w:rPr>
          <w:rFonts w:hint="eastAsia" w:ascii="Times New Roman" w:hAnsi="Times New Roman" w:eastAsia="仿宋_GB2312"/>
          <w:sz w:val="32"/>
          <w:szCs w:val="32"/>
        </w:rPr>
        <w:t>（项）</w:t>
      </w:r>
      <w:bookmarkEnd w:id="4"/>
      <w:r>
        <w:rPr>
          <w:rFonts w:hint="eastAsia" w:ascii="Times New Roman" w:hAnsi="Times New Roman" w:eastAsia="仿宋_GB2312"/>
          <w:sz w:val="32"/>
          <w:szCs w:val="32"/>
        </w:rPr>
        <w:t>。</w:t>
      </w:r>
    </w:p>
    <w:p w14:paraId="599D1AD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lang w:val="en-US" w:eastAsia="zh-CN"/>
        </w:rPr>
      </w:pPr>
      <w:bookmarkStart w:id="5" w:name="OLE_LINK6"/>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52.25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82.55</w:t>
      </w:r>
      <w:r>
        <w:rPr>
          <w:rFonts w:hint="eastAsia" w:ascii="Times New Roman" w:hAnsi="Times New Roman" w:eastAsia="仿宋_GB2312"/>
          <w:sz w:val="32"/>
          <w:szCs w:val="32"/>
        </w:rPr>
        <w:t>%，决算数小于年初预算数的主要原因是</w:t>
      </w:r>
      <w:r>
        <w:rPr>
          <w:rFonts w:hint="eastAsia" w:ascii="仿宋" w:hAnsi="仿宋" w:eastAsia="仿宋" w:cs="仿宋"/>
          <w:color w:val="auto"/>
          <w:sz w:val="32"/>
          <w:szCs w:val="32"/>
          <w:lang w:val="en-US" w:eastAsia="zh-CN"/>
        </w:rPr>
        <w:t>本年度有退休教师，教师年终绩效奖金在预算范围内。</w:t>
      </w:r>
      <w:bookmarkEnd w:id="5"/>
    </w:p>
    <w:p w14:paraId="451B1DDA">
      <w:pPr>
        <w:pStyle w:val="13"/>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仿宋" w:hAnsi="仿宋" w:eastAsia="仿宋" w:cs="仿宋"/>
          <w:color w:val="auto"/>
          <w:sz w:val="32"/>
          <w:szCs w:val="32"/>
          <w:lang w:val="en-US" w:eastAsia="zh-CN"/>
        </w:rPr>
        <w:t>社会保障和就业支出（类）行政事业单位养老支出</w:t>
      </w:r>
      <w:r>
        <w:rPr>
          <w:rFonts w:hint="eastAsia" w:ascii="Times New Roman" w:hAnsi="Times New Roman" w:eastAsia="仿宋_GB2312"/>
          <w:sz w:val="32"/>
          <w:szCs w:val="32"/>
        </w:rPr>
        <w:t>（款）机关事业单位基本养老保险缴费支出</w:t>
      </w:r>
      <w:bookmarkStart w:id="6" w:name="OLE_LINK7"/>
      <w:r>
        <w:rPr>
          <w:rFonts w:hint="eastAsia" w:ascii="Times New Roman" w:hAnsi="Times New Roman" w:eastAsia="仿宋_GB2312"/>
          <w:sz w:val="32"/>
          <w:szCs w:val="32"/>
        </w:rPr>
        <w:t>（项）</w:t>
      </w:r>
      <w:bookmarkEnd w:id="6"/>
    </w:p>
    <w:p w14:paraId="353F3D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bookmarkStart w:id="7" w:name="OLE_LINK8"/>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74.51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105.45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141.52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年初预算数的主要原因</w:t>
      </w:r>
      <w:bookmarkEnd w:id="7"/>
      <w:r>
        <w:rPr>
          <w:rFonts w:hint="eastAsia" w:ascii="Times New Roman" w:hAnsi="Times New Roman" w:eastAsia="仿宋_GB2312"/>
          <w:sz w:val="32"/>
          <w:szCs w:val="32"/>
        </w:rPr>
        <w:t>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此笔资金用于学校教师的养老保险支出，教师增加使得养老保险支出增加，财政年中追加缴费。</w:t>
      </w:r>
    </w:p>
    <w:p w14:paraId="7B4CE5F5">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800" w:firstLineChars="250"/>
        <w:jc w:val="both"/>
        <w:rPr>
          <w:rFonts w:hint="eastAsia" w:ascii="Times New Roman" w:hAnsi="Times New Roman" w:eastAsia="仿宋_GB2312"/>
          <w:sz w:val="32"/>
          <w:szCs w:val="32"/>
        </w:rPr>
      </w:pPr>
      <w:r>
        <w:rPr>
          <w:rFonts w:hint="eastAsia" w:ascii="仿宋" w:hAnsi="仿宋" w:eastAsia="仿宋" w:cs="仿宋"/>
          <w:color w:val="auto"/>
          <w:sz w:val="32"/>
          <w:szCs w:val="32"/>
          <w:lang w:val="en-US" w:eastAsia="zh-CN"/>
        </w:rPr>
        <w:t>卫生健康支出（类）行政事业单位医疗</w:t>
      </w:r>
      <w:r>
        <w:rPr>
          <w:rFonts w:hint="eastAsia" w:ascii="Times New Roman" w:hAnsi="Times New Roman" w:eastAsia="仿宋_GB2312"/>
          <w:sz w:val="32"/>
          <w:szCs w:val="32"/>
        </w:rPr>
        <w:t>（款）事业单位医疗（项）</w:t>
      </w:r>
    </w:p>
    <w:p w14:paraId="555E23B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rightChars="0" w:firstLine="640" w:firstLineChars="200"/>
        <w:jc w:val="both"/>
        <w:rPr>
          <w:rFonts w:hint="eastAsia" w:ascii="仿宋" w:hAnsi="仿宋" w:eastAsia="仿宋" w:cs="仿宋"/>
          <w:color w:val="auto"/>
          <w:sz w:val="32"/>
          <w:szCs w:val="32"/>
          <w:lang w:val="en-US" w:eastAsia="zh-CN"/>
        </w:rPr>
      </w:pPr>
      <w:bookmarkStart w:id="8" w:name="OLE_LINK9"/>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31.53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154.14</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年初预算数的主要原因</w:t>
      </w:r>
      <w:bookmarkEnd w:id="8"/>
      <w:r>
        <w:rPr>
          <w:rFonts w:hint="eastAsia" w:ascii="Times New Roman" w:hAnsi="Times New Roman" w:eastAsia="仿宋_GB2312"/>
          <w:sz w:val="32"/>
          <w:szCs w:val="32"/>
          <w:lang w:eastAsia="zh-CN"/>
        </w:rPr>
        <w:t>是，</w:t>
      </w:r>
      <w:r>
        <w:rPr>
          <w:rFonts w:hint="eastAsia" w:ascii="仿宋" w:hAnsi="仿宋" w:eastAsia="仿宋" w:cs="仿宋"/>
          <w:color w:val="auto"/>
          <w:sz w:val="32"/>
          <w:szCs w:val="32"/>
          <w:lang w:val="en-US" w:eastAsia="zh-CN"/>
        </w:rPr>
        <w:t>此笔资金用于学校教师的医疗保险支出，教师增加使得养老保险支出增加，财政年中追加缴费。</w:t>
      </w:r>
    </w:p>
    <w:p w14:paraId="30A5195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2FDB7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979.6</w:t>
      </w:r>
      <w:r>
        <w:rPr>
          <w:rFonts w:hint="eastAsia" w:ascii="Times New Roman" w:hAnsi="Times New Roman" w:eastAsia="仿宋_GB2312"/>
          <w:sz w:val="32"/>
          <w:szCs w:val="32"/>
        </w:rPr>
        <w:t>万元，其中：</w:t>
      </w:r>
    </w:p>
    <w:p w14:paraId="724AFC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976.25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99.66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val="en-US" w:eastAsia="zh-CN"/>
        </w:rPr>
        <w:t>绩效工资、机关事业单位基本养老保险缴费、职工基本医疗保险缴费、其他社会保障缴费、其他工资福利支出、退休费、生活补助</w:t>
      </w:r>
      <w:r>
        <w:rPr>
          <w:rFonts w:hint="eastAsia" w:ascii="Times New Roman" w:hAnsi="Times New Roman" w:eastAsia="仿宋_GB2312"/>
          <w:sz w:val="32"/>
          <w:szCs w:val="32"/>
          <w:lang w:eastAsia="zh-CN"/>
        </w:rPr>
        <w:t>。</w:t>
      </w:r>
    </w:p>
    <w:p w14:paraId="188542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3.35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eastAsia="zh-CN"/>
        </w:rPr>
        <w:t>物业管理费、维修（护）费、其他商品和服务支出</w:t>
      </w:r>
      <w:r>
        <w:rPr>
          <w:rFonts w:hint="eastAsia" w:ascii="Times New Roman" w:hAnsi="Times New Roman" w:eastAsia="仿宋_GB2312"/>
          <w:sz w:val="32"/>
          <w:szCs w:val="32"/>
        </w:rPr>
        <w:t>。</w:t>
      </w:r>
    </w:p>
    <w:p w14:paraId="3E476C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0D396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876D2C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本年度学校没有“三公”经费支出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学校没有“三公”经费支出</w:t>
      </w:r>
      <w:r>
        <w:rPr>
          <w:rFonts w:hint="eastAsia" w:ascii="Times New Roman" w:hAnsi="Times New Roman" w:eastAsia="仿宋_GB2312"/>
          <w:sz w:val="32"/>
          <w:szCs w:val="32"/>
        </w:rPr>
        <w:t>。其中：</w:t>
      </w:r>
    </w:p>
    <w:p w14:paraId="68A4DF7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%，决算数预算数</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学校没有做此项目预算，也没有发生相应支出；与上年决算数一致，主要原因是</w:t>
      </w:r>
      <w:bookmarkStart w:id="9" w:name="OLE_LINK10"/>
      <w:r>
        <w:rPr>
          <w:rFonts w:hint="eastAsia" w:ascii="Times New Roman" w:hAnsi="Times New Roman" w:eastAsia="仿宋_GB2312"/>
          <w:sz w:val="32"/>
          <w:szCs w:val="32"/>
          <w:lang w:val="en-US" w:eastAsia="zh-CN"/>
        </w:rPr>
        <w:t>本年度学校没有发生相应支出</w:t>
      </w:r>
      <w:bookmarkEnd w:id="9"/>
      <w:r>
        <w:rPr>
          <w:rFonts w:hint="eastAsia" w:ascii="Times New Roman" w:hAnsi="Times New Roman" w:eastAsia="仿宋_GB2312"/>
          <w:sz w:val="32"/>
          <w:szCs w:val="32"/>
          <w:lang w:val="en-US" w:eastAsia="zh-CN"/>
        </w:rPr>
        <w:t>。</w:t>
      </w:r>
    </w:p>
    <w:p w14:paraId="01A4B72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本年度学校没有发生公务接待支出</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决算数一致，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本年度学校没有发生公务接待支出</w:t>
      </w:r>
      <w:r>
        <w:rPr>
          <w:rFonts w:hint="eastAsia" w:ascii="Times New Roman" w:hAnsi="Times New Roman" w:eastAsia="仿宋_GB2312"/>
          <w:sz w:val="32"/>
          <w:szCs w:val="32"/>
        </w:rPr>
        <w:t>。</w:t>
      </w:r>
    </w:p>
    <w:p w14:paraId="020908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w:t>
      </w:r>
      <w:bookmarkStart w:id="10" w:name="OLE_LINK11"/>
      <w:r>
        <w:rPr>
          <w:rFonts w:hint="eastAsia" w:ascii="Times New Roman" w:hAnsi="Times New Roman" w:eastAsia="仿宋_GB2312"/>
          <w:sz w:val="32"/>
          <w:szCs w:val="32"/>
          <w:lang w:val="en-US" w:eastAsia="zh-CN"/>
        </w:rPr>
        <w:t>本年度学校没有做此项目预算</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也没有发生相应支出</w:t>
      </w:r>
      <w:bookmarkEnd w:id="10"/>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决算数一致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本年度学校没有发生公务用车购置费支出</w:t>
      </w:r>
      <w:r>
        <w:rPr>
          <w:rFonts w:hint="eastAsia" w:ascii="Times New Roman" w:hAnsi="Times New Roman" w:eastAsia="仿宋_GB2312"/>
          <w:sz w:val="32"/>
          <w:szCs w:val="32"/>
        </w:rPr>
        <w:t>。</w:t>
      </w:r>
    </w:p>
    <w:p w14:paraId="5A06709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本年度学校没有做此项目预算</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也没有发生相应支出；</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决算数一致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本年度学校没有发生公务用车运行维护费支出</w:t>
      </w:r>
      <w:r>
        <w:rPr>
          <w:rFonts w:hint="eastAsia" w:ascii="Times New Roman" w:hAnsi="Times New Roman" w:eastAsia="仿宋_GB2312"/>
          <w:sz w:val="32"/>
          <w:szCs w:val="32"/>
        </w:rPr>
        <w:t>。</w:t>
      </w:r>
    </w:p>
    <w:p w14:paraId="070B4A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6E400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012B69DE">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楷体"/>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077E620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93A1A9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怀化市中心特校</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04D679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A9B040B">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bookmarkStart w:id="11" w:name="OLE_LINK15"/>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End w:id="11"/>
      <w:r>
        <w:rPr>
          <w:rFonts w:hint="eastAsia" w:ascii="Times New Roman" w:hAnsi="Times New Roman" w:eastAsia="仿宋_GB2312"/>
          <w:sz w:val="32"/>
          <w:szCs w:val="32"/>
        </w:rPr>
        <w:t>具体情况如下：</w:t>
      </w:r>
    </w:p>
    <w:p w14:paraId="4C3CF957">
      <w:pPr>
        <w:pStyle w:val="13"/>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bookmarkStart w:id="12" w:name="OLE_LINK12"/>
      <w:r>
        <w:rPr>
          <w:rFonts w:hint="eastAsia" w:ascii="仿宋" w:hAnsi="仿宋" w:eastAsia="仿宋" w:cs="仿宋"/>
          <w:color w:val="auto"/>
          <w:sz w:val="32"/>
          <w:szCs w:val="32"/>
          <w:lang w:val="en-US" w:eastAsia="zh-CN"/>
        </w:rPr>
        <w:t>教育支出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特殊教育</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特殊学校教育</w:t>
      </w:r>
      <w:r>
        <w:rPr>
          <w:rFonts w:hint="eastAsia" w:ascii="仿宋" w:hAnsi="仿宋" w:eastAsia="仿宋" w:cs="仿宋"/>
          <w:color w:val="auto"/>
          <w:sz w:val="32"/>
          <w:szCs w:val="32"/>
        </w:rPr>
        <w:t>（项）</w:t>
      </w:r>
      <w:bookmarkEnd w:id="12"/>
      <w:r>
        <w:rPr>
          <w:rFonts w:hint="eastAsia" w:ascii="仿宋" w:hAnsi="仿宋" w:eastAsia="仿宋" w:cs="仿宋"/>
          <w:color w:val="auto"/>
          <w:sz w:val="32"/>
          <w:szCs w:val="32"/>
        </w:rPr>
        <w:t>。</w:t>
      </w:r>
    </w:p>
    <w:p w14:paraId="73D2E9EF">
      <w:pPr>
        <w:pStyle w:val="13"/>
        <w:keepNext w:val="0"/>
        <w:keepLines w:val="0"/>
        <w:pageBreakBefore w:val="0"/>
        <w:kinsoku/>
        <w:overflowPunct/>
        <w:topLinePunct w:val="0"/>
        <w:bidi w:val="0"/>
        <w:snapToGrid/>
        <w:spacing w:line="600" w:lineRule="exact"/>
        <w:ind w:left="0" w:leftChars="0" w:right="0" w:firstLine="640" w:firstLineChars="200"/>
        <w:rPr>
          <w:rFonts w:hint="eastAsia" w:ascii="Times New Roman" w:hAnsi="Times New Roman" w:eastAsia="仿宋_GB2312"/>
          <w:sz w:val="32"/>
          <w:szCs w:val="32"/>
          <w:lang w:val="en-US" w:eastAsia="zh-CN"/>
        </w:rPr>
      </w:pPr>
      <w:bookmarkStart w:id="13" w:name="OLE_LINK13"/>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决算数与预算数一致主要原因是，学校教育支出都是财政预算资金拨款，没有政府性基金预算收入。</w:t>
      </w:r>
    </w:p>
    <w:bookmarkEnd w:id="13"/>
    <w:p w14:paraId="6B42BD22">
      <w:pPr>
        <w:pStyle w:val="13"/>
        <w:keepNext w:val="0"/>
        <w:keepLines w:val="0"/>
        <w:pageBreakBefore w:val="0"/>
        <w:numPr>
          <w:ilvl w:val="0"/>
          <w:numId w:val="0"/>
        </w:numPr>
        <w:kinsoku/>
        <w:overflowPunct/>
        <w:topLinePunct w:val="0"/>
        <w:bidi w:val="0"/>
        <w:snapToGrid/>
        <w:spacing w:line="600" w:lineRule="exact"/>
        <w:ind w:right="0" w:rightChars="0" w:firstLine="640" w:firstLineChars="200"/>
        <w:rPr>
          <w:rFonts w:hint="eastAsia" w:ascii="仿宋" w:hAnsi="仿宋" w:eastAsia="仿宋" w:cs="仿宋"/>
          <w:color w:val="auto"/>
          <w:sz w:val="32"/>
          <w:szCs w:val="32"/>
        </w:rPr>
      </w:pPr>
      <w:r>
        <w:rPr>
          <w:rFonts w:hint="eastAsia" w:ascii="Times New Roman" w:hAnsi="Times New Roman" w:eastAsia="仿宋_GB2312"/>
          <w:sz w:val="32"/>
          <w:szCs w:val="32"/>
          <w:lang w:val="en-US" w:eastAsia="zh-CN"/>
        </w:rPr>
        <w:t>2.社会保障和就业</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行政事业单位养老支出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机关事业单位基本养老保险缴费支出</w:t>
      </w:r>
      <w:r>
        <w:rPr>
          <w:rFonts w:hint="eastAsia" w:ascii="仿宋" w:hAnsi="仿宋" w:eastAsia="仿宋" w:cs="仿宋"/>
          <w:color w:val="auto"/>
          <w:sz w:val="32"/>
          <w:szCs w:val="32"/>
        </w:rPr>
        <w:t>（项）</w:t>
      </w:r>
    </w:p>
    <w:p w14:paraId="5470DF59">
      <w:pPr>
        <w:pStyle w:val="13"/>
        <w:keepNext w:val="0"/>
        <w:keepLines w:val="0"/>
        <w:pageBreakBefore w:val="0"/>
        <w:kinsoku/>
        <w:overflowPunct/>
        <w:topLinePunct w:val="0"/>
        <w:bidi w:val="0"/>
        <w:snapToGrid/>
        <w:spacing w:line="600" w:lineRule="exact"/>
        <w:ind w:left="0" w:leftChars="0" w:right="0" w:firstLine="640" w:firstLineChars="200"/>
        <w:rPr>
          <w:rFonts w:hint="eastAsia" w:ascii="Times New Roman" w:hAnsi="Times New Roman" w:eastAsia="仿宋_GB2312"/>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决算数与预算数一致主要原因是，学校社会保障和就业支出都是财政预算资金拨款，没有政府性基金预算收入。</w:t>
      </w:r>
    </w:p>
    <w:p w14:paraId="07279C83">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lang w:val="en-US" w:eastAsia="zh-CN"/>
        </w:rPr>
      </w:pPr>
      <w:r>
        <w:rPr>
          <w:rFonts w:hint="default" w:ascii="黑体" w:hAnsi="黑体" w:eastAsia="黑体" w:cs="黑体"/>
          <w:b w:val="0"/>
          <w:bCs/>
          <w:color w:val="auto"/>
          <w:sz w:val="32"/>
          <w:szCs w:val="32"/>
          <w:lang w:val="en-US" w:eastAsia="zh-CN"/>
        </w:rPr>
        <w:t>国有资本经营预算收入支出决算情况</w:t>
      </w:r>
    </w:p>
    <w:p w14:paraId="468817D9">
      <w:pPr>
        <w:pStyle w:val="13"/>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国有资本经营预算</w:t>
      </w:r>
      <w:r>
        <w:rPr>
          <w:rFonts w:hint="eastAsia" w:ascii="Times New Roman" w:hAnsi="Times New Roman" w:eastAsia="仿宋_GB2312"/>
          <w:sz w:val="32"/>
          <w:szCs w:val="32"/>
        </w:rPr>
        <w:t>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01111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val="en-US" w:eastAsia="zh-CN"/>
        </w:rPr>
        <w:t>十</w:t>
      </w:r>
      <w:r>
        <w:rPr>
          <w:rFonts w:hint="eastAsia" w:ascii="黑体" w:hAnsi="黑体" w:eastAsia="黑体" w:cs="黑体"/>
          <w:b w:val="0"/>
          <w:bCs/>
          <w:color w:val="auto"/>
          <w:sz w:val="32"/>
          <w:szCs w:val="32"/>
        </w:rPr>
        <w:t>、关于机关运行经费支出说明</w:t>
      </w:r>
    </w:p>
    <w:p w14:paraId="3C308C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仿宋" w:hAnsi="仿宋" w:eastAsia="仿宋" w:cs="仿宋"/>
          <w:color w:val="auto"/>
          <w:kern w:val="0"/>
          <w:sz w:val="32"/>
          <w:szCs w:val="32"/>
          <w:lang w:val="en-US" w:eastAsia="zh-CN" w:bidi="ar-SA"/>
        </w:rPr>
        <w:t>学校不属于行政单位和参照公务员法管理的事业单位。</w:t>
      </w:r>
    </w:p>
    <w:p w14:paraId="1DFCCB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3977F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13.56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其中，食品安全</w:t>
      </w:r>
      <w:r>
        <w:rPr>
          <w:rFonts w:hint="eastAsia" w:ascii="Times New Roman" w:hAnsi="Times New Roman" w:eastAsia="仿宋_GB2312"/>
          <w:sz w:val="32"/>
          <w:szCs w:val="32"/>
        </w:rPr>
        <w:t>培训</w:t>
      </w:r>
      <w:r>
        <w:rPr>
          <w:rFonts w:hint="eastAsia" w:ascii="Times New Roman" w:hAnsi="Times New Roman" w:eastAsia="仿宋_GB2312"/>
          <w:sz w:val="32"/>
          <w:szCs w:val="32"/>
          <w:lang w:val="en-US" w:eastAsia="zh-CN"/>
        </w:rPr>
        <w:t>0.2万元</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人，内容</w:t>
      </w:r>
      <w:r>
        <w:rPr>
          <w:rFonts w:hint="eastAsia" w:ascii="Times New Roman" w:hAnsi="Times New Roman" w:eastAsia="仿宋_GB2312"/>
          <w:sz w:val="32"/>
          <w:szCs w:val="32"/>
          <w:lang w:val="en-US" w:eastAsia="zh-CN"/>
        </w:rPr>
        <w:t>为培训后勤人员食品安全问题</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长沙培训0.067万元；中式面点师资技能培训0.2万元，人数4人；国培培训10.23万元；财会继续教育培训0.027万元；市培2.54万元；班主任培训0.3万元。</w:t>
      </w:r>
    </w:p>
    <w:p w14:paraId="4824D0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46D5F46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488.14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386.48</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101.66</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488.14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488.14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2936C28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5E840DD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006DDD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25426D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49176AE">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1.项目支出绩效自评情况</w:t>
      </w:r>
    </w:p>
    <w:p w14:paraId="168B05D6">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根据预算绩效管理要求，学校组织对2023年度一般公共预算主要项目支出开展绩效自评，有一级项目0个，二级项目7个，共涉及资金410.83万元，占一般公共预算项目支出总额的55.09%。</w:t>
      </w:r>
    </w:p>
    <w:p w14:paraId="46C7E6A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其中，“高中免学费”3.43万元、评分100分；“2023年特殊教育上级补助”147.09万元、评分99.63分；“特校护眼灯改造”29.33万元、评分99.06分；“特教岗位津贴”69.59万元、评分99.94分；“学生生活费补助”120万元、评分100分；“教学楼外墙改造”39.41万元、评分100分；“委员工作室建设和运行经费”1.98万元、评分99.77分。</w:t>
      </w:r>
    </w:p>
    <w:p w14:paraId="48EBF58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我校严格执行《怀化市本级财政专项资金管理办法》、《怀化市本级政府投资项目工程预结（决）算管理办法》、《怀化市2023年政府集中采购目录及政府采购限额标准》等相关制度，实行项目责任制管理。学校主要领导负责项目的日常检查和监督工作，认真履行职责，做好项目的管理。</w:t>
      </w:r>
    </w:p>
    <w:p w14:paraId="673F630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2.整体支出绩效自评情况</w:t>
      </w:r>
    </w:p>
    <w:p w14:paraId="52E5BD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default"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学校对2023年度整体支出开展绩效评价，涉及一般公共预算支出</w:t>
      </w:r>
      <w:bookmarkStart w:id="14" w:name="OLE_LINK14"/>
      <w:r>
        <w:rPr>
          <w:rFonts w:hint="eastAsia" w:ascii="仿宋" w:hAnsi="仿宋" w:eastAsia="仿宋" w:cs="仿宋"/>
          <w:color w:val="auto"/>
          <w:kern w:val="0"/>
          <w:sz w:val="32"/>
          <w:szCs w:val="32"/>
          <w:lang w:val="en-US" w:eastAsia="zh-CN" w:bidi="ar-SA"/>
        </w:rPr>
        <w:t>1725.38万元，其中，基本支出979.6万元、项目支出745.78万元，整体支出评分96分。</w:t>
      </w:r>
    </w:p>
    <w:bookmarkEnd w:id="14"/>
    <w:p w14:paraId="54C885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基本支出是指行政事业单位为保障其机构正常运转、人员正常开支、完成日常工作任务而编制的年度基本支出计划，包括人员经费、日常公用经费。本年度学校基本支出979.6万元，其中，人员经费976.25万元，日常公用经费3.35万元。</w:t>
      </w:r>
    </w:p>
    <w:p w14:paraId="39B6B5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rPr>
          <w:rFonts w:hint="eastAsia" w:ascii="楷体" w:hAnsi="楷体" w:eastAsia="楷体" w:cs="楷体"/>
          <w:b/>
          <w:bCs/>
          <w:sz w:val="32"/>
          <w:szCs w:val="32"/>
          <w:lang w:eastAsia="zh-CN"/>
        </w:rPr>
      </w:pPr>
      <w:r>
        <w:rPr>
          <w:rFonts w:hint="eastAsia" w:ascii="仿宋" w:hAnsi="仿宋" w:eastAsia="仿宋" w:cs="仿宋"/>
          <w:color w:val="auto"/>
          <w:kern w:val="0"/>
          <w:sz w:val="32"/>
          <w:szCs w:val="32"/>
          <w:lang w:val="en-US" w:eastAsia="zh-CN" w:bidi="ar-SA"/>
        </w:rPr>
        <w:t>项目支出是指行政事业单位为完成特定的工作任务或事业发展目标，在基本预算支出以外，财政预算专款安排的支出。本年度学校项目支出总计745.78万元。</w:t>
      </w:r>
    </w:p>
    <w:p w14:paraId="1473F64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141E7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Times New Roman" w:hAnsi="Times New Roman" w:eastAsia="仿宋_GB2312"/>
          <w:sz w:val="32"/>
          <w:szCs w:val="32"/>
          <w:lang w:val="en-US" w:eastAsia="zh-CN"/>
        </w:rPr>
        <w:t>2023年度学校整体支出年初预算1182.88万元，其中，基本支出 772.61万元、项目支出410.27万元；整体支出决算</w:t>
      </w:r>
      <w:r>
        <w:rPr>
          <w:rFonts w:hint="eastAsia" w:ascii="仿宋" w:hAnsi="仿宋" w:eastAsia="仿宋" w:cs="仿宋"/>
          <w:color w:val="auto"/>
          <w:kern w:val="0"/>
          <w:sz w:val="32"/>
          <w:szCs w:val="32"/>
          <w:lang w:val="en-US" w:eastAsia="zh-CN" w:bidi="ar-SA"/>
        </w:rPr>
        <w:t>1725.38万元，其中，基本支出979.6万元、项目支出745.78万元。本年度已完成年初绩效目标，整体支出评分96分。</w:t>
      </w:r>
    </w:p>
    <w:p w14:paraId="7378BD5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jc w:val="left"/>
        <w:textAlignment w:val="auto"/>
        <w:rPr>
          <w:rFonts w:hint="eastAsia" w:ascii="仿宋" w:hAnsi="仿宋" w:eastAsia="仿宋" w:cs="仿宋"/>
          <w:b w:val="0"/>
          <w:i w:val="0"/>
          <w:caps w:val="0"/>
          <w:color w:val="auto"/>
          <w:spacing w:val="0"/>
          <w:sz w:val="32"/>
          <w:szCs w:val="32"/>
          <w:shd w:val="clear" w:fill="FFFFFF"/>
          <w:lang w:val="en-US" w:eastAsia="zh-CN"/>
        </w:rPr>
      </w:pPr>
      <w:r>
        <w:rPr>
          <w:rFonts w:hint="eastAsia" w:ascii="仿宋" w:hAnsi="仿宋" w:eastAsia="仿宋" w:cs="仿宋"/>
          <w:b w:val="0"/>
          <w:i w:val="0"/>
          <w:caps w:val="0"/>
          <w:color w:val="auto"/>
          <w:spacing w:val="0"/>
          <w:sz w:val="32"/>
          <w:szCs w:val="32"/>
          <w:shd w:val="clear" w:fill="FFFFFF"/>
          <w:lang w:val="en-US" w:eastAsia="zh-CN"/>
        </w:rPr>
        <w:t>学校主要担负鹤城、中方、新晃、通道四县市区残障儿童少年和怀化各县市区听障儿童少年的教育教学以及县级特校教师培训及业务指导工作，不断向优质特殊教育行业努力发展。</w:t>
      </w:r>
    </w:p>
    <w:p w14:paraId="3BB518E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jc w:val="left"/>
        <w:textAlignment w:val="auto"/>
        <w:rPr>
          <w:rFonts w:hint="default" w:ascii="Times New Roman" w:hAnsi="Times New Roman" w:eastAsia="仿宋_GB2312"/>
          <w:sz w:val="32"/>
          <w:szCs w:val="32"/>
          <w:lang w:val="en-US" w:eastAsia="zh-CN"/>
        </w:rPr>
      </w:pPr>
      <w:r>
        <w:rPr>
          <w:rFonts w:hint="eastAsia" w:ascii="仿宋" w:hAnsi="仿宋" w:eastAsia="仿宋" w:cs="仿宋"/>
          <w:b w:val="0"/>
          <w:i w:val="0"/>
          <w:caps w:val="0"/>
          <w:color w:val="auto"/>
          <w:spacing w:val="0"/>
          <w:sz w:val="32"/>
          <w:szCs w:val="32"/>
          <w:shd w:val="clear" w:fill="FFFFFF"/>
          <w:lang w:val="en-US" w:eastAsia="zh-CN"/>
        </w:rPr>
        <w:t>其中，运行成本控制在预算成本内，并实现成本节约；管理效率高，护眼灯、职培室均已完成建设，资金及时拨付、活动按时完成；履职效能高，学校稳定发展、学生及时入学、教师积极工作；社会效应好，学校影响度、学生素质和教育教学质量大大提高；可持续发展能力优秀，保障学校长期稳定发展和学生健康成长；服务对象满意度高，学生满意、家长放心。</w:t>
      </w:r>
    </w:p>
    <w:p w14:paraId="47C631D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1E4A0A2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活动开展较少，究其原因是学校注重教学，活动次数有所减少；社会成本节约不够，究其原因是实际支出和年初预算存在一点出入，会产生多的成本；学校绿色发展力度不足，究其原因是学校本年主要建设职培室工程，绿化有限。</w:t>
      </w:r>
    </w:p>
    <w:p w14:paraId="443F26A7">
      <w:pPr>
        <w:pStyle w:val="13"/>
        <w:jc w:val="both"/>
        <w:rPr>
          <w:sz w:val="72"/>
          <w:szCs w:val="72"/>
        </w:rPr>
      </w:pPr>
    </w:p>
    <w:p w14:paraId="7118B209">
      <w:pPr>
        <w:pStyle w:val="13"/>
        <w:jc w:val="center"/>
        <w:rPr>
          <w:sz w:val="72"/>
          <w:szCs w:val="72"/>
        </w:rPr>
      </w:pPr>
    </w:p>
    <w:p w14:paraId="58D09D3F">
      <w:pPr>
        <w:pStyle w:val="13"/>
        <w:jc w:val="center"/>
        <w:rPr>
          <w:sz w:val="72"/>
          <w:szCs w:val="72"/>
        </w:rPr>
      </w:pPr>
    </w:p>
    <w:p w14:paraId="339EF847">
      <w:pPr>
        <w:pStyle w:val="13"/>
        <w:jc w:val="both"/>
        <w:rPr>
          <w:rFonts w:hint="eastAsia" w:ascii="方正小标宋_GBK" w:hAnsi="方正小标宋_GBK" w:eastAsia="方正小标宋_GBK" w:cs="方正小标宋_GBK"/>
          <w:sz w:val="72"/>
          <w:szCs w:val="72"/>
        </w:rPr>
      </w:pPr>
    </w:p>
    <w:p w14:paraId="68698BE9">
      <w:pPr>
        <w:pStyle w:val="13"/>
        <w:jc w:val="center"/>
        <w:rPr>
          <w:rFonts w:hint="eastAsia" w:ascii="方正小标宋_GBK" w:hAnsi="方正小标宋_GBK" w:eastAsia="方正小标宋_GBK" w:cs="方正小标宋_GBK"/>
          <w:sz w:val="72"/>
          <w:szCs w:val="72"/>
        </w:rPr>
      </w:pPr>
    </w:p>
    <w:p w14:paraId="02E6EEEF">
      <w:pPr>
        <w:pStyle w:val="13"/>
        <w:jc w:val="center"/>
        <w:rPr>
          <w:rFonts w:hint="eastAsia" w:ascii="方正小标宋_GBK" w:hAnsi="方正小标宋_GBK" w:eastAsia="方正小标宋_GBK" w:cs="方正小标宋_GBK"/>
          <w:sz w:val="72"/>
          <w:szCs w:val="72"/>
        </w:rPr>
      </w:pPr>
    </w:p>
    <w:p w14:paraId="2C8AC6F3">
      <w:pPr>
        <w:pStyle w:val="13"/>
        <w:jc w:val="center"/>
        <w:rPr>
          <w:rFonts w:hint="eastAsia" w:ascii="方正小标宋_GBK" w:hAnsi="方正小标宋_GBK" w:eastAsia="方正小标宋_GBK" w:cs="方正小标宋_GBK"/>
          <w:sz w:val="72"/>
          <w:szCs w:val="72"/>
        </w:rPr>
      </w:pPr>
    </w:p>
    <w:p w14:paraId="3D2DEA6B">
      <w:pPr>
        <w:pStyle w:val="13"/>
        <w:jc w:val="center"/>
        <w:rPr>
          <w:rFonts w:hint="eastAsia" w:ascii="方正小标宋_GBK" w:hAnsi="方正小标宋_GBK" w:eastAsia="方正小标宋_GBK" w:cs="方正小标宋_GBK"/>
          <w:sz w:val="72"/>
          <w:szCs w:val="72"/>
        </w:rPr>
      </w:pPr>
    </w:p>
    <w:p w14:paraId="5083A874">
      <w:pPr>
        <w:pStyle w:val="13"/>
        <w:jc w:val="center"/>
        <w:rPr>
          <w:rFonts w:hint="eastAsia" w:ascii="方正小标宋_GBK" w:hAnsi="方正小标宋_GBK" w:eastAsia="方正小标宋_GBK" w:cs="方正小标宋_GBK"/>
          <w:sz w:val="72"/>
          <w:szCs w:val="72"/>
        </w:rPr>
      </w:pPr>
    </w:p>
    <w:p w14:paraId="12E224BD">
      <w:pPr>
        <w:pStyle w:val="13"/>
        <w:jc w:val="center"/>
        <w:rPr>
          <w:rFonts w:hint="eastAsia" w:ascii="方正小标宋_GBK" w:hAnsi="方正小标宋_GBK" w:eastAsia="方正小标宋_GBK" w:cs="方正小标宋_GBK"/>
          <w:sz w:val="72"/>
          <w:szCs w:val="72"/>
        </w:rPr>
      </w:pPr>
    </w:p>
    <w:p w14:paraId="5881EA91">
      <w:pPr>
        <w:pStyle w:val="13"/>
        <w:jc w:val="center"/>
        <w:rPr>
          <w:rFonts w:hint="eastAsia" w:ascii="方正小标宋_GBK" w:hAnsi="方正小标宋_GBK" w:eastAsia="方正小标宋_GBK" w:cs="方正小标宋_GBK"/>
          <w:sz w:val="72"/>
          <w:szCs w:val="72"/>
        </w:rPr>
      </w:pPr>
    </w:p>
    <w:p w14:paraId="508B7D4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E115466">
      <w:pPr>
        <w:jc w:val="center"/>
        <w:rPr>
          <w:rFonts w:hint="eastAsia" w:ascii="方正小标宋_GBK" w:hAnsi="方正小标宋_GBK" w:eastAsia="方正小标宋_GBK" w:cs="方正小标宋_GBK"/>
          <w:color w:val="000000"/>
          <w:kern w:val="0"/>
          <w:sz w:val="70"/>
          <w:szCs w:val="70"/>
        </w:rPr>
      </w:pPr>
    </w:p>
    <w:p w14:paraId="18EE1D4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FD91E0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B4A27F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14:paraId="1B3246D8">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14:paraId="07E80780">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14:paraId="6B9DD7B9">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14:paraId="4B288B8E">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14:paraId="45F93CC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14:paraId="0E28E187">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14:paraId="29F2C3E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14:paraId="2B460C0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14:paraId="1385F4D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14:paraId="5F06B69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14:paraId="77B362EE">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14:paraId="4258A81A">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14:paraId="56E0972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14:paraId="6D180D60">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14:paraId="6D62297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14:paraId="4A2418A4">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C1395A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14:paraId="2F91CE9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14:paraId="539FDBCC">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4480" w:firstLineChars="1400"/>
        <w:jc w:val="righ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怀化市中心特殊教育学校</w:t>
      </w:r>
    </w:p>
    <w:p w14:paraId="7495113F">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righ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2023年9月9日</w:t>
      </w:r>
    </w:p>
    <w:p w14:paraId="5A80FD4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right"/>
        <w:textAlignment w:val="auto"/>
        <w:rPr>
          <w:rFonts w:hint="default" w:ascii="仿宋" w:hAnsi="仿宋" w:eastAsia="仿宋" w:cs="仿宋"/>
          <w:color w:val="auto"/>
          <w:sz w:val="32"/>
          <w:szCs w:val="32"/>
          <w:lang w:val="en-US" w:eastAsia="zh-CN"/>
        </w:rPr>
      </w:pPr>
    </w:p>
    <w:p w14:paraId="3A65D8B0">
      <w:pPr>
        <w:pStyle w:val="13"/>
        <w:jc w:val="center"/>
        <w:rPr>
          <w:sz w:val="72"/>
          <w:szCs w:val="72"/>
        </w:rPr>
      </w:pPr>
    </w:p>
    <w:p w14:paraId="488F6F0A">
      <w:pPr>
        <w:pStyle w:val="13"/>
        <w:jc w:val="center"/>
        <w:rPr>
          <w:sz w:val="72"/>
          <w:szCs w:val="72"/>
        </w:rPr>
      </w:pPr>
    </w:p>
    <w:p w14:paraId="260F5A70">
      <w:pPr>
        <w:pStyle w:val="13"/>
        <w:jc w:val="center"/>
        <w:rPr>
          <w:sz w:val="72"/>
          <w:szCs w:val="72"/>
        </w:rPr>
      </w:pPr>
    </w:p>
    <w:p w14:paraId="0F17C5D5">
      <w:pPr>
        <w:pStyle w:val="13"/>
        <w:jc w:val="center"/>
        <w:rPr>
          <w:sz w:val="72"/>
          <w:szCs w:val="72"/>
        </w:rPr>
      </w:pPr>
    </w:p>
    <w:p w14:paraId="1DA529CF">
      <w:pPr>
        <w:rPr>
          <w:rFonts w:hint="eastAsia" w:ascii="方正小标宋_GBK" w:hAnsi="方正小标宋_GBK" w:eastAsia="方正小标宋_GBK" w:cs="方正小标宋_GBK"/>
          <w:sz w:val="72"/>
          <w:szCs w:val="72"/>
        </w:rPr>
      </w:pPr>
    </w:p>
    <w:p w14:paraId="55F432F6">
      <w:pPr>
        <w:pStyle w:val="2"/>
        <w:rPr>
          <w:rFonts w:hint="eastAsia"/>
        </w:rPr>
      </w:pPr>
    </w:p>
    <w:p w14:paraId="345CA8B9">
      <w:pPr>
        <w:pStyle w:val="2"/>
        <w:rPr>
          <w:rFonts w:hint="eastAsia"/>
        </w:rPr>
      </w:pPr>
    </w:p>
    <w:p w14:paraId="74F9281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F327EF8">
      <w:pPr>
        <w:pStyle w:val="13"/>
        <w:jc w:val="center"/>
        <w:rPr>
          <w:rFonts w:hint="eastAsia" w:ascii="方正小标宋_GBK" w:hAnsi="方正小标宋_GBK" w:eastAsia="方正小标宋_GBK" w:cs="方正小标宋_GBK"/>
          <w:sz w:val="70"/>
          <w:szCs w:val="70"/>
        </w:rPr>
      </w:pPr>
    </w:p>
    <w:p w14:paraId="6D43E135">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4806675">
      <w:pPr>
        <w:rPr>
          <w:sz w:val="72"/>
          <w:szCs w:val="72"/>
        </w:rPr>
      </w:pPr>
      <w:r>
        <w:rPr>
          <w:sz w:val="72"/>
          <w:szCs w:val="72"/>
        </w:rPr>
        <w:br w:type="page"/>
      </w:r>
    </w:p>
    <w:p w14:paraId="7DE2326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一.2023年部门决算表</w:t>
      </w:r>
    </w:p>
    <w:p w14:paraId="5B0B2E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二.2023年部门</w:t>
      </w:r>
      <w:r>
        <w:rPr>
          <w:rFonts w:hint="eastAsia" w:ascii="仿宋_GB2312" w:hAnsi="仿宋_GB2312" w:eastAsia="仿宋_GB2312"/>
          <w:sz w:val="32"/>
          <w:szCs w:val="24"/>
          <w:lang w:val="en-US"/>
        </w:rPr>
        <w:t>决算批复表</w:t>
      </w:r>
      <w:bookmarkStart w:id="15" w:name="_GoBack"/>
      <w:bookmarkEnd w:id="15"/>
    </w:p>
    <w:p w14:paraId="2C1A3B6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2B062B97">
      <w:pPr>
        <w:pStyle w:val="13"/>
        <w:jc w:val="center"/>
        <w:rPr>
          <w:sz w:val="72"/>
          <w:szCs w:val="72"/>
        </w:rPr>
      </w:pPr>
    </w:p>
    <w:p w14:paraId="37775206">
      <w:pPr>
        <w:pStyle w:val="13"/>
        <w:jc w:val="center"/>
        <w:rPr>
          <w:sz w:val="72"/>
          <w:szCs w:val="72"/>
        </w:rPr>
      </w:pPr>
    </w:p>
    <w:p w14:paraId="424AE7A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DBD0B"/>
    <w:multiLevelType w:val="singleLevel"/>
    <w:tmpl w:val="8C2DBD0B"/>
    <w:lvl w:ilvl="0" w:tentative="0">
      <w:start w:val="3"/>
      <w:numFmt w:val="decimal"/>
      <w:lvlText w:val="%1."/>
      <w:lvlJc w:val="left"/>
      <w:pPr>
        <w:tabs>
          <w:tab w:val="left" w:pos="312"/>
        </w:tabs>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99D89F"/>
    <w:multiLevelType w:val="singleLevel"/>
    <w:tmpl w:val="5399D89F"/>
    <w:lvl w:ilvl="0" w:tentative="0">
      <w:start w:val="9"/>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YjM5MzA0NzFmNjYxZDQyZjgxNzIxOWFiNWFhNz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181C"/>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86FE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16BE5"/>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B1EB4"/>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F16FF"/>
    <w:rsid w:val="00F74360"/>
    <w:rsid w:val="00FB462F"/>
    <w:rsid w:val="00FE16FA"/>
    <w:rsid w:val="00FE328A"/>
    <w:rsid w:val="00FE6269"/>
    <w:rsid w:val="00FF5CD6"/>
    <w:rsid w:val="010B22B0"/>
    <w:rsid w:val="01154EDD"/>
    <w:rsid w:val="02201D8C"/>
    <w:rsid w:val="02346473"/>
    <w:rsid w:val="02493090"/>
    <w:rsid w:val="027C4DD0"/>
    <w:rsid w:val="02D23086"/>
    <w:rsid w:val="02EB239A"/>
    <w:rsid w:val="03321D76"/>
    <w:rsid w:val="03AA7B5F"/>
    <w:rsid w:val="03CF3A69"/>
    <w:rsid w:val="043833BC"/>
    <w:rsid w:val="04A40A52"/>
    <w:rsid w:val="05143E2A"/>
    <w:rsid w:val="054D733B"/>
    <w:rsid w:val="05706B86"/>
    <w:rsid w:val="05852631"/>
    <w:rsid w:val="05946D18"/>
    <w:rsid w:val="05DB04A3"/>
    <w:rsid w:val="05E97064"/>
    <w:rsid w:val="0616597F"/>
    <w:rsid w:val="062E0F1B"/>
    <w:rsid w:val="06841C52"/>
    <w:rsid w:val="06911160"/>
    <w:rsid w:val="06D25E86"/>
    <w:rsid w:val="06DE46EF"/>
    <w:rsid w:val="072916E2"/>
    <w:rsid w:val="07543566"/>
    <w:rsid w:val="07E64320"/>
    <w:rsid w:val="084A7B62"/>
    <w:rsid w:val="084B0C94"/>
    <w:rsid w:val="08744BDF"/>
    <w:rsid w:val="08B374B6"/>
    <w:rsid w:val="09A45050"/>
    <w:rsid w:val="0B420FC5"/>
    <w:rsid w:val="0B9730BE"/>
    <w:rsid w:val="0C5C7E64"/>
    <w:rsid w:val="0D605732"/>
    <w:rsid w:val="0DA87805"/>
    <w:rsid w:val="0E4A4418"/>
    <w:rsid w:val="0EEA79A9"/>
    <w:rsid w:val="0FA45DAA"/>
    <w:rsid w:val="10090303"/>
    <w:rsid w:val="10610180"/>
    <w:rsid w:val="10991687"/>
    <w:rsid w:val="10AD5132"/>
    <w:rsid w:val="10B1077E"/>
    <w:rsid w:val="10E548CC"/>
    <w:rsid w:val="11020FDA"/>
    <w:rsid w:val="1122167C"/>
    <w:rsid w:val="11276C93"/>
    <w:rsid w:val="1209283C"/>
    <w:rsid w:val="12A165D1"/>
    <w:rsid w:val="12FC7CAB"/>
    <w:rsid w:val="13160D6D"/>
    <w:rsid w:val="13207E3D"/>
    <w:rsid w:val="13E76BAD"/>
    <w:rsid w:val="142E6621"/>
    <w:rsid w:val="14700951"/>
    <w:rsid w:val="14AE3227"/>
    <w:rsid w:val="14B52807"/>
    <w:rsid w:val="14EF3F6B"/>
    <w:rsid w:val="154F67B8"/>
    <w:rsid w:val="159643E7"/>
    <w:rsid w:val="15B900D5"/>
    <w:rsid w:val="15F1161D"/>
    <w:rsid w:val="163C10BE"/>
    <w:rsid w:val="16465E0D"/>
    <w:rsid w:val="16976668"/>
    <w:rsid w:val="16F77107"/>
    <w:rsid w:val="171A4BA4"/>
    <w:rsid w:val="181B0BD3"/>
    <w:rsid w:val="188C387F"/>
    <w:rsid w:val="18EF0876"/>
    <w:rsid w:val="191775ED"/>
    <w:rsid w:val="196B7938"/>
    <w:rsid w:val="1AB53561"/>
    <w:rsid w:val="1B397CEE"/>
    <w:rsid w:val="1B542D7A"/>
    <w:rsid w:val="1CBF2475"/>
    <w:rsid w:val="1CE617B0"/>
    <w:rsid w:val="1D945CC0"/>
    <w:rsid w:val="1D97DEFF"/>
    <w:rsid w:val="1DAC0C4B"/>
    <w:rsid w:val="1DB93368"/>
    <w:rsid w:val="1DF779ED"/>
    <w:rsid w:val="1DFF72E5"/>
    <w:rsid w:val="1E3D18A3"/>
    <w:rsid w:val="1E543091"/>
    <w:rsid w:val="1E8E65A3"/>
    <w:rsid w:val="1EFC6F07"/>
    <w:rsid w:val="1F2C1918"/>
    <w:rsid w:val="1F7E03C6"/>
    <w:rsid w:val="1FE83A91"/>
    <w:rsid w:val="20370574"/>
    <w:rsid w:val="206A094A"/>
    <w:rsid w:val="20DB53A4"/>
    <w:rsid w:val="216B6728"/>
    <w:rsid w:val="217C26E3"/>
    <w:rsid w:val="222021B9"/>
    <w:rsid w:val="226951BB"/>
    <w:rsid w:val="22A04AF7"/>
    <w:rsid w:val="22A9349D"/>
    <w:rsid w:val="23353491"/>
    <w:rsid w:val="233D5EA2"/>
    <w:rsid w:val="23627FFE"/>
    <w:rsid w:val="23C10881"/>
    <w:rsid w:val="24EA653E"/>
    <w:rsid w:val="25534B9C"/>
    <w:rsid w:val="25730BC1"/>
    <w:rsid w:val="257D4C7B"/>
    <w:rsid w:val="25B06DCE"/>
    <w:rsid w:val="26AF5308"/>
    <w:rsid w:val="26CA2142"/>
    <w:rsid w:val="26F23447"/>
    <w:rsid w:val="28575C58"/>
    <w:rsid w:val="293164A9"/>
    <w:rsid w:val="29626662"/>
    <w:rsid w:val="2A656667"/>
    <w:rsid w:val="2AAF5384"/>
    <w:rsid w:val="2B1E2A5D"/>
    <w:rsid w:val="2B207118"/>
    <w:rsid w:val="2CB52F4D"/>
    <w:rsid w:val="2CDD4252"/>
    <w:rsid w:val="2CE33F5E"/>
    <w:rsid w:val="2D2B320F"/>
    <w:rsid w:val="2D4F514F"/>
    <w:rsid w:val="2DA03BFD"/>
    <w:rsid w:val="2E1B7727"/>
    <w:rsid w:val="2E864BA1"/>
    <w:rsid w:val="2F715851"/>
    <w:rsid w:val="2F860BD0"/>
    <w:rsid w:val="2FBA6538"/>
    <w:rsid w:val="2FDF85B8"/>
    <w:rsid w:val="2FFFEE04"/>
    <w:rsid w:val="300F6E18"/>
    <w:rsid w:val="307D6D15"/>
    <w:rsid w:val="318A0E4C"/>
    <w:rsid w:val="31CA1248"/>
    <w:rsid w:val="327B0795"/>
    <w:rsid w:val="32AA2E28"/>
    <w:rsid w:val="3328091C"/>
    <w:rsid w:val="336A2CE3"/>
    <w:rsid w:val="34076784"/>
    <w:rsid w:val="34433534"/>
    <w:rsid w:val="34DF85B0"/>
    <w:rsid w:val="35980D93"/>
    <w:rsid w:val="36080591"/>
    <w:rsid w:val="3638548F"/>
    <w:rsid w:val="370C2303"/>
    <w:rsid w:val="37357164"/>
    <w:rsid w:val="37D90437"/>
    <w:rsid w:val="37DD7E02"/>
    <w:rsid w:val="388C7258"/>
    <w:rsid w:val="3902751A"/>
    <w:rsid w:val="39A9208B"/>
    <w:rsid w:val="39B051C8"/>
    <w:rsid w:val="3A4A73CA"/>
    <w:rsid w:val="3AA840F1"/>
    <w:rsid w:val="3ACD1DA9"/>
    <w:rsid w:val="3AE30020"/>
    <w:rsid w:val="3B64392D"/>
    <w:rsid w:val="3B8F36BC"/>
    <w:rsid w:val="3C812E4B"/>
    <w:rsid w:val="3C8B3CCA"/>
    <w:rsid w:val="3CDD2778"/>
    <w:rsid w:val="3CFD6976"/>
    <w:rsid w:val="3D38311D"/>
    <w:rsid w:val="3D436353"/>
    <w:rsid w:val="3D5D7415"/>
    <w:rsid w:val="3E4203B8"/>
    <w:rsid w:val="3E55633E"/>
    <w:rsid w:val="3EC05EAD"/>
    <w:rsid w:val="3F171845"/>
    <w:rsid w:val="3F185CE9"/>
    <w:rsid w:val="3F9410E8"/>
    <w:rsid w:val="3FBC469A"/>
    <w:rsid w:val="403326AF"/>
    <w:rsid w:val="406C20A5"/>
    <w:rsid w:val="409969B6"/>
    <w:rsid w:val="40C41559"/>
    <w:rsid w:val="41200E85"/>
    <w:rsid w:val="414C3A28"/>
    <w:rsid w:val="41D01846"/>
    <w:rsid w:val="41FB36A0"/>
    <w:rsid w:val="42614C45"/>
    <w:rsid w:val="445B0426"/>
    <w:rsid w:val="44780FD8"/>
    <w:rsid w:val="44A05B81"/>
    <w:rsid w:val="44D426B2"/>
    <w:rsid w:val="44DF4BB3"/>
    <w:rsid w:val="457A48DC"/>
    <w:rsid w:val="45DE130F"/>
    <w:rsid w:val="466F1F67"/>
    <w:rsid w:val="471843AC"/>
    <w:rsid w:val="479F062A"/>
    <w:rsid w:val="483416BA"/>
    <w:rsid w:val="48517B76"/>
    <w:rsid w:val="48653621"/>
    <w:rsid w:val="489108BA"/>
    <w:rsid w:val="4900334A"/>
    <w:rsid w:val="491FF225"/>
    <w:rsid w:val="4921579A"/>
    <w:rsid w:val="493E459E"/>
    <w:rsid w:val="49A168DB"/>
    <w:rsid w:val="4A070E34"/>
    <w:rsid w:val="4A655B5A"/>
    <w:rsid w:val="4B3F0159"/>
    <w:rsid w:val="4BCB7C3F"/>
    <w:rsid w:val="4BD765E4"/>
    <w:rsid w:val="4D0258E3"/>
    <w:rsid w:val="4D7F5185"/>
    <w:rsid w:val="4E5B34FC"/>
    <w:rsid w:val="4EB45343"/>
    <w:rsid w:val="4EC76DE4"/>
    <w:rsid w:val="4F0973FC"/>
    <w:rsid w:val="4F675ED1"/>
    <w:rsid w:val="4F8C5937"/>
    <w:rsid w:val="4FFD214C"/>
    <w:rsid w:val="50021AD7"/>
    <w:rsid w:val="513D3461"/>
    <w:rsid w:val="51D6733E"/>
    <w:rsid w:val="51E67581"/>
    <w:rsid w:val="520619D1"/>
    <w:rsid w:val="520D7203"/>
    <w:rsid w:val="52326C6A"/>
    <w:rsid w:val="527F3531"/>
    <w:rsid w:val="52B551A5"/>
    <w:rsid w:val="5314011E"/>
    <w:rsid w:val="53234805"/>
    <w:rsid w:val="541D3002"/>
    <w:rsid w:val="541D74A6"/>
    <w:rsid w:val="542B1BC3"/>
    <w:rsid w:val="545B44B3"/>
    <w:rsid w:val="54613836"/>
    <w:rsid w:val="54BE2A37"/>
    <w:rsid w:val="551750D6"/>
    <w:rsid w:val="55825812"/>
    <w:rsid w:val="55C67DF5"/>
    <w:rsid w:val="56310FE7"/>
    <w:rsid w:val="56530F5D"/>
    <w:rsid w:val="5684380C"/>
    <w:rsid w:val="56A143BE"/>
    <w:rsid w:val="56B539C6"/>
    <w:rsid w:val="56DF6C95"/>
    <w:rsid w:val="5777D4F5"/>
    <w:rsid w:val="57EE718F"/>
    <w:rsid w:val="588418A2"/>
    <w:rsid w:val="59B30690"/>
    <w:rsid w:val="59CF2FF0"/>
    <w:rsid w:val="59DD8326"/>
    <w:rsid w:val="5AC02939"/>
    <w:rsid w:val="5B4F263B"/>
    <w:rsid w:val="5B5A4B3C"/>
    <w:rsid w:val="5BE07737"/>
    <w:rsid w:val="5D2B6790"/>
    <w:rsid w:val="5D4E06D0"/>
    <w:rsid w:val="5DB26EB1"/>
    <w:rsid w:val="5DEF592A"/>
    <w:rsid w:val="5EA17100"/>
    <w:rsid w:val="5F49114F"/>
    <w:rsid w:val="5F8E1396"/>
    <w:rsid w:val="5FA42829"/>
    <w:rsid w:val="5FC6BB1E"/>
    <w:rsid w:val="5FDC6467"/>
    <w:rsid w:val="5FF720F1"/>
    <w:rsid w:val="600532C8"/>
    <w:rsid w:val="609B1E7E"/>
    <w:rsid w:val="60E5134B"/>
    <w:rsid w:val="61214749"/>
    <w:rsid w:val="613C540F"/>
    <w:rsid w:val="615344FB"/>
    <w:rsid w:val="629B7F14"/>
    <w:rsid w:val="64326656"/>
    <w:rsid w:val="64457A91"/>
    <w:rsid w:val="646C600B"/>
    <w:rsid w:val="6472739A"/>
    <w:rsid w:val="64872E45"/>
    <w:rsid w:val="648D2466"/>
    <w:rsid w:val="64A31301"/>
    <w:rsid w:val="65901FEE"/>
    <w:rsid w:val="66572D2C"/>
    <w:rsid w:val="670047E9"/>
    <w:rsid w:val="673E700C"/>
    <w:rsid w:val="67FF5C0B"/>
    <w:rsid w:val="685F3791"/>
    <w:rsid w:val="68725BBA"/>
    <w:rsid w:val="69145AC1"/>
    <w:rsid w:val="69AE49D0"/>
    <w:rsid w:val="6A350C4E"/>
    <w:rsid w:val="6AC81AC2"/>
    <w:rsid w:val="6B2A75B8"/>
    <w:rsid w:val="6B9A16B0"/>
    <w:rsid w:val="6BDF70C3"/>
    <w:rsid w:val="6BE4292B"/>
    <w:rsid w:val="6C094140"/>
    <w:rsid w:val="6C2055FE"/>
    <w:rsid w:val="6C97799E"/>
    <w:rsid w:val="6CAD0F6F"/>
    <w:rsid w:val="6CE07597"/>
    <w:rsid w:val="6D325918"/>
    <w:rsid w:val="6D716441"/>
    <w:rsid w:val="6DEE7A91"/>
    <w:rsid w:val="6DF97DD8"/>
    <w:rsid w:val="6EFC0924"/>
    <w:rsid w:val="6FA36659"/>
    <w:rsid w:val="6FB74722"/>
    <w:rsid w:val="6FBE7937"/>
    <w:rsid w:val="6FDC1B6B"/>
    <w:rsid w:val="6FEF8B7E"/>
    <w:rsid w:val="708E10B8"/>
    <w:rsid w:val="70DC60C3"/>
    <w:rsid w:val="714300F4"/>
    <w:rsid w:val="71A6591B"/>
    <w:rsid w:val="71BC7EA6"/>
    <w:rsid w:val="71CC633B"/>
    <w:rsid w:val="71E03B95"/>
    <w:rsid w:val="71F118FE"/>
    <w:rsid w:val="722717C4"/>
    <w:rsid w:val="72DB435C"/>
    <w:rsid w:val="73634A7D"/>
    <w:rsid w:val="737D59BA"/>
    <w:rsid w:val="738B18DE"/>
    <w:rsid w:val="749D7B1B"/>
    <w:rsid w:val="75091655"/>
    <w:rsid w:val="754E52B9"/>
    <w:rsid w:val="75862CA5"/>
    <w:rsid w:val="761738FD"/>
    <w:rsid w:val="774921DC"/>
    <w:rsid w:val="77A613DD"/>
    <w:rsid w:val="77C37683"/>
    <w:rsid w:val="77D870BC"/>
    <w:rsid w:val="78056103"/>
    <w:rsid w:val="781E5417"/>
    <w:rsid w:val="783C589D"/>
    <w:rsid w:val="78B813C8"/>
    <w:rsid w:val="78C064CE"/>
    <w:rsid w:val="791A3E30"/>
    <w:rsid w:val="79C1605A"/>
    <w:rsid w:val="79C773E8"/>
    <w:rsid w:val="79FF515B"/>
    <w:rsid w:val="7A1F0FD2"/>
    <w:rsid w:val="7A262361"/>
    <w:rsid w:val="7A392094"/>
    <w:rsid w:val="7A70182E"/>
    <w:rsid w:val="7BF90B1B"/>
    <w:rsid w:val="7CCD740C"/>
    <w:rsid w:val="7CD460A4"/>
    <w:rsid w:val="7D511DEB"/>
    <w:rsid w:val="7D6B2EAC"/>
    <w:rsid w:val="7E0429B9"/>
    <w:rsid w:val="7E9E1962"/>
    <w:rsid w:val="7E9F11B4"/>
    <w:rsid w:val="7F37EC1E"/>
    <w:rsid w:val="7F475253"/>
    <w:rsid w:val="7F7DCD9D"/>
    <w:rsid w:val="7F970A6F"/>
    <w:rsid w:val="7FC1FFF3"/>
    <w:rsid w:val="7FC69637"/>
    <w:rsid w:val="7FDD1714"/>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5872</Words>
  <Characters>6445</Characters>
  <Lines>63</Lines>
  <Paragraphs>18</Paragraphs>
  <TotalTime>0</TotalTime>
  <ScaleCrop>false</ScaleCrop>
  <LinksUpToDate>false</LinksUpToDate>
  <CharactersWithSpaces>6493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雲隐</cp:lastModifiedBy>
  <cp:lastPrinted>2024-08-08T10:20:00Z</cp:lastPrinted>
  <dcterms:modified xsi:type="dcterms:W3CDTF">2024-09-23T07:30:03Z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5B61048EB8E94203B6DB8E83E382D21D_13</vt:lpwstr>
  </property>
</Properties>
</file>