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before="600" w:line="600" w:lineRule="exact"/>
        <w:jc w:val="center"/>
        <w:textAlignment w:val="auto"/>
        <w:rPr>
          <w:rFonts w:hint="eastAsia" w:ascii="黑体" w:hAnsi="黑体" w:eastAsia="黑体" w:cs="黑体"/>
          <w:color w:val="auto"/>
          <w:kern w:val="0"/>
          <w:sz w:val="48"/>
          <w:szCs w:val="48"/>
        </w:rPr>
      </w:pPr>
      <w:r>
        <w:rPr>
          <w:rFonts w:hint="eastAsia" w:ascii="黑体" w:hAnsi="黑体" w:eastAsia="黑体" w:cs="黑体"/>
          <w:color w:val="auto"/>
          <w:kern w:val="0"/>
          <w:sz w:val="48"/>
          <w:szCs w:val="48"/>
        </w:rPr>
        <w:t>2021年怀化市湖天中学部门决算</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目</w:t>
      </w:r>
      <w:r>
        <w:rPr>
          <w:rFonts w:hint="eastAsia" w:ascii="黑体" w:hAnsi="黑体" w:eastAsia="黑体" w:cs="黑体"/>
          <w:color w:val="auto"/>
          <w:kern w:val="0"/>
          <w:sz w:val="32"/>
          <w:szCs w:val="32"/>
          <w:lang w:val="en-US" w:eastAsia="zh-CN"/>
        </w:rPr>
        <w:t xml:space="preserve"> </w:t>
      </w:r>
      <w:r>
        <w:rPr>
          <w:rFonts w:hint="eastAsia" w:ascii="黑体" w:hAnsi="黑体" w:eastAsia="黑体" w:cs="黑体"/>
          <w:color w:val="auto"/>
          <w:kern w:val="0"/>
          <w:sz w:val="32"/>
          <w:szCs w:val="32"/>
        </w:rPr>
        <w:t>录</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第一部分 怀化市湖天中学</w:t>
      </w:r>
      <w:r>
        <w:rPr>
          <w:rFonts w:hint="eastAsia" w:ascii="黑体" w:hAnsi="黑体" w:eastAsia="黑体" w:cs="黑体"/>
          <w:color w:val="auto"/>
          <w:kern w:val="0"/>
          <w:sz w:val="32"/>
          <w:szCs w:val="32"/>
          <w:lang w:val="en-US" w:eastAsia="zh-CN"/>
        </w:rPr>
        <w:t>部门</w:t>
      </w:r>
      <w:r>
        <w:rPr>
          <w:rFonts w:hint="eastAsia" w:ascii="黑体" w:hAnsi="黑体" w:eastAsia="黑体" w:cs="黑体"/>
          <w:color w:val="auto"/>
          <w:kern w:val="0"/>
          <w:sz w:val="32"/>
          <w:szCs w:val="32"/>
        </w:rPr>
        <w:t>概况</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一、部门职责</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二、机构设置</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第二部分 2021年度部门决算表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一、收入支出决算总表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二、收入决算表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六、一般公共预算财政拨款基本支出决算明细表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八、政府性基金预算财政拨款收入支出决算表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九、国有资本经营预算财政拨款支出决算表</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第三部分 2021年度部门决算情况说明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一、收入支出决算总体情况说明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二、收入决算情况说明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八、政府性基金预算收入支出决算情况</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rPr>
        <w:t>九、</w:t>
      </w:r>
      <w:r>
        <w:rPr>
          <w:rFonts w:hint="eastAsia" w:ascii="仿宋" w:hAnsi="仿宋" w:eastAsia="仿宋" w:cs="仿宋"/>
          <w:color w:val="auto"/>
          <w:kern w:val="0"/>
          <w:sz w:val="32"/>
          <w:szCs w:val="32"/>
          <w:lang w:val="en-US" w:eastAsia="zh-CN"/>
        </w:rPr>
        <w:t>国有资本经营预算财政拨款支出决算情况说明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十、关于</w:t>
      </w:r>
      <w:r>
        <w:rPr>
          <w:rFonts w:hint="eastAsia" w:ascii="仿宋" w:hAnsi="仿宋" w:eastAsia="仿宋" w:cs="仿宋"/>
          <w:color w:val="auto"/>
          <w:kern w:val="0"/>
          <w:sz w:val="32"/>
          <w:szCs w:val="32"/>
        </w:rPr>
        <w:t>机关运行经费支出说明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一</w:t>
      </w:r>
      <w:r>
        <w:rPr>
          <w:rFonts w:hint="eastAsia" w:ascii="仿宋" w:hAnsi="仿宋" w:eastAsia="仿宋" w:cs="仿宋"/>
          <w:color w:val="auto"/>
          <w:kern w:val="0"/>
          <w:sz w:val="32"/>
          <w:szCs w:val="32"/>
        </w:rPr>
        <w:t>、一般性支出情况说明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二</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关于</w:t>
      </w:r>
      <w:r>
        <w:rPr>
          <w:rFonts w:hint="eastAsia" w:ascii="仿宋" w:hAnsi="仿宋" w:eastAsia="仿宋" w:cs="仿宋"/>
          <w:color w:val="auto"/>
          <w:kern w:val="0"/>
          <w:sz w:val="32"/>
          <w:szCs w:val="32"/>
        </w:rPr>
        <w:t>政府采购支出说明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三</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关于</w:t>
      </w:r>
      <w:r>
        <w:rPr>
          <w:rFonts w:hint="eastAsia" w:ascii="仿宋" w:hAnsi="仿宋" w:eastAsia="仿宋" w:cs="仿宋"/>
          <w:color w:val="auto"/>
          <w:kern w:val="0"/>
          <w:sz w:val="32"/>
          <w:szCs w:val="32"/>
        </w:rPr>
        <w:t>国有资产占用情况说明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四</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关于</w:t>
      </w:r>
      <w:r>
        <w:rPr>
          <w:rFonts w:hint="eastAsia" w:ascii="仿宋" w:hAnsi="仿宋" w:eastAsia="仿宋" w:cs="仿宋"/>
          <w:color w:val="auto"/>
          <w:kern w:val="0"/>
          <w:sz w:val="32"/>
          <w:szCs w:val="32"/>
        </w:rPr>
        <w:t>2021年度预算绩效情况的说明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第四部分 名词解释</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第五部分 附件</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kern w:val="0"/>
          <w:sz w:val="44"/>
          <w:szCs w:val="44"/>
        </w:rPr>
      </w:pPr>
      <w:r>
        <w:rPr>
          <w:rFonts w:hint="eastAsia" w:ascii="黑体" w:hAnsi="黑体" w:eastAsia="黑体" w:cs="黑体"/>
          <w:color w:val="auto"/>
          <w:kern w:val="0"/>
          <w:sz w:val="44"/>
          <w:szCs w:val="44"/>
        </w:rPr>
        <w:t>怀化市湖天中学概况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jc w:val="center"/>
        <w:textAlignment w:val="auto"/>
        <w:rPr>
          <w:rFonts w:hint="eastAsia" w:ascii="黑体" w:hAnsi="黑体" w:eastAsia="黑体" w:cs="黑体"/>
          <w:color w:val="auto"/>
          <w:kern w:val="0"/>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一、 部门职责</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（一）贯彻执行党和国家的教育方针、政策、法律法规等，坚持依法治教、依法治学。</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（二）组织开展本校的教育教学科研和教育教学改革，负责本校教育教学业务的具体管理，全力推进素质教育实施。</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（三）指导、管理、检查、评价本校的教育教学工作，提高办学质量和办学效益。实施高中学历教育，培养德、智、体、美等全面发展的学生。</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二、机构设置及决算单位构成</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（一）内设机构设置。怀化市湖天中学作为一级部门预算单位，内设机构包括：办公室、教务处、学生处、教研处、现代教育技术室、总务处。</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（二）决算单位构成。怀化市湖天中学2021年部门决算汇总公开单位构成包括：怀化市湖天中学本级。</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jc w:val="center"/>
        <w:textAlignment w:val="auto"/>
        <w:rPr>
          <w:rFonts w:hint="eastAsia" w:ascii="黑体" w:hAnsi="黑体" w:eastAsia="黑体" w:cs="黑体"/>
          <w:color w:val="auto"/>
          <w:kern w:val="0"/>
          <w:sz w:val="44"/>
          <w:szCs w:val="44"/>
          <w:lang w:val="en-US" w:eastAsia="zh-CN"/>
        </w:rPr>
      </w:pPr>
      <w:r>
        <w:rPr>
          <w:rFonts w:hint="eastAsia" w:ascii="黑体" w:hAnsi="黑体" w:eastAsia="黑体" w:cs="黑体"/>
          <w:color w:val="auto"/>
          <w:kern w:val="0"/>
          <w:sz w:val="44"/>
          <w:szCs w:val="44"/>
        </w:rPr>
        <w:t>第二部分 部门决算表</w:t>
      </w:r>
    </w:p>
    <w:p>
      <w:pPr>
        <w:keepNext w:val="0"/>
        <w:keepLines w:val="0"/>
        <w:pageBreakBefore w:val="0"/>
        <w:kinsoku/>
        <w:wordWrap/>
        <w:overflowPunct/>
        <w:topLinePunct w:val="0"/>
        <w:autoSpaceDE/>
        <w:autoSpaceDN/>
        <w:bidi w:val="0"/>
        <w:adjustRightInd/>
        <w:snapToGrid/>
        <w:spacing w:line="600" w:lineRule="exact"/>
        <w:ind w:firstLine="3200" w:firstLineChars="10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详情见附件）</w:t>
      </w:r>
    </w:p>
    <w:p>
      <w:pPr>
        <w:keepNext w:val="0"/>
        <w:keepLines w:val="0"/>
        <w:pageBreakBefore w:val="0"/>
        <w:kinsoku/>
        <w:wordWrap/>
        <w:overflowPunct/>
        <w:topLinePunct w:val="0"/>
        <w:autoSpaceDE/>
        <w:autoSpaceDN/>
        <w:bidi w:val="0"/>
        <w:adjustRightInd/>
        <w:snapToGrid/>
        <w:spacing w:line="600" w:lineRule="exact"/>
        <w:ind w:firstLine="3200" w:firstLineChars="1000"/>
        <w:textAlignment w:val="auto"/>
        <w:rPr>
          <w:rFonts w:hint="eastAsia" w:ascii="仿宋" w:hAnsi="仿宋" w:eastAsia="仿宋" w:cs="仿宋"/>
          <w:color w:val="auto"/>
          <w:sz w:val="32"/>
          <w:szCs w:val="32"/>
          <w:lang w:val="en-US" w:eastAsia="zh-CN"/>
        </w:rPr>
      </w:pP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600" w:lineRule="exact"/>
        <w:ind w:left="0" w:leftChars="0" w:firstLine="0" w:firstLineChars="0"/>
        <w:jc w:val="center"/>
        <w:textAlignment w:val="auto"/>
        <w:rPr>
          <w:rFonts w:hint="eastAsia" w:ascii="黑体" w:hAnsi="黑体" w:eastAsia="黑体" w:cs="黑体"/>
          <w:b/>
          <w:bCs/>
          <w:color w:val="auto"/>
          <w:kern w:val="0"/>
          <w:sz w:val="44"/>
          <w:szCs w:val="44"/>
        </w:rPr>
      </w:pPr>
      <w:r>
        <w:rPr>
          <w:rFonts w:hint="eastAsia" w:ascii="黑体" w:hAnsi="黑体" w:eastAsia="黑体" w:cs="黑体"/>
          <w:b/>
          <w:bCs/>
          <w:color w:val="auto"/>
          <w:kern w:val="0"/>
          <w:sz w:val="44"/>
          <w:szCs w:val="44"/>
        </w:rPr>
        <w:t>2021年度部门决算情况说明</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600" w:lineRule="exact"/>
        <w:ind w:leftChars="0"/>
        <w:jc w:val="center"/>
        <w:textAlignment w:val="auto"/>
        <w:rPr>
          <w:rFonts w:hint="eastAsia" w:ascii="黑体" w:hAnsi="黑体" w:eastAsia="黑体" w:cs="黑体"/>
          <w:b/>
          <w:bCs/>
          <w:color w:val="auto"/>
          <w:kern w:val="0"/>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一、收入支出决算总体情况说明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2021年度全年收、支总计</w:t>
      </w:r>
      <w:r>
        <w:rPr>
          <w:rFonts w:hint="eastAsia" w:ascii="仿宋" w:hAnsi="仿宋" w:eastAsia="仿宋" w:cs="仿宋"/>
          <w:color w:val="auto"/>
          <w:kern w:val="0"/>
          <w:sz w:val="32"/>
          <w:szCs w:val="32"/>
          <w:highlight w:val="none"/>
          <w:lang w:val="en-US" w:eastAsia="zh-CN"/>
        </w:rPr>
        <w:t>各</w:t>
      </w:r>
      <w:r>
        <w:rPr>
          <w:rFonts w:hint="eastAsia" w:ascii="仿宋" w:hAnsi="仿宋" w:eastAsia="仿宋" w:cs="仿宋"/>
          <w:color w:val="auto"/>
          <w:kern w:val="0"/>
          <w:sz w:val="32"/>
          <w:szCs w:val="32"/>
        </w:rPr>
        <w:t>5</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258.88万元，与上年5</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591.18万元相比，减少332.3万元，减少5.94%，主要原因是财政拨款和事业收入都减少。</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二、收入决算情况说明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48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本年收入合计5</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001.76万元，其中：财政拨款收入</w:t>
      </w:r>
      <w:r>
        <w:rPr>
          <w:rFonts w:hint="eastAsia" w:ascii="仿宋" w:hAnsi="仿宋" w:eastAsia="仿宋" w:cs="仿宋"/>
          <w:color w:val="auto"/>
          <w:kern w:val="0"/>
          <w:sz w:val="32"/>
          <w:szCs w:val="32"/>
          <w:highlight w:val="none"/>
        </w:rPr>
        <w:t>3</w:t>
      </w:r>
      <w:r>
        <w:rPr>
          <w:rFonts w:hint="eastAsia" w:ascii="仿宋" w:hAnsi="仿宋" w:eastAsia="仿宋" w:cs="仿宋"/>
          <w:color w:val="auto"/>
          <w:kern w:val="0"/>
          <w:sz w:val="32"/>
          <w:szCs w:val="32"/>
          <w:highlight w:val="none"/>
          <w:lang w:val="en-US" w:eastAsia="zh-CN"/>
        </w:rPr>
        <w:t>,408</w:t>
      </w:r>
      <w:r>
        <w:rPr>
          <w:rFonts w:hint="eastAsia" w:ascii="仿宋" w:hAnsi="仿宋" w:eastAsia="仿宋" w:cs="仿宋"/>
          <w:color w:val="auto"/>
          <w:kern w:val="0"/>
          <w:sz w:val="32"/>
          <w:szCs w:val="32"/>
          <w:highlight w:val="none"/>
        </w:rPr>
        <w:t>.40</w:t>
      </w:r>
      <w:r>
        <w:rPr>
          <w:rFonts w:hint="eastAsia" w:ascii="仿宋" w:hAnsi="仿宋" w:eastAsia="仿宋" w:cs="仿宋"/>
          <w:color w:val="auto"/>
          <w:kern w:val="0"/>
          <w:sz w:val="32"/>
          <w:szCs w:val="32"/>
        </w:rPr>
        <w:t>万元，占总收入的</w:t>
      </w:r>
      <w:r>
        <w:rPr>
          <w:rFonts w:hint="eastAsia" w:ascii="仿宋" w:hAnsi="仿宋" w:eastAsia="仿宋" w:cs="仿宋"/>
          <w:color w:val="auto"/>
          <w:kern w:val="0"/>
          <w:sz w:val="32"/>
          <w:szCs w:val="32"/>
          <w:lang w:val="en-US" w:eastAsia="zh-CN"/>
        </w:rPr>
        <w:t>68.14</w:t>
      </w:r>
      <w:r>
        <w:rPr>
          <w:rFonts w:hint="eastAsia" w:ascii="仿宋" w:hAnsi="仿宋" w:eastAsia="仿宋" w:cs="仿宋"/>
          <w:color w:val="auto"/>
          <w:kern w:val="0"/>
          <w:sz w:val="32"/>
          <w:szCs w:val="32"/>
        </w:rPr>
        <w:t>%；上级补助收入0万元，占0%；事业收入1</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593.36万元，占总收入的31.86%；经营收入0万元，占0%；附属单位上缴收入0万元，占0%；其他收入0万元，占0%。</w:t>
      </w:r>
    </w:p>
    <w:p>
      <w:pPr>
        <w:widowControl/>
        <w:shd w:val="clear" w:color="auto" w:fill="FFFFFF"/>
        <w:spacing w:line="600" w:lineRule="exact"/>
        <w:ind w:firstLine="48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三、支出决算情况说明</w:t>
      </w:r>
    </w:p>
    <w:p>
      <w:pPr>
        <w:widowControl/>
        <w:shd w:val="clear" w:color="auto" w:fill="FFFFFF"/>
        <w:spacing w:line="600" w:lineRule="exact"/>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本年支出合计5</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053.9万元，其中：基本支出4</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886.52万元，占总支出的96.69%；项目支出167.38万元，占总支出的3.31%；上缴上级支出0万元，占0%；经营支出0万元，占0%；对附属单位补助支出0万元，占0%。</w:t>
      </w:r>
    </w:p>
    <w:p>
      <w:pPr>
        <w:widowControl/>
        <w:shd w:val="clear" w:color="auto" w:fill="FFFFFF"/>
        <w:spacing w:line="600" w:lineRule="exact"/>
        <w:ind w:firstLine="48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四、财政拨款收入支出决算总体情况说明</w:t>
      </w:r>
    </w:p>
    <w:p>
      <w:pPr>
        <w:widowControl/>
        <w:shd w:val="clear" w:color="auto" w:fill="FFFFFF"/>
        <w:spacing w:line="510" w:lineRule="atLeast"/>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2021年度财政拨款收、支总计</w:t>
      </w:r>
      <w:r>
        <w:rPr>
          <w:rFonts w:hint="eastAsia" w:ascii="仿宋" w:hAnsi="仿宋" w:eastAsia="仿宋" w:cs="仿宋"/>
          <w:color w:val="auto"/>
          <w:kern w:val="0"/>
          <w:sz w:val="32"/>
          <w:szCs w:val="32"/>
          <w:highlight w:val="none"/>
          <w:lang w:val="en-US" w:eastAsia="zh-CN"/>
        </w:rPr>
        <w:t>各</w:t>
      </w:r>
      <w:r>
        <w:rPr>
          <w:rFonts w:hint="eastAsia" w:ascii="仿宋" w:hAnsi="仿宋" w:eastAsia="仿宋" w:cs="仿宋"/>
          <w:color w:val="auto"/>
          <w:kern w:val="0"/>
          <w:sz w:val="32"/>
          <w:szCs w:val="32"/>
        </w:rPr>
        <w:t>3</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665.52万元，与上年3</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710.03万元相比，减少44.51万元，减少1.20%，主要原因是职工绩效奖减少等原因所致。</w:t>
      </w:r>
    </w:p>
    <w:p>
      <w:pPr>
        <w:widowControl/>
        <w:shd w:val="clear" w:color="auto" w:fill="FFFFFF"/>
        <w:spacing w:line="510" w:lineRule="atLeast"/>
        <w:ind w:firstLine="48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五、一般公共预算财政拨款支出决算情况说明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（一）财政拨款支出决算总体情况。</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rPr>
        <w:t>2021年度财政拨款支出</w:t>
      </w:r>
      <w:r>
        <w:rPr>
          <w:rFonts w:hint="eastAsia" w:ascii="仿宋" w:hAnsi="仿宋" w:eastAsia="仿宋" w:cs="仿宋"/>
          <w:color w:val="auto"/>
          <w:kern w:val="0"/>
          <w:sz w:val="32"/>
          <w:szCs w:val="32"/>
          <w:highlight w:val="none"/>
        </w:rPr>
        <w:t>3</w:t>
      </w:r>
      <w:r>
        <w:rPr>
          <w:rFonts w:hint="eastAsia" w:ascii="仿宋" w:hAnsi="仿宋" w:eastAsia="仿宋" w:cs="仿宋"/>
          <w:color w:val="auto"/>
          <w:kern w:val="0"/>
          <w:sz w:val="32"/>
          <w:szCs w:val="32"/>
          <w:highlight w:val="none"/>
          <w:lang w:val="en-US" w:eastAsia="zh-CN"/>
        </w:rPr>
        <w:t>,</w:t>
      </w:r>
      <w:r>
        <w:rPr>
          <w:rFonts w:hint="eastAsia" w:ascii="仿宋" w:hAnsi="仿宋" w:eastAsia="仿宋" w:cs="仿宋"/>
          <w:color w:val="auto"/>
          <w:kern w:val="0"/>
          <w:sz w:val="32"/>
          <w:szCs w:val="32"/>
          <w:highlight w:val="none"/>
        </w:rPr>
        <w:t>4</w:t>
      </w:r>
      <w:r>
        <w:rPr>
          <w:rFonts w:hint="eastAsia" w:ascii="仿宋" w:hAnsi="仿宋" w:eastAsia="仿宋" w:cs="仿宋"/>
          <w:color w:val="auto"/>
          <w:kern w:val="0"/>
          <w:sz w:val="32"/>
          <w:szCs w:val="32"/>
          <w:highlight w:val="none"/>
          <w:lang w:val="en-US" w:eastAsia="zh-CN"/>
        </w:rPr>
        <w:t>4</w:t>
      </w:r>
      <w:r>
        <w:rPr>
          <w:rFonts w:hint="eastAsia" w:ascii="仿宋" w:hAnsi="仿宋" w:eastAsia="仿宋" w:cs="仿宋"/>
          <w:color w:val="auto"/>
          <w:kern w:val="0"/>
          <w:sz w:val="32"/>
          <w:szCs w:val="32"/>
          <w:highlight w:val="none"/>
        </w:rPr>
        <w:t>0.54万元，占本年支出合计的68.</w:t>
      </w:r>
      <w:r>
        <w:rPr>
          <w:rFonts w:hint="eastAsia" w:ascii="仿宋" w:hAnsi="仿宋" w:eastAsia="仿宋" w:cs="仿宋"/>
          <w:color w:val="auto"/>
          <w:kern w:val="0"/>
          <w:sz w:val="32"/>
          <w:szCs w:val="32"/>
          <w:highlight w:val="none"/>
          <w:lang w:val="en-US" w:eastAsia="zh-CN"/>
        </w:rPr>
        <w:t>07</w:t>
      </w:r>
      <w:r>
        <w:rPr>
          <w:rFonts w:hint="eastAsia" w:ascii="仿宋" w:hAnsi="仿宋" w:eastAsia="仿宋" w:cs="仿宋"/>
          <w:color w:val="auto"/>
          <w:kern w:val="0"/>
          <w:sz w:val="32"/>
          <w:szCs w:val="32"/>
          <w:highlight w:val="none"/>
        </w:rPr>
        <w:t>%，与上年相比，财政拨款支出减少12.37万元，减少0.</w:t>
      </w:r>
      <w:r>
        <w:rPr>
          <w:rFonts w:hint="eastAsia" w:ascii="仿宋" w:hAnsi="仿宋" w:eastAsia="仿宋" w:cs="仿宋"/>
          <w:color w:val="auto"/>
          <w:kern w:val="0"/>
          <w:sz w:val="32"/>
          <w:szCs w:val="32"/>
          <w:highlight w:val="none"/>
          <w:lang w:val="en-US" w:eastAsia="zh-CN"/>
        </w:rPr>
        <w:t>36</w:t>
      </w:r>
      <w:r>
        <w:rPr>
          <w:rFonts w:hint="eastAsia" w:ascii="仿宋" w:hAnsi="仿宋" w:eastAsia="仿宋" w:cs="仿宋"/>
          <w:color w:val="auto"/>
          <w:kern w:val="0"/>
          <w:sz w:val="32"/>
          <w:szCs w:val="32"/>
          <w:highlight w:val="none"/>
        </w:rPr>
        <w:t>%，主要原因是厉行节约，压减各项支出。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highlight w:val="none"/>
        </w:rPr>
      </w:pPr>
      <w:r>
        <w:rPr>
          <w:rFonts w:hint="eastAsia" w:ascii="仿宋" w:hAnsi="仿宋" w:eastAsia="仿宋" w:cs="仿宋"/>
          <w:color w:val="auto"/>
          <w:kern w:val="0"/>
          <w:sz w:val="32"/>
          <w:szCs w:val="32"/>
          <w:highlight w:val="none"/>
        </w:rPr>
        <w:t>（二）财政拨款支出决算结构情况。</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highlight w:val="none"/>
        </w:rPr>
        <w:t>2021年度财政拨款支出3</w:t>
      </w:r>
      <w:r>
        <w:rPr>
          <w:rFonts w:hint="eastAsia" w:ascii="仿宋" w:hAnsi="仿宋" w:eastAsia="仿宋" w:cs="仿宋"/>
          <w:color w:val="auto"/>
          <w:kern w:val="0"/>
          <w:sz w:val="32"/>
          <w:szCs w:val="32"/>
          <w:highlight w:val="none"/>
          <w:lang w:val="en-US" w:eastAsia="zh-CN"/>
        </w:rPr>
        <w:t>,</w:t>
      </w:r>
      <w:r>
        <w:rPr>
          <w:rFonts w:hint="eastAsia" w:ascii="仿宋" w:hAnsi="仿宋" w:eastAsia="仿宋" w:cs="仿宋"/>
          <w:color w:val="auto"/>
          <w:kern w:val="0"/>
          <w:sz w:val="32"/>
          <w:szCs w:val="32"/>
          <w:highlight w:val="none"/>
        </w:rPr>
        <w:t>4</w:t>
      </w:r>
      <w:r>
        <w:rPr>
          <w:rFonts w:hint="eastAsia" w:ascii="仿宋" w:hAnsi="仿宋" w:eastAsia="仿宋" w:cs="仿宋"/>
          <w:color w:val="auto"/>
          <w:kern w:val="0"/>
          <w:sz w:val="32"/>
          <w:szCs w:val="32"/>
          <w:highlight w:val="none"/>
          <w:lang w:val="en-US" w:eastAsia="zh-CN"/>
        </w:rPr>
        <w:t>4</w:t>
      </w:r>
      <w:r>
        <w:rPr>
          <w:rFonts w:hint="eastAsia" w:ascii="仿宋" w:hAnsi="仿宋" w:eastAsia="仿宋" w:cs="仿宋"/>
          <w:color w:val="auto"/>
          <w:kern w:val="0"/>
          <w:sz w:val="32"/>
          <w:szCs w:val="32"/>
          <w:highlight w:val="none"/>
        </w:rPr>
        <w:t>0.54万元，主要用于以下方面：一般公共服务（类）支出78.60万元，占2.2</w:t>
      </w:r>
      <w:r>
        <w:rPr>
          <w:rFonts w:hint="eastAsia" w:ascii="仿宋" w:hAnsi="仿宋" w:eastAsia="仿宋" w:cs="仿宋"/>
          <w:color w:val="auto"/>
          <w:kern w:val="0"/>
          <w:sz w:val="32"/>
          <w:szCs w:val="32"/>
          <w:highlight w:val="none"/>
          <w:lang w:val="en-US" w:eastAsia="zh-CN"/>
        </w:rPr>
        <w:t>8</w:t>
      </w:r>
      <w:r>
        <w:rPr>
          <w:rFonts w:hint="eastAsia" w:ascii="仿宋" w:hAnsi="仿宋" w:eastAsia="仿宋" w:cs="仿宋"/>
          <w:color w:val="auto"/>
          <w:kern w:val="0"/>
          <w:sz w:val="32"/>
          <w:szCs w:val="32"/>
          <w:highlight w:val="none"/>
        </w:rPr>
        <w:t>%；教育（类）支出2</w:t>
      </w:r>
      <w:r>
        <w:rPr>
          <w:rFonts w:hint="eastAsia" w:ascii="仿宋" w:hAnsi="仿宋" w:eastAsia="仿宋" w:cs="仿宋"/>
          <w:color w:val="auto"/>
          <w:kern w:val="0"/>
          <w:sz w:val="32"/>
          <w:szCs w:val="32"/>
          <w:highlight w:val="none"/>
          <w:lang w:val="en-US" w:eastAsia="zh-CN"/>
        </w:rPr>
        <w:t>,</w:t>
      </w:r>
      <w:r>
        <w:rPr>
          <w:rFonts w:hint="eastAsia" w:ascii="仿宋" w:hAnsi="仿宋" w:eastAsia="仿宋" w:cs="仿宋"/>
          <w:color w:val="auto"/>
          <w:kern w:val="0"/>
          <w:sz w:val="32"/>
          <w:szCs w:val="32"/>
          <w:highlight w:val="none"/>
        </w:rPr>
        <w:t>950.15万元，占85.</w:t>
      </w:r>
      <w:r>
        <w:rPr>
          <w:rFonts w:hint="eastAsia" w:ascii="仿宋" w:hAnsi="仿宋" w:eastAsia="仿宋" w:cs="仿宋"/>
          <w:color w:val="auto"/>
          <w:kern w:val="0"/>
          <w:sz w:val="32"/>
          <w:szCs w:val="32"/>
          <w:highlight w:val="none"/>
          <w:lang w:val="en-US" w:eastAsia="zh-CN"/>
        </w:rPr>
        <w:t>7</w:t>
      </w:r>
      <w:r>
        <w:rPr>
          <w:rFonts w:hint="eastAsia" w:ascii="仿宋" w:hAnsi="仿宋" w:eastAsia="仿宋" w:cs="仿宋"/>
          <w:color w:val="auto"/>
          <w:kern w:val="0"/>
          <w:sz w:val="32"/>
          <w:szCs w:val="32"/>
          <w:highlight w:val="none"/>
        </w:rPr>
        <w:t>5%；社会保障和就业（类）支出278.10万元，占8.0</w:t>
      </w:r>
      <w:r>
        <w:rPr>
          <w:rFonts w:hint="eastAsia" w:ascii="仿宋" w:hAnsi="仿宋" w:eastAsia="仿宋" w:cs="仿宋"/>
          <w:color w:val="auto"/>
          <w:kern w:val="0"/>
          <w:sz w:val="32"/>
          <w:szCs w:val="32"/>
          <w:highlight w:val="none"/>
          <w:lang w:val="en-US" w:eastAsia="zh-CN"/>
        </w:rPr>
        <w:t>8</w:t>
      </w:r>
      <w:r>
        <w:rPr>
          <w:rFonts w:hint="eastAsia" w:ascii="仿宋" w:hAnsi="仿宋" w:eastAsia="仿宋" w:cs="仿宋"/>
          <w:color w:val="auto"/>
          <w:kern w:val="0"/>
          <w:sz w:val="32"/>
          <w:szCs w:val="32"/>
          <w:highlight w:val="none"/>
        </w:rPr>
        <w:t>%；卫生健康（类）支出133.69万元，占3.8</w:t>
      </w:r>
      <w:r>
        <w:rPr>
          <w:rFonts w:hint="eastAsia" w:ascii="仿宋" w:hAnsi="仿宋" w:eastAsia="仿宋" w:cs="仿宋"/>
          <w:color w:val="auto"/>
          <w:kern w:val="0"/>
          <w:sz w:val="32"/>
          <w:szCs w:val="32"/>
          <w:highlight w:val="none"/>
          <w:lang w:val="en-US" w:eastAsia="zh-CN"/>
        </w:rPr>
        <w:t>9</w:t>
      </w:r>
      <w:r>
        <w:rPr>
          <w:rFonts w:hint="eastAsia" w:ascii="仿宋" w:hAnsi="仿宋" w:eastAsia="仿宋" w:cs="仿宋"/>
          <w:color w:val="auto"/>
          <w:kern w:val="0"/>
          <w:sz w:val="32"/>
          <w:szCs w:val="32"/>
          <w:highlight w:val="none"/>
        </w:rPr>
        <w:t>%</w:t>
      </w:r>
      <w:r>
        <w:rPr>
          <w:rFonts w:hint="eastAsia" w:ascii="仿宋" w:hAnsi="仿宋" w:eastAsia="仿宋" w:cs="仿宋"/>
          <w:color w:val="auto"/>
          <w:kern w:val="0"/>
          <w:sz w:val="32"/>
          <w:szCs w:val="32"/>
          <w:highlight w:val="none"/>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（三）财政拨款支出决算具体情况</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2021年度财政拨款支出年初预算数为1</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837.58万元，支出决算数为3</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440.54万元，完成年初预算的187.23%，其中：</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1、一般公共服务支出（类）政协事务（款）其他政协事务支出（项）。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年初预算为0万元，支出决算为2万元，决算数大于年初预算数的主要原因是增加了政协委员工作室费用2万元。</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2、一般公共服务支出（类）组织事务（款）其他组织事务支出（项）。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年初预算为0万元，支出决算为57.6万元，决算数大于年初预算数的主要原因是引进人才2021年补贴及五溪智汇柔性人才引进2020-2021年补助。</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3、一般公共服务支出（类）其他一般公共服务支出（款）其他一般公共服务支出（项）。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年初预算为0万元，支出决算为19万元，决算数大于年初预算数的主要原因是疫情期间人才引进住房补贴。</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4、教育支出（类）普通教育（款）高中教育（项）。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年初预算为1</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837.37万元，支出决算为2</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712.48万元，完成年初预算的147.63%，决算数大于年初预算数的主要原因是年中增加了人员费用等。</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5、教育支出（类）普通教育（款）其他普通教育支出（项）。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年初预算0万元，支出决算为226.35万元，决算数大于年初预算数的主要原因是财政追加国培项目经费、高中免学费等经费支出。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6、教育支出（类）进修及培训（款）教师进修（项）。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年初预算0万元，支出决算为11.32万元，决算数大于年初预算数的主要原因是财政追加教师培训经费。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7、社会保障和就业支出（类）行政事业单位养老支出（款）事业单位离退休（项）。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年初预算0.21万元，支出决算为0.21万元，完成年初预算的100%，决算数与年初预算数相等。</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8、社会保障和就业支出（类）行政事业单位养老支出（款）机关事业单位基本养老保险缴费支出（项）。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年初预算0万元，支出决算为267.38万元，决算数大于年初预算数的主要原因是财政追加的单位基本养老保险缴费支出。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9、社会保障和就业支出（类）行政事业单位养老支出（款）其他行政事业单位养老支出（项）。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年初预算0万元，支出决算为10.51万元，决算数大于年初预算数的主要原因是财政追加的单位基本养老保险缴费支出。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10、卫生健康支出（类）行政事业单位医疗（款）行政单位医疗（项）。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年初预算0万元，支出决算为133.69万元，决算数大于年初预算数的主要原因是财政追加的单位基本医疗缴费支出。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六、一般公共预算财政拨款基本支出决算情况说明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2021年度财政拨款基本支出3</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293.16万元，其中：人员经费2</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526.86万元，占基本支出的76.73%，主要包括基本工资、津贴补贴、奖金、绩效工资、机关事业单位基本养老保险缴费、职工基本医疗保险缴费、助学金等；日常公用经费766.3万元，占基本支出的23.27%，主要包括办公费、水费、电费、培训费、福利费、公务用车运行维护费、其他商品和服务支出及专用设备购置等。</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七、一般公共预算财政拨款三公经费支出决算情况说明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bCs/>
          <w:color w:val="auto"/>
          <w:kern w:val="0"/>
          <w:sz w:val="32"/>
          <w:szCs w:val="32"/>
        </w:rPr>
      </w:pPr>
      <w:r>
        <w:rPr>
          <w:rFonts w:hint="eastAsia" w:ascii="仿宋" w:hAnsi="仿宋" w:eastAsia="仿宋" w:cs="仿宋"/>
          <w:b/>
          <w:bCs/>
          <w:color w:val="auto"/>
          <w:kern w:val="0"/>
          <w:sz w:val="32"/>
          <w:szCs w:val="32"/>
        </w:rPr>
        <w:t>（一）“三公”经费财政拨款支出决算总体情况说明。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“三公”经费财政拨款支出预算为22.65万元，支出决算2.78万元，完成预算12.27%，其中：</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因公出国（境）费支出预算为0万元，支出决算为0万元，决算数与年初预算数一致，与上年相比</w:t>
      </w:r>
      <w:r>
        <w:rPr>
          <w:rFonts w:hint="eastAsia" w:ascii="仿宋" w:hAnsi="仿宋" w:eastAsia="仿宋" w:cs="仿宋"/>
          <w:color w:val="auto"/>
          <w:kern w:val="0"/>
          <w:sz w:val="32"/>
          <w:szCs w:val="32"/>
          <w:lang w:val="en-US" w:eastAsia="zh-CN"/>
        </w:rPr>
        <w:t>持平</w:t>
      </w:r>
      <w:r>
        <w:rPr>
          <w:rFonts w:hint="eastAsia" w:ascii="仿宋" w:hAnsi="仿宋" w:eastAsia="仿宋" w:cs="仿宋"/>
          <w:color w:val="auto"/>
          <w:sz w:val="32"/>
          <w:szCs w:val="32"/>
          <w:shd w:val="clear" w:color="auto" w:fill="FFFFFF"/>
        </w:rPr>
        <w:t>主要原因是无出国（境）任务安排。</w:t>
      </w:r>
      <w:r>
        <w:rPr>
          <w:rFonts w:hint="eastAsia" w:ascii="仿宋" w:hAnsi="仿宋" w:eastAsia="仿宋" w:cs="仿宋"/>
          <w:color w:val="auto"/>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2、</w:t>
      </w:r>
      <w:r>
        <w:rPr>
          <w:rFonts w:hint="eastAsia" w:ascii="仿宋" w:hAnsi="仿宋" w:eastAsia="仿宋" w:cs="仿宋"/>
          <w:color w:val="auto"/>
          <w:kern w:val="0"/>
          <w:sz w:val="32"/>
          <w:szCs w:val="32"/>
        </w:rPr>
        <w:t>公务接待费支出预算为19.81万元，支出决算为0.43万元</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完成预算的</w:t>
      </w:r>
      <w:r>
        <w:rPr>
          <w:rFonts w:hint="eastAsia" w:ascii="仿宋" w:hAnsi="仿宋" w:eastAsia="仿宋" w:cs="仿宋"/>
          <w:color w:val="auto"/>
          <w:kern w:val="0"/>
          <w:sz w:val="32"/>
          <w:szCs w:val="32"/>
          <w:lang w:val="en-US" w:eastAsia="zh-CN"/>
        </w:rPr>
        <w:t>2.17</w:t>
      </w:r>
      <w:r>
        <w:rPr>
          <w:rFonts w:hint="eastAsia" w:ascii="仿宋" w:hAnsi="仿宋" w:eastAsia="仿宋" w:cs="仿宋"/>
          <w:color w:val="auto"/>
          <w:kern w:val="0"/>
          <w:sz w:val="32"/>
          <w:szCs w:val="32"/>
        </w:rPr>
        <w:t>%。决算数小于预算数的主要原因是加强公务接待管理。与比上年相比增加0.43万元，增长100%,增加的主要原因是2021年有来校交流的人员。</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3、</w:t>
      </w:r>
      <w:r>
        <w:rPr>
          <w:rFonts w:hint="eastAsia" w:ascii="仿宋" w:hAnsi="仿宋" w:eastAsia="仿宋" w:cs="仿宋"/>
          <w:color w:val="auto"/>
          <w:kern w:val="0"/>
          <w:sz w:val="32"/>
          <w:szCs w:val="32"/>
        </w:rPr>
        <w:t>公务用车购置费及运行维护费支出预算为2.84万元，支出决算数为2.35万元,完成预算的82.75%，决算数小于年初预算数的主要原因是厉行节约。与上年相比减少0.7万元,减少了22.95%,减少的主要原因是加强了公车管理。</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（二）“三公”经费财政拨款支出决算具体情况说明</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2021年度“三公”经费财政拨款支出决算中，公务接待费支出决算0.43万元，占1</w:t>
      </w:r>
      <w:r>
        <w:rPr>
          <w:rFonts w:hint="eastAsia" w:ascii="仿宋" w:hAnsi="仿宋" w:eastAsia="仿宋" w:cs="仿宋"/>
          <w:color w:val="auto"/>
          <w:kern w:val="0"/>
          <w:sz w:val="32"/>
          <w:szCs w:val="32"/>
          <w:lang w:val="en-US" w:eastAsia="zh-CN"/>
        </w:rPr>
        <w:t>5.47</w:t>
      </w:r>
      <w:r>
        <w:rPr>
          <w:rFonts w:hint="eastAsia" w:ascii="仿宋" w:hAnsi="仿宋" w:eastAsia="仿宋" w:cs="仿宋"/>
          <w:color w:val="auto"/>
          <w:kern w:val="0"/>
          <w:sz w:val="32"/>
          <w:szCs w:val="32"/>
        </w:rPr>
        <w:t>%；因公出国（境）费支出决算0万元，占0%；</w:t>
      </w:r>
      <w:r>
        <w:rPr>
          <w:rFonts w:hint="eastAsia" w:ascii="仿宋" w:hAnsi="仿宋" w:eastAsia="仿宋" w:cs="仿宋"/>
          <w:color w:val="auto"/>
          <w:sz w:val="32"/>
          <w:szCs w:val="32"/>
        </w:rPr>
        <w:t>公务用车购置费及运行维护费支出决算</w:t>
      </w:r>
      <w:r>
        <w:rPr>
          <w:rFonts w:hint="eastAsia" w:ascii="仿宋" w:hAnsi="仿宋" w:eastAsia="仿宋" w:cs="仿宋"/>
          <w:color w:val="auto"/>
          <w:sz w:val="32"/>
          <w:szCs w:val="32"/>
          <w:lang w:val="en-US" w:eastAsia="zh-CN"/>
        </w:rPr>
        <w:t>2.35</w:t>
      </w:r>
      <w:r>
        <w:rPr>
          <w:rFonts w:hint="eastAsia" w:ascii="仿宋" w:hAnsi="仿宋" w:eastAsia="仿宋" w:cs="仿宋"/>
          <w:color w:val="auto"/>
          <w:sz w:val="32"/>
          <w:szCs w:val="32"/>
        </w:rPr>
        <w:t>万元，占</w:t>
      </w:r>
      <w:r>
        <w:rPr>
          <w:rFonts w:hint="eastAsia" w:ascii="仿宋" w:hAnsi="仿宋" w:eastAsia="仿宋" w:cs="仿宋"/>
          <w:color w:val="auto"/>
          <w:sz w:val="32"/>
          <w:szCs w:val="32"/>
          <w:lang w:val="en-US" w:eastAsia="zh-CN"/>
        </w:rPr>
        <w:t>84.53</w:t>
      </w:r>
      <w:r>
        <w:rPr>
          <w:rFonts w:hint="eastAsia" w:ascii="仿宋" w:hAnsi="仿宋" w:eastAsia="仿宋" w:cs="仿宋"/>
          <w:color w:val="auto"/>
          <w:sz w:val="32"/>
          <w:szCs w:val="32"/>
        </w:rPr>
        <w:t>%。</w:t>
      </w:r>
      <w:r>
        <w:rPr>
          <w:rFonts w:hint="eastAsia" w:ascii="仿宋" w:hAnsi="仿宋" w:eastAsia="仿宋" w:cs="仿宋"/>
          <w:color w:val="auto"/>
          <w:kern w:val="0"/>
          <w:sz w:val="32"/>
          <w:szCs w:val="32"/>
        </w:rPr>
        <w:t>其中：</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1、因公出国（境）费支出决算为0万元，全年安排因公出国（境）团组0个，累计0人次,无开支。</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2、公务接待费支出决算为0.43万元，全年共接待来访团组3个、来宾38人次，主要是外地兄弟学校同仁学习交流发生的接待支出。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3、公务用车购置费及运行维护费支出决算为2.35万元，其中：公务用车购置费0万元，单位本级更新公务用车0辆。公务用车运行维护费2.35万元，主要是车辆油料费、车辆维修费、车辆保险费及其他支出，截至2021年12月31日，我单位开支财政拨款的公务用车保有量为1辆。</w:t>
      </w:r>
    </w:p>
    <w:p>
      <w:pPr>
        <w:keepNext w:val="0"/>
        <w:keepLines w:val="0"/>
        <w:pageBreakBefore w:val="0"/>
        <w:widowControl/>
        <w:shd w:val="clear" w:color="auto" w:fill="FFFFFF"/>
        <w:kinsoku/>
        <w:wordWrap/>
        <w:overflowPunct/>
        <w:topLinePunct w:val="0"/>
        <w:bidi w:val="0"/>
        <w:snapToGrid/>
        <w:spacing w:line="600" w:lineRule="exact"/>
        <w:ind w:firstLine="640" w:firstLineChars="200"/>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八、政府性基金预算收入支出决算情况</w:t>
      </w:r>
    </w:p>
    <w:p>
      <w:pPr>
        <w:pStyle w:val="1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2021年度政府性基金预算财政拨款收入20万元；年初结转和结余</w:t>
      </w:r>
      <w:r>
        <w:rPr>
          <w:rFonts w:hint="eastAsia" w:ascii="仿宋" w:hAnsi="仿宋" w:eastAsia="仿宋" w:cs="仿宋"/>
          <w:color w:val="auto"/>
          <w:sz w:val="32"/>
          <w:szCs w:val="32"/>
          <w:lang w:val="en-US" w:eastAsia="zh-CN"/>
        </w:rPr>
        <w:t>0</w:t>
      </w:r>
      <w:r>
        <w:rPr>
          <w:rFonts w:hint="eastAsia" w:ascii="仿宋" w:hAnsi="仿宋" w:eastAsia="仿宋" w:cs="仿宋"/>
          <w:color w:val="auto"/>
          <w:sz w:val="32"/>
          <w:szCs w:val="32"/>
        </w:rPr>
        <w:t>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支出20万元，其中基本支出0万元，项目支出20万元；年末结转和结余0万元。具体情况如下：</w:t>
      </w:r>
    </w:p>
    <w:p>
      <w:pPr>
        <w:pStyle w:val="1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1、城乡社区支出（类）国有土地使用权出让收入安排的支出（款）城市建设支出（项）。</w:t>
      </w:r>
    </w:p>
    <w:p>
      <w:pPr>
        <w:pStyle w:val="16"/>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年初预算为0万元，支出决算为20万元，决算数大于年初预算数的主要原因是：年中增加了双拥模范城市建设经费。</w:t>
      </w:r>
    </w:p>
    <w:p>
      <w:pPr>
        <w:widowControl/>
        <w:shd w:val="clear" w:color="auto" w:fill="FFFFFF"/>
        <w:spacing w:line="510" w:lineRule="atLeast"/>
        <w:ind w:firstLine="48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九、国有资本经营预算</w:t>
      </w:r>
      <w:r>
        <w:rPr>
          <w:rFonts w:hint="eastAsia" w:ascii="黑体" w:hAnsi="黑体" w:eastAsia="黑体" w:cs="黑体"/>
          <w:color w:val="auto"/>
          <w:kern w:val="0"/>
          <w:sz w:val="32"/>
          <w:szCs w:val="32"/>
          <w:lang w:val="en-US" w:eastAsia="zh-CN"/>
        </w:rPr>
        <w:t>财政拨款</w:t>
      </w:r>
      <w:r>
        <w:rPr>
          <w:rFonts w:hint="eastAsia" w:ascii="黑体" w:hAnsi="黑体" w:eastAsia="黑体" w:cs="黑体"/>
          <w:color w:val="auto"/>
          <w:kern w:val="0"/>
          <w:sz w:val="32"/>
          <w:szCs w:val="32"/>
        </w:rPr>
        <w:t>支出决算情况</w:t>
      </w:r>
    </w:p>
    <w:p>
      <w:pPr>
        <w:widowControl/>
        <w:shd w:val="clear" w:color="auto" w:fill="FFFFFF"/>
        <w:spacing w:line="510" w:lineRule="atLeast"/>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2021年度，本单位无国有资本经营</w:t>
      </w:r>
      <w:r>
        <w:rPr>
          <w:rFonts w:hint="eastAsia" w:ascii="仿宋" w:hAnsi="仿宋" w:eastAsia="仿宋" w:cs="仿宋"/>
          <w:color w:val="auto"/>
          <w:kern w:val="0"/>
          <w:sz w:val="32"/>
          <w:szCs w:val="32"/>
          <w:lang w:val="en-US" w:eastAsia="zh-CN"/>
        </w:rPr>
        <w:t>预算财政拨款</w:t>
      </w:r>
      <w:r>
        <w:rPr>
          <w:rFonts w:hint="eastAsia" w:ascii="仿宋" w:hAnsi="仿宋" w:eastAsia="仿宋" w:cs="仿宋"/>
          <w:color w:val="auto"/>
          <w:kern w:val="0"/>
          <w:sz w:val="32"/>
          <w:szCs w:val="32"/>
        </w:rPr>
        <w:t>支出。</w:t>
      </w:r>
    </w:p>
    <w:p>
      <w:pPr>
        <w:widowControl/>
        <w:shd w:val="clear" w:color="auto" w:fill="FFFFFF"/>
        <w:spacing w:line="510" w:lineRule="atLeast"/>
        <w:ind w:firstLine="48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十、关于机关运行经费支出情况</w:t>
      </w:r>
    </w:p>
    <w:p>
      <w:pPr>
        <w:widowControl/>
        <w:shd w:val="clear" w:color="auto" w:fill="FFFFFF"/>
        <w:spacing w:line="510" w:lineRule="atLeast"/>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怀化市湖天中学</w:t>
      </w:r>
      <w:r>
        <w:rPr>
          <w:rFonts w:hint="eastAsia" w:ascii="仿宋" w:hAnsi="仿宋" w:eastAsia="仿宋" w:cs="仿宋"/>
          <w:b w:val="0"/>
          <w:bCs w:val="0"/>
          <w:color w:val="auto"/>
          <w:kern w:val="0"/>
          <w:sz w:val="32"/>
          <w:szCs w:val="32"/>
          <w:highlight w:val="none"/>
          <w:lang w:val="en-US" w:eastAsia="zh-CN"/>
        </w:rPr>
        <w:t>属非参公事业单位</w:t>
      </w:r>
      <w:r>
        <w:rPr>
          <w:rFonts w:hint="eastAsia" w:ascii="仿宋" w:hAnsi="仿宋" w:eastAsia="仿宋" w:cs="仿宋"/>
          <w:color w:val="auto"/>
          <w:kern w:val="0"/>
          <w:sz w:val="32"/>
          <w:szCs w:val="32"/>
        </w:rPr>
        <w:t>，无机关运行经费。</w:t>
      </w:r>
    </w:p>
    <w:p>
      <w:pPr>
        <w:widowControl/>
        <w:shd w:val="clear" w:color="auto" w:fill="FFFFFF"/>
        <w:spacing w:line="510" w:lineRule="atLeast"/>
        <w:ind w:firstLine="48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十一、一般性支出情况</w:t>
      </w:r>
    </w:p>
    <w:p>
      <w:pPr>
        <w:widowControl/>
        <w:shd w:val="clear" w:color="auto" w:fill="FFFFFF"/>
        <w:spacing w:line="510" w:lineRule="atLeast"/>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2021年本部门无会议费开支</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开支培训费15.90万元，用于开展积极心理学培训，人数为学生和教师共3</w:t>
      </w:r>
      <w:r>
        <w:rPr>
          <w:rFonts w:hint="eastAsia" w:ascii="仿宋" w:hAnsi="仿宋" w:eastAsia="仿宋" w:cs="仿宋"/>
          <w:color w:val="auto"/>
          <w:kern w:val="0"/>
          <w:sz w:val="32"/>
          <w:szCs w:val="32"/>
          <w:lang w:val="en-US" w:eastAsia="zh-CN"/>
        </w:rPr>
        <w:t>,</w:t>
      </w:r>
      <w:r>
        <w:rPr>
          <w:rFonts w:hint="eastAsia" w:ascii="仿宋" w:hAnsi="仿宋" w:eastAsia="仿宋" w:cs="仿宋"/>
          <w:color w:val="auto"/>
          <w:kern w:val="0"/>
          <w:sz w:val="32"/>
          <w:szCs w:val="32"/>
        </w:rPr>
        <w:t>100余人，内容为如何提高自身抗压能力，积极面对生活与学习的困难等</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用于教师各类学科培训，人数为225人，内容为新高考改革后的命题方向等，着力解决高中学科教学中的重难点和疑点问题。</w:t>
      </w:r>
    </w:p>
    <w:p>
      <w:pPr>
        <w:widowControl/>
        <w:shd w:val="clear" w:color="auto" w:fill="FFFFFF"/>
        <w:spacing w:line="510" w:lineRule="atLeast"/>
        <w:ind w:firstLine="48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十二、政府采购支出情况说明</w:t>
      </w:r>
    </w:p>
    <w:p>
      <w:pPr>
        <w:widowControl/>
        <w:shd w:val="clear" w:color="auto" w:fill="FFFFFF"/>
        <w:spacing w:line="510" w:lineRule="atLeast"/>
        <w:ind w:firstLine="480"/>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rPr>
        <w:t>本</w:t>
      </w:r>
      <w:r>
        <w:rPr>
          <w:rFonts w:hint="eastAsia" w:ascii="仿宋" w:hAnsi="仿宋" w:eastAsia="仿宋" w:cs="仿宋"/>
          <w:color w:val="auto"/>
          <w:kern w:val="0"/>
          <w:sz w:val="32"/>
          <w:szCs w:val="32"/>
          <w:lang w:val="en-US" w:eastAsia="zh-CN"/>
        </w:rPr>
        <w:t>部门</w:t>
      </w:r>
      <w:r>
        <w:rPr>
          <w:rFonts w:hint="eastAsia" w:ascii="仿宋" w:hAnsi="仿宋" w:eastAsia="仿宋" w:cs="仿宋"/>
          <w:color w:val="auto"/>
          <w:kern w:val="0"/>
          <w:sz w:val="32"/>
          <w:szCs w:val="32"/>
        </w:rPr>
        <w:t>202</w:t>
      </w:r>
      <w:r>
        <w:rPr>
          <w:rFonts w:hint="eastAsia" w:ascii="仿宋" w:hAnsi="仿宋" w:eastAsia="仿宋" w:cs="仿宋"/>
          <w:color w:val="auto"/>
          <w:kern w:val="0"/>
          <w:sz w:val="32"/>
          <w:szCs w:val="32"/>
          <w:lang w:val="en-US" w:eastAsia="zh-CN"/>
        </w:rPr>
        <w:t>1</w:t>
      </w:r>
      <w:r>
        <w:rPr>
          <w:rFonts w:hint="eastAsia" w:ascii="仿宋" w:hAnsi="仿宋" w:eastAsia="仿宋" w:cs="仿宋"/>
          <w:color w:val="auto"/>
          <w:kern w:val="0"/>
          <w:sz w:val="32"/>
          <w:szCs w:val="32"/>
        </w:rPr>
        <w:t>年度政府采购支出总额83.95万元，其中：政府采购货物支出50.35万元、政府采购工程支出0万元、政府采购服务支出33.6万元。</w:t>
      </w:r>
      <w:r>
        <w:rPr>
          <w:rFonts w:hint="eastAsia" w:ascii="仿宋" w:hAnsi="仿宋" w:eastAsia="仿宋" w:cs="仿宋"/>
          <w:color w:val="auto"/>
          <w:kern w:val="0"/>
          <w:sz w:val="32"/>
          <w:szCs w:val="32"/>
          <w:lang w:val="en-US" w:eastAsia="zh-CN"/>
        </w:rPr>
        <w:t>其中：</w:t>
      </w:r>
      <w:r>
        <w:rPr>
          <w:rFonts w:hint="eastAsia" w:ascii="仿宋" w:hAnsi="仿宋" w:eastAsia="仿宋" w:cs="仿宋"/>
          <w:color w:val="auto"/>
          <w:kern w:val="0"/>
          <w:sz w:val="32"/>
          <w:szCs w:val="32"/>
        </w:rPr>
        <w:t>授予中小企业合同总额83.95万元，占政府采购总额的100%</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其中：授予小微企业合同金额83.95万元，占政府采购支出总额的</w:t>
      </w:r>
      <w:r>
        <w:rPr>
          <w:rFonts w:hint="eastAsia" w:ascii="仿宋" w:hAnsi="仿宋" w:eastAsia="仿宋" w:cs="仿宋"/>
          <w:color w:val="auto"/>
          <w:kern w:val="0"/>
          <w:sz w:val="32"/>
          <w:szCs w:val="32"/>
          <w:lang w:val="en-US" w:eastAsia="zh-CN"/>
        </w:rPr>
        <w:t>100</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eastAsia="zh-CN"/>
        </w:rPr>
        <w:t>。</w:t>
      </w:r>
    </w:p>
    <w:p>
      <w:pPr>
        <w:widowControl/>
        <w:shd w:val="clear" w:color="auto" w:fill="FFFFFF"/>
        <w:spacing w:line="510" w:lineRule="atLeast"/>
        <w:ind w:firstLine="48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十三、关于国有资产占用情况说明</w:t>
      </w:r>
    </w:p>
    <w:p>
      <w:pPr>
        <w:widowControl/>
        <w:shd w:val="clear" w:color="auto" w:fill="FFFFFF"/>
        <w:spacing w:line="510" w:lineRule="atLeast"/>
        <w:ind w:firstLine="480"/>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截至2021年12月31日，本单位共有车辆2辆，其中领导干部用车1辆、机要通信用车0辆、应急保障用车0辆、执法执勤用车0辆、特种专业技术用车0辆、其他用车1辆，其他用车1辆是已移交给公车改革办公室但资产还未移交的车辆;单位价值50万元以上通用设备1套，单价100万元以上专用设备1台套。</w:t>
      </w:r>
    </w:p>
    <w:p>
      <w:pPr>
        <w:widowControl/>
        <w:shd w:val="clear" w:color="auto" w:fill="FFFFFF"/>
        <w:spacing w:line="510" w:lineRule="atLeast"/>
        <w:ind w:firstLine="480"/>
        <w:rPr>
          <w:rFonts w:hint="eastAsia" w:ascii="黑体" w:hAnsi="黑体" w:eastAsia="黑体" w:cs="黑体"/>
          <w:color w:val="auto"/>
          <w:kern w:val="0"/>
          <w:sz w:val="32"/>
          <w:szCs w:val="32"/>
        </w:rPr>
      </w:pPr>
      <w:r>
        <w:rPr>
          <w:rFonts w:hint="eastAsia" w:ascii="黑体" w:hAnsi="黑体" w:eastAsia="黑体" w:cs="黑体"/>
          <w:color w:val="auto"/>
          <w:kern w:val="0"/>
          <w:sz w:val="32"/>
          <w:szCs w:val="32"/>
        </w:rPr>
        <w:t>十四、关于2021年度预算绩效情况的说明</w:t>
      </w:r>
    </w:p>
    <w:p>
      <w:pPr>
        <w:widowControl/>
        <w:spacing w:line="60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预算绩效管理工作开展情况。根据预算绩效管理要求，本部门积极发挥单位职能作用，合理调配人力,科学制定方案。包括评价内容、评价方法、评价依据、时间安排、工作步骤、工作要求等方面。再按照专项资金支出绩效评价指标进行逐项对照打分，最后真实客观的完成绩效评价报告。按时、保质、保量完成本次绩效评价工作。根据预算绩效管理要求，我部门组织对2021年度一般公共预算项目支出全面开展绩效自评，共涉及资金</w:t>
      </w:r>
      <w:r>
        <w:rPr>
          <w:rFonts w:hint="eastAsia" w:ascii="仿宋" w:hAnsi="仿宋" w:eastAsia="仿宋" w:cs="仿宋"/>
          <w:color w:val="auto"/>
          <w:kern w:val="0"/>
          <w:sz w:val="32"/>
          <w:szCs w:val="32"/>
          <w:lang w:val="en-US" w:eastAsia="zh-CN"/>
        </w:rPr>
        <w:t>209.73</w:t>
      </w:r>
      <w:r>
        <w:rPr>
          <w:rFonts w:hint="eastAsia" w:ascii="仿宋" w:hAnsi="仿宋" w:eastAsia="仿宋" w:cs="仿宋"/>
          <w:color w:val="auto"/>
          <w:kern w:val="0"/>
          <w:sz w:val="32"/>
          <w:szCs w:val="32"/>
        </w:rPr>
        <w:t>万元。</w:t>
      </w:r>
      <w:r>
        <w:rPr>
          <w:rFonts w:hint="eastAsia" w:ascii="仿宋" w:hAnsi="仿宋" w:eastAsia="仿宋" w:cs="仿宋"/>
          <w:color w:val="auto"/>
          <w:kern w:val="0"/>
          <w:sz w:val="32"/>
          <w:szCs w:val="32"/>
          <w:lang w:val="en-US" w:eastAsia="zh-CN"/>
        </w:rPr>
        <w:t>特别对重点项目</w:t>
      </w:r>
      <w:r>
        <w:rPr>
          <w:rFonts w:hint="eastAsia" w:ascii="仿宋" w:hAnsi="仿宋" w:eastAsia="仿宋" w:cs="仿宋"/>
          <w:color w:val="auto"/>
          <w:kern w:val="0"/>
          <w:sz w:val="32"/>
          <w:szCs w:val="32"/>
        </w:rPr>
        <w:t>校园围墙改造，包括拆除原有不锈钢护栏，加高围墙立柱，新装锌钢护栏，围墙砖面贴文化石等，</w:t>
      </w:r>
      <w:r>
        <w:rPr>
          <w:rFonts w:hint="eastAsia" w:ascii="仿宋" w:hAnsi="仿宋" w:eastAsia="仿宋" w:cs="仿宋"/>
          <w:color w:val="auto"/>
          <w:kern w:val="0"/>
          <w:sz w:val="32"/>
          <w:szCs w:val="32"/>
          <w:lang w:val="en-US" w:eastAsia="zh-CN"/>
        </w:rPr>
        <w:t>因</w:t>
      </w:r>
      <w:r>
        <w:rPr>
          <w:rFonts w:hint="eastAsia" w:ascii="仿宋" w:hAnsi="仿宋" w:eastAsia="仿宋" w:cs="仿宋"/>
          <w:color w:val="auto"/>
          <w:kern w:val="0"/>
          <w:sz w:val="32"/>
          <w:szCs w:val="32"/>
        </w:rPr>
        <w:t>我校于2012年建成投入使用。设计围墙均为通透式围墙，原有通透式护栏为不锈钢材质，且容易损坏，高度只有1.4m左右，既不符合相关标准和要求，又不利于学校管理，我校又是全寄宿制学校，学生安全是第一位的，基于此，学校决定更换围墙，新围墙护栏为锌钢材质，护栏高度达2.1米，既牢固，又不易攀爬，为学校管理工作和学生安全提供了有力的保障。通过本次围墙改造，我校校貌焕然一新，为师生的工作和学习创造了良好的环境，为学校财产安全和师生财产安全提供了更有利的保障，同时也符合了相关建设标准要求。</w:t>
      </w:r>
    </w:p>
    <w:p>
      <w:pPr>
        <w:widowControl/>
        <w:spacing w:line="60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教室门更换改造项目为教学楼150扇教室门、40扇厕所门更换，我校于2012年建成投入使用。教学楼教室门和厕所门均为普通防盗门，由于使用频率高，使用时间长，教室门和厕所门均已老化生锈损坏，大部分门都已经无法上锁，对我校教室公共财产造成了巨大的威胁；同时我校还是国考考点，每年有高考等国家级考试在我校举行，国考要求考试期间晚上必须上锁，而我校教室门大部分已损坏，不符合考场建设要求。根据以上情况，我校党委会研究决定，对教学楼150扇教室门、40扇厕所门更换。通过本次教室门、厕所门改造，我校教学楼焕然一新，为师生的工作和学习创造了良好的环境，为学校财产安全和师生财产安全提供了更有利的保障，同时也符合了国考考场建设标准要求</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从评价效果看</w:t>
      </w:r>
      <w:r>
        <w:rPr>
          <w:rFonts w:hint="eastAsia" w:ascii="仿宋" w:hAnsi="仿宋" w:eastAsia="仿宋" w:cs="仿宋"/>
          <w:color w:val="auto"/>
          <w:kern w:val="0"/>
          <w:sz w:val="32"/>
          <w:szCs w:val="32"/>
        </w:rPr>
        <w:t>来看，项目资金管理规范，组织施工到位，产生了很好的经济和社会效益，社会满意度高。</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组织对怀化市湖天中学开展整体支出绩效评价，涉及支出</w:t>
      </w:r>
      <w:r>
        <w:rPr>
          <w:rFonts w:hint="eastAsia" w:ascii="仿宋" w:hAnsi="仿宋" w:eastAsia="仿宋" w:cs="仿宋"/>
          <w:color w:val="auto"/>
          <w:kern w:val="0"/>
          <w:sz w:val="32"/>
          <w:szCs w:val="32"/>
          <w:lang w:val="en-US" w:eastAsia="zh-CN"/>
        </w:rPr>
        <w:t>5,053.90</w:t>
      </w:r>
      <w:r>
        <w:rPr>
          <w:rFonts w:hint="eastAsia" w:ascii="仿宋" w:hAnsi="仿宋" w:eastAsia="仿宋" w:cs="仿宋"/>
          <w:color w:val="auto"/>
          <w:kern w:val="0"/>
          <w:sz w:val="32"/>
          <w:szCs w:val="32"/>
        </w:rPr>
        <w:t>万元。从评价情况来看，全年很好完成了年初制定的各项教育教学计划，高考学考均取得不错成绩。</w:t>
      </w:r>
    </w:p>
    <w:p>
      <w:pPr>
        <w:widowControl/>
        <w:spacing w:line="60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（二）部门决算绩效自评结果</w:t>
      </w:r>
    </w:p>
    <w:p>
      <w:pPr>
        <w:widowControl/>
        <w:spacing w:line="600" w:lineRule="exact"/>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本部门2021年度整体支出绩效评价报告及专项支出评价报告均已挂网公开。</w:t>
      </w:r>
    </w:p>
    <w:p>
      <w:pPr>
        <w:widowControl/>
        <w:spacing w:line="600" w:lineRule="exact"/>
        <w:ind w:firstLine="640" w:firstLineChars="200"/>
        <w:jc w:val="left"/>
        <w:rPr>
          <w:rFonts w:hint="eastAsia" w:ascii="仿宋" w:hAnsi="仿宋" w:eastAsia="仿宋" w:cs="仿宋"/>
          <w:color w:val="auto"/>
          <w:kern w:val="0"/>
          <w:sz w:val="32"/>
          <w:szCs w:val="32"/>
          <w:lang w:eastAsia="zh-CN"/>
        </w:rPr>
      </w:pPr>
      <w:r>
        <w:rPr>
          <w:rFonts w:hint="eastAsia" w:ascii="仿宋" w:hAnsi="仿宋" w:eastAsia="仿宋" w:cs="仿宋"/>
          <w:color w:val="auto"/>
          <w:kern w:val="0"/>
          <w:sz w:val="32"/>
          <w:szCs w:val="32"/>
        </w:rPr>
        <w:t>2021年度部门整体支出、专项支出绩效评价报告见附件</w:t>
      </w:r>
      <w:r>
        <w:rPr>
          <w:rFonts w:hint="eastAsia" w:ascii="仿宋" w:hAnsi="仿宋" w:eastAsia="仿宋" w:cs="仿宋"/>
          <w:color w:val="auto"/>
          <w:kern w:val="0"/>
          <w:sz w:val="32"/>
          <w:szCs w:val="32"/>
          <w:lang w:eastAsia="zh-CN"/>
        </w:rPr>
        <w:t>。</w:t>
      </w:r>
      <w:bookmarkStart w:id="0" w:name="_GoBack"/>
      <w:bookmarkEnd w:id="0"/>
    </w:p>
    <w:p>
      <w:pPr>
        <w:autoSpaceDE w:val="0"/>
        <w:autoSpaceDN w:val="0"/>
        <w:adjustRightInd w:val="0"/>
        <w:ind w:firstLine="640" w:firstLineChars="200"/>
        <w:jc w:val="left"/>
        <w:rPr>
          <w:rFonts w:hint="eastAsia" w:ascii="仿宋" w:hAnsi="仿宋" w:eastAsia="仿宋" w:cs="仿宋"/>
          <w:color w:val="auto"/>
          <w:kern w:val="0"/>
          <w:sz w:val="32"/>
          <w:szCs w:val="32"/>
        </w:rPr>
      </w:pPr>
    </w:p>
    <w:p>
      <w:pPr>
        <w:autoSpaceDE w:val="0"/>
        <w:autoSpaceDN w:val="0"/>
        <w:adjustRightInd w:val="0"/>
        <w:ind w:firstLine="640" w:firstLineChars="200"/>
        <w:jc w:val="left"/>
        <w:rPr>
          <w:rFonts w:hint="eastAsia" w:ascii="仿宋" w:hAnsi="仿宋" w:eastAsia="仿宋" w:cs="仿宋"/>
          <w:color w:val="auto"/>
          <w:kern w:val="0"/>
          <w:sz w:val="32"/>
          <w:szCs w:val="32"/>
        </w:rPr>
      </w:pPr>
    </w:p>
    <w:p>
      <w:pPr>
        <w:widowControl/>
        <w:shd w:val="clear" w:color="auto" w:fill="FFFFFF"/>
        <w:spacing w:line="510" w:lineRule="atLeast"/>
        <w:ind w:firstLine="480"/>
        <w:jc w:val="center"/>
        <w:rPr>
          <w:rFonts w:hint="eastAsia" w:ascii="黑体" w:hAnsi="黑体" w:eastAsia="黑体" w:cs="黑体"/>
          <w:color w:val="auto"/>
          <w:kern w:val="0"/>
          <w:sz w:val="44"/>
          <w:szCs w:val="44"/>
        </w:rPr>
      </w:pPr>
    </w:p>
    <w:p>
      <w:pPr>
        <w:widowControl/>
        <w:shd w:val="clear" w:color="auto" w:fill="FFFFFF"/>
        <w:spacing w:line="510" w:lineRule="atLeast"/>
        <w:ind w:firstLine="480"/>
        <w:jc w:val="center"/>
        <w:rPr>
          <w:rFonts w:hint="eastAsia" w:ascii="黑体" w:hAnsi="黑体" w:eastAsia="黑体" w:cs="黑体"/>
          <w:color w:val="auto"/>
          <w:kern w:val="0"/>
          <w:sz w:val="44"/>
          <w:szCs w:val="44"/>
        </w:rPr>
      </w:pPr>
      <w:r>
        <w:rPr>
          <w:rFonts w:hint="eastAsia" w:ascii="黑体" w:hAnsi="黑体" w:eastAsia="黑体" w:cs="黑体"/>
          <w:color w:val="auto"/>
          <w:kern w:val="0"/>
          <w:sz w:val="44"/>
          <w:szCs w:val="44"/>
        </w:rPr>
        <w:t>第四部分 名词解释</w:t>
      </w:r>
    </w:p>
    <w:p>
      <w:pPr>
        <w:widowControl/>
        <w:shd w:val="clear" w:color="auto" w:fill="FFFFFF"/>
        <w:spacing w:line="510" w:lineRule="atLeast"/>
        <w:ind w:firstLine="480"/>
        <w:jc w:val="center"/>
        <w:rPr>
          <w:rFonts w:hint="eastAsia" w:ascii="黑体" w:hAnsi="黑体" w:eastAsia="黑体" w:cs="黑体"/>
          <w:color w:val="auto"/>
          <w:kern w:val="0"/>
          <w:sz w:val="44"/>
          <w:szCs w:val="44"/>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1.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2.“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widowControl/>
        <w:shd w:val="clear" w:color="auto" w:fill="FFFFFF"/>
        <w:spacing w:line="510" w:lineRule="atLeast"/>
        <w:ind w:firstLine="480"/>
        <w:jc w:val="center"/>
        <w:rPr>
          <w:rFonts w:hint="eastAsia" w:ascii="黑体" w:hAnsi="黑体" w:eastAsia="黑体" w:cs="黑体"/>
          <w:color w:val="auto"/>
          <w:kern w:val="0"/>
          <w:sz w:val="44"/>
          <w:szCs w:val="44"/>
        </w:rPr>
      </w:pPr>
      <w:r>
        <w:rPr>
          <w:rFonts w:hint="eastAsia" w:ascii="黑体" w:hAnsi="黑体" w:eastAsia="黑体" w:cs="黑体"/>
          <w:color w:val="auto"/>
          <w:kern w:val="0"/>
          <w:sz w:val="44"/>
          <w:szCs w:val="44"/>
        </w:rPr>
        <w:t>第五部分 附件</w:t>
      </w:r>
    </w:p>
    <w:p>
      <w:pPr>
        <w:widowControl/>
        <w:shd w:val="clear" w:color="auto" w:fill="FFFFFF"/>
        <w:spacing w:line="510" w:lineRule="atLeast"/>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6B5E16"/>
    <w:multiLevelType w:val="singleLevel"/>
    <w:tmpl w:val="376B5E16"/>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k4MjM4OGRjMjA1YmIwNDg3YWY0MmMwNWU4YTAwYjIifQ=="/>
  </w:docVars>
  <w:rsids>
    <w:rsidRoot w:val="00262CBD"/>
    <w:rsid w:val="000423C8"/>
    <w:rsid w:val="000524F8"/>
    <w:rsid w:val="00077419"/>
    <w:rsid w:val="0008156C"/>
    <w:rsid w:val="000A28B4"/>
    <w:rsid w:val="000A527C"/>
    <w:rsid w:val="000F2B11"/>
    <w:rsid w:val="00130403"/>
    <w:rsid w:val="0013086B"/>
    <w:rsid w:val="0015490D"/>
    <w:rsid w:val="00183DB3"/>
    <w:rsid w:val="00192AE1"/>
    <w:rsid w:val="001C2976"/>
    <w:rsid w:val="001C54AE"/>
    <w:rsid w:val="001C7B57"/>
    <w:rsid w:val="001D267A"/>
    <w:rsid w:val="001D54D7"/>
    <w:rsid w:val="002229EF"/>
    <w:rsid w:val="0023668B"/>
    <w:rsid w:val="002559D8"/>
    <w:rsid w:val="00262CBD"/>
    <w:rsid w:val="00264549"/>
    <w:rsid w:val="00264C65"/>
    <w:rsid w:val="00275ADD"/>
    <w:rsid w:val="00283C1F"/>
    <w:rsid w:val="002942B8"/>
    <w:rsid w:val="002A4444"/>
    <w:rsid w:val="002B7034"/>
    <w:rsid w:val="002C2E13"/>
    <w:rsid w:val="002C30DB"/>
    <w:rsid w:val="002C316B"/>
    <w:rsid w:val="002E17E5"/>
    <w:rsid w:val="002E4548"/>
    <w:rsid w:val="003003B1"/>
    <w:rsid w:val="00321A3F"/>
    <w:rsid w:val="003376EB"/>
    <w:rsid w:val="00345568"/>
    <w:rsid w:val="00370824"/>
    <w:rsid w:val="00380704"/>
    <w:rsid w:val="003A10FC"/>
    <w:rsid w:val="003B6A61"/>
    <w:rsid w:val="003D2B7A"/>
    <w:rsid w:val="00425728"/>
    <w:rsid w:val="00441751"/>
    <w:rsid w:val="004417E0"/>
    <w:rsid w:val="004803E7"/>
    <w:rsid w:val="00481C4F"/>
    <w:rsid w:val="004B65E8"/>
    <w:rsid w:val="004D5D05"/>
    <w:rsid w:val="00507F99"/>
    <w:rsid w:val="00536674"/>
    <w:rsid w:val="005611F7"/>
    <w:rsid w:val="00580DBD"/>
    <w:rsid w:val="005B0C81"/>
    <w:rsid w:val="005B4033"/>
    <w:rsid w:val="005B5A94"/>
    <w:rsid w:val="005C3551"/>
    <w:rsid w:val="005D48F3"/>
    <w:rsid w:val="005E1F2E"/>
    <w:rsid w:val="005E3A48"/>
    <w:rsid w:val="0060588A"/>
    <w:rsid w:val="006165E4"/>
    <w:rsid w:val="006225B3"/>
    <w:rsid w:val="00623A01"/>
    <w:rsid w:val="006515D1"/>
    <w:rsid w:val="00680DF2"/>
    <w:rsid w:val="006A2315"/>
    <w:rsid w:val="006F6576"/>
    <w:rsid w:val="00700B8F"/>
    <w:rsid w:val="007153EE"/>
    <w:rsid w:val="00725E3D"/>
    <w:rsid w:val="0073104B"/>
    <w:rsid w:val="00747614"/>
    <w:rsid w:val="007F621C"/>
    <w:rsid w:val="0083433A"/>
    <w:rsid w:val="008513C7"/>
    <w:rsid w:val="008515D5"/>
    <w:rsid w:val="00891F70"/>
    <w:rsid w:val="00894A6F"/>
    <w:rsid w:val="008D37C8"/>
    <w:rsid w:val="00920551"/>
    <w:rsid w:val="009447D9"/>
    <w:rsid w:val="009543F9"/>
    <w:rsid w:val="00984804"/>
    <w:rsid w:val="00984834"/>
    <w:rsid w:val="0099153A"/>
    <w:rsid w:val="009967B0"/>
    <w:rsid w:val="009B6AC4"/>
    <w:rsid w:val="009C2E70"/>
    <w:rsid w:val="00A11F77"/>
    <w:rsid w:val="00A211B7"/>
    <w:rsid w:val="00A50712"/>
    <w:rsid w:val="00A63D85"/>
    <w:rsid w:val="00A85592"/>
    <w:rsid w:val="00A94C65"/>
    <w:rsid w:val="00AA352F"/>
    <w:rsid w:val="00AD4046"/>
    <w:rsid w:val="00AE3BDF"/>
    <w:rsid w:val="00AE7AF4"/>
    <w:rsid w:val="00AF2BE6"/>
    <w:rsid w:val="00AF6343"/>
    <w:rsid w:val="00B32933"/>
    <w:rsid w:val="00B40582"/>
    <w:rsid w:val="00B56B48"/>
    <w:rsid w:val="00B6259E"/>
    <w:rsid w:val="00B735B9"/>
    <w:rsid w:val="00B93B83"/>
    <w:rsid w:val="00BA4086"/>
    <w:rsid w:val="00C554E5"/>
    <w:rsid w:val="00C703B6"/>
    <w:rsid w:val="00C77DD3"/>
    <w:rsid w:val="00C82B28"/>
    <w:rsid w:val="00C94E34"/>
    <w:rsid w:val="00CB103C"/>
    <w:rsid w:val="00CD5154"/>
    <w:rsid w:val="00D05062"/>
    <w:rsid w:val="00D05399"/>
    <w:rsid w:val="00D056A8"/>
    <w:rsid w:val="00D06610"/>
    <w:rsid w:val="00D26DAA"/>
    <w:rsid w:val="00D470A8"/>
    <w:rsid w:val="00D75DC2"/>
    <w:rsid w:val="00D8072D"/>
    <w:rsid w:val="00D92A65"/>
    <w:rsid w:val="00D945D3"/>
    <w:rsid w:val="00DB1E84"/>
    <w:rsid w:val="00DC2C9E"/>
    <w:rsid w:val="00DE3C99"/>
    <w:rsid w:val="00DF7B19"/>
    <w:rsid w:val="00E26A7E"/>
    <w:rsid w:val="00E30E2C"/>
    <w:rsid w:val="00E33659"/>
    <w:rsid w:val="00E40D90"/>
    <w:rsid w:val="00E4165D"/>
    <w:rsid w:val="00E52EA6"/>
    <w:rsid w:val="00E64FAC"/>
    <w:rsid w:val="00E7462E"/>
    <w:rsid w:val="00EA19D5"/>
    <w:rsid w:val="00EB0E4F"/>
    <w:rsid w:val="00EB3B3D"/>
    <w:rsid w:val="00EC0A89"/>
    <w:rsid w:val="00EC115C"/>
    <w:rsid w:val="00EC2E38"/>
    <w:rsid w:val="00EC3567"/>
    <w:rsid w:val="00EE2969"/>
    <w:rsid w:val="00EE6806"/>
    <w:rsid w:val="00F036F2"/>
    <w:rsid w:val="00F22A59"/>
    <w:rsid w:val="00F255CC"/>
    <w:rsid w:val="00F27A77"/>
    <w:rsid w:val="00F46842"/>
    <w:rsid w:val="00F604CF"/>
    <w:rsid w:val="00F83F80"/>
    <w:rsid w:val="00F84BB3"/>
    <w:rsid w:val="00F87B0E"/>
    <w:rsid w:val="00F942DE"/>
    <w:rsid w:val="00FF63A5"/>
    <w:rsid w:val="0ABA0F86"/>
    <w:rsid w:val="0EC03023"/>
    <w:rsid w:val="19AD2114"/>
    <w:rsid w:val="19B67C94"/>
    <w:rsid w:val="19FF4C71"/>
    <w:rsid w:val="2CD7712E"/>
    <w:rsid w:val="2F2C61E6"/>
    <w:rsid w:val="30CA03B0"/>
    <w:rsid w:val="35DD4DCD"/>
    <w:rsid w:val="36714F8F"/>
    <w:rsid w:val="446E63AB"/>
    <w:rsid w:val="573F0B96"/>
    <w:rsid w:val="67D151F1"/>
    <w:rsid w:val="69743646"/>
    <w:rsid w:val="6CDE2760"/>
    <w:rsid w:val="78437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5"/>
    <w:semiHidden/>
    <w:unhideWhenUsed/>
    <w:qFormat/>
    <w:uiPriority w:val="99"/>
    <w:pPr>
      <w:tabs>
        <w:tab w:val="center" w:pos="4153"/>
        <w:tab w:val="right" w:pos="8306"/>
      </w:tabs>
      <w:snapToGrid w:val="0"/>
      <w:jc w:val="left"/>
    </w:pPr>
    <w:rPr>
      <w:sz w:val="18"/>
      <w:szCs w:val="18"/>
    </w:rPr>
  </w:style>
  <w:style w:type="paragraph" w:styleId="4">
    <w:name w:val="header"/>
    <w:basedOn w:val="1"/>
    <w:link w:val="14"/>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semiHidden/>
    <w:unhideWhenUsed/>
    <w:qFormat/>
    <w:uiPriority w:val="99"/>
    <w:rPr>
      <w:color w:val="0000FF"/>
      <w:u w:val="single"/>
    </w:rPr>
  </w:style>
  <w:style w:type="paragraph" w:customStyle="1" w:styleId="9">
    <w:name w:val="标题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
    <w:name w:val="title-su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1">
    <w:name w:val="article-url"/>
    <w:basedOn w:val="7"/>
    <w:qFormat/>
    <w:uiPriority w:val="0"/>
  </w:style>
  <w:style w:type="character" w:customStyle="1" w:styleId="12">
    <w:name w:val="article-date"/>
    <w:basedOn w:val="7"/>
    <w:qFormat/>
    <w:uiPriority w:val="0"/>
  </w:style>
  <w:style w:type="character" w:customStyle="1" w:styleId="13">
    <w:name w:val="批注框文本 Char"/>
    <w:basedOn w:val="7"/>
    <w:link w:val="2"/>
    <w:semiHidden/>
    <w:qFormat/>
    <w:uiPriority w:val="99"/>
    <w:rPr>
      <w:sz w:val="18"/>
      <w:szCs w:val="18"/>
    </w:rPr>
  </w:style>
  <w:style w:type="character" w:customStyle="1" w:styleId="14">
    <w:name w:val="页眉 Char"/>
    <w:basedOn w:val="7"/>
    <w:link w:val="4"/>
    <w:semiHidden/>
    <w:qFormat/>
    <w:uiPriority w:val="99"/>
    <w:rPr>
      <w:sz w:val="18"/>
      <w:szCs w:val="18"/>
    </w:rPr>
  </w:style>
  <w:style w:type="character" w:customStyle="1" w:styleId="15">
    <w:name w:val="页脚 Char"/>
    <w:basedOn w:val="7"/>
    <w:link w:val="3"/>
    <w:semiHidden/>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5007</Words>
  <Characters>5518</Characters>
  <Lines>38</Lines>
  <Paragraphs>10</Paragraphs>
  <TotalTime>5</TotalTime>
  <ScaleCrop>false</ScaleCrop>
  <LinksUpToDate>false</LinksUpToDate>
  <CharactersWithSpaces>5525</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2021-06-02T08:03:00Z</dcterms:created>
  <dc:creator>Administrator</dc:creator>
  <cp:lastModifiedBy>非鱼</cp:lastModifiedBy>
  <dcterms:modified xsi:type="dcterms:W3CDTF">2023-10-04T14:42:34Z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6B2FD414B2DB4FACA90B3923C81DA345_13</vt:lpwstr>
  </property>
</Properties>
</file>