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color w:val="auto"/>
          <w:sz w:val="56"/>
          <w:szCs w:val="56"/>
        </w:rPr>
      </w:pP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 w:hAnsi="仿宋" w:eastAsia="仿宋" w:cs="仿宋"/>
          <w:b/>
          <w:bCs/>
          <w:color w:val="auto"/>
          <w:sz w:val="48"/>
          <w:szCs w:val="48"/>
        </w:rPr>
      </w:pPr>
      <w:r>
        <w:rPr>
          <w:rFonts w:hint="eastAsia" w:ascii="仿宋" w:hAnsi="仿宋" w:eastAsia="仿宋" w:cs="仿宋"/>
          <w:b/>
          <w:bCs/>
          <w:color w:val="auto"/>
          <w:sz w:val="48"/>
          <w:szCs w:val="48"/>
        </w:rPr>
        <w:t>2021年度</w:t>
      </w:r>
      <w:r>
        <w:rPr>
          <w:rFonts w:hint="eastAsia" w:ascii="仿宋" w:hAnsi="仿宋" w:eastAsia="仿宋" w:cs="仿宋"/>
          <w:b/>
          <w:bCs/>
          <w:color w:val="auto"/>
          <w:sz w:val="48"/>
          <w:szCs w:val="48"/>
          <w:lang w:val="en-US" w:eastAsia="zh-CN"/>
        </w:rPr>
        <w:t>怀化市宏宇小学</w:t>
      </w:r>
      <w:r>
        <w:rPr>
          <w:rFonts w:hint="eastAsia" w:ascii="仿宋" w:hAnsi="仿宋" w:eastAsia="仿宋" w:cs="仿宋"/>
          <w:b/>
          <w:bCs/>
          <w:color w:val="auto"/>
          <w:sz w:val="48"/>
          <w:szCs w:val="48"/>
        </w:rPr>
        <w:t>部门决算</w:t>
      </w: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 w:hAnsi="仿宋" w:eastAsia="仿宋" w:cs="仿宋"/>
          <w:b/>
          <w:bCs/>
          <w:color w:val="auto"/>
          <w:sz w:val="48"/>
          <w:szCs w:val="48"/>
        </w:rPr>
      </w:pPr>
    </w:p>
    <w:p>
      <w:pPr>
        <w:pStyle w:val="10"/>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b/>
          <w:color w:val="auto"/>
          <w:sz w:val="32"/>
          <w:szCs w:val="32"/>
        </w:rPr>
      </w:pPr>
      <w:r>
        <w:rPr>
          <w:rFonts w:hint="eastAsia"/>
          <w:b/>
          <w:color w:val="auto"/>
          <w:sz w:val="32"/>
          <w:szCs w:val="32"/>
        </w:rPr>
        <w:t>目录</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b/>
          <w:color w:val="auto"/>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仿宋_GB2312" w:hAnsi="仿宋_GB2312" w:cs="仿宋_GB2312"/>
          <w:b/>
          <w:color w:val="auto"/>
          <w:sz w:val="32"/>
          <w:szCs w:val="32"/>
        </w:rPr>
      </w:pPr>
      <w:r>
        <w:rPr>
          <w:rFonts w:hint="eastAsia"/>
          <w:b/>
          <w:color w:val="auto"/>
          <w:sz w:val="32"/>
          <w:szCs w:val="32"/>
        </w:rPr>
        <w:t>第一部分</w:t>
      </w:r>
      <w:r>
        <w:rPr>
          <w:rFonts w:hint="eastAsia"/>
          <w:b/>
          <w:color w:val="auto"/>
          <w:sz w:val="32"/>
          <w:szCs w:val="32"/>
          <w:lang w:val="en-US" w:eastAsia="zh-CN"/>
        </w:rPr>
        <w:t>怀化市宏宇小学</w:t>
      </w:r>
      <w:r>
        <w:rPr>
          <w:rFonts w:hint="eastAsia"/>
          <w:b/>
          <w:color w:val="auto"/>
          <w:sz w:val="32"/>
          <w:szCs w:val="32"/>
        </w:rPr>
        <w:t>概况</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r>
        <w:rPr>
          <w:rFonts w:hint="eastAsia"/>
          <w:b/>
          <w:color w:val="auto"/>
          <w:sz w:val="32"/>
          <w:szCs w:val="32"/>
        </w:rPr>
        <w:t>第二部分2021年度部门决算表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六、一般公共预算财政拨款基本支出决算明细表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r>
        <w:rPr>
          <w:rFonts w:hint="eastAsia"/>
          <w:b/>
          <w:color w:val="auto"/>
          <w:sz w:val="32"/>
          <w:szCs w:val="32"/>
        </w:rPr>
        <w:t>第三部分2021年度部门决算情况说明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四、财政拨款收入支出决算总体情况说明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八、政府性基金预算收入支出决算情况</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九、国有资本经营预算财政拨款支出决算情况说明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关于</w:t>
      </w:r>
      <w:r>
        <w:rPr>
          <w:rFonts w:hint="eastAsia" w:ascii="仿宋" w:hAnsi="仿宋" w:eastAsia="仿宋" w:cs="仿宋"/>
          <w:color w:val="auto"/>
          <w:sz w:val="32"/>
          <w:szCs w:val="32"/>
        </w:rPr>
        <w:t>机关运行经费支出说明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、一般性支出情况说明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关于</w:t>
      </w:r>
      <w:r>
        <w:rPr>
          <w:rFonts w:hint="eastAsia" w:ascii="仿宋" w:hAnsi="仿宋" w:eastAsia="仿宋" w:cs="仿宋"/>
          <w:color w:val="auto"/>
          <w:sz w:val="32"/>
          <w:szCs w:val="32"/>
        </w:rPr>
        <w:t>政府采购支出说明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关于</w:t>
      </w:r>
      <w:r>
        <w:rPr>
          <w:rFonts w:hint="eastAsia" w:ascii="仿宋" w:hAnsi="仿宋" w:eastAsia="仿宋" w:cs="仿宋"/>
          <w:color w:val="auto"/>
          <w:sz w:val="32"/>
          <w:szCs w:val="32"/>
        </w:rPr>
        <w:t>国有资产占用情况说明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关于</w:t>
      </w:r>
      <w:r>
        <w:rPr>
          <w:rFonts w:hint="eastAsia" w:ascii="仿宋" w:hAnsi="仿宋" w:eastAsia="仿宋" w:cs="仿宋"/>
          <w:color w:val="auto"/>
          <w:sz w:val="32"/>
          <w:szCs w:val="32"/>
        </w:rPr>
        <w:t>2021年度预算绩效情况</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说明</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r>
        <w:rPr>
          <w:rFonts w:hint="eastAsia"/>
          <w:b/>
          <w:color w:val="auto"/>
          <w:sz w:val="32"/>
          <w:szCs w:val="32"/>
        </w:rPr>
        <w:t>第四部分名词解释</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r>
        <w:rPr>
          <w:rFonts w:hint="eastAsia"/>
          <w:b/>
          <w:color w:val="auto"/>
          <w:sz w:val="32"/>
          <w:szCs w:val="32"/>
        </w:rPr>
        <w:t>第五部分附件</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b/>
          <w:color w:val="auto"/>
          <w:sz w:val="32"/>
          <w:szCs w:val="32"/>
        </w:rPr>
      </w:pP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b/>
          <w:bCs w:val="0"/>
          <w:color w:val="auto"/>
          <w:sz w:val="44"/>
          <w:szCs w:val="44"/>
        </w:rPr>
      </w:pPr>
      <w:r>
        <w:rPr>
          <w:rFonts w:hint="eastAsia" w:ascii="黑体" w:hAnsi="黑体" w:eastAsia="黑体" w:cs="黑体"/>
          <w:b/>
          <w:bCs w:val="0"/>
          <w:color w:val="auto"/>
          <w:kern w:val="0"/>
          <w:sz w:val="44"/>
          <w:szCs w:val="44"/>
          <w:lang w:val="en-US" w:eastAsia="zh-CN" w:bidi="ar-SA"/>
        </w:rPr>
        <w:t>第一部分 怀化市宏宇小学概况</w:t>
      </w:r>
    </w:p>
    <w:p>
      <w:pPr>
        <w:pStyle w:val="11"/>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ascii="黑体" w:hAnsi="黑体" w:eastAsia="黑体"/>
          <w:b w:val="0"/>
          <w:bCs w:val="0"/>
          <w:color w:val="auto"/>
          <w:sz w:val="32"/>
          <w:szCs w:val="32"/>
        </w:rPr>
      </w:pPr>
      <w:r>
        <w:rPr>
          <w:rFonts w:hint="default" w:ascii="黑体" w:hAnsi="黑体" w:eastAsia="黑体" w:cstheme="minorBidi"/>
          <w:b w:val="0"/>
          <w:bCs w:val="0"/>
          <w:color w:val="auto"/>
          <w:kern w:val="2"/>
          <w:sz w:val="32"/>
          <w:szCs w:val="32"/>
          <w:lang w:val="en-US" w:eastAsia="zh-CN" w:bidi="ar-SA"/>
        </w:rPr>
        <w:t>一、</w:t>
      </w:r>
      <w:r>
        <w:rPr>
          <w:rFonts w:ascii="黑体" w:hAnsi="黑体" w:eastAsia="黑体"/>
          <w:b w:val="0"/>
          <w:bCs w:val="0"/>
          <w:color w:val="auto"/>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怀化市宏宇小学是一所公办的全日制小学,学制六年,属怀化市教育局直管。</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bCs/>
          <w:color w:val="auto"/>
          <w:kern w:val="0"/>
          <w:sz w:val="32"/>
          <w:szCs w:val="32"/>
        </w:rPr>
        <w:t>（一）</w:t>
      </w:r>
      <w:r>
        <w:rPr>
          <w:rFonts w:hint="eastAsia" w:ascii="仿宋" w:hAnsi="仿宋" w:eastAsia="仿宋" w:cs="仿宋"/>
          <w:color w:val="auto"/>
          <w:kern w:val="0"/>
          <w:sz w:val="32"/>
          <w:szCs w:val="32"/>
          <w:lang w:val="en-US" w:eastAsia="zh-CN" w:bidi="ar-SA"/>
        </w:rPr>
        <w:t>根据党的方针、政策和教育章程，全面实施小学义务教育，促进基础教育发展，保障辖区内适龄儿童入学及相关社会服务。培养德、智、体、美等方面全面发展的社会主义事业的建设者和接班人。</w:t>
      </w:r>
      <w:r>
        <w:rPr>
          <w:rFonts w:hint="eastAsia" w:ascii="仿宋" w:hAnsi="仿宋" w:eastAsia="仿宋" w:cs="仿宋"/>
          <w:color w:val="auto"/>
          <w:kern w:val="0"/>
          <w:sz w:val="32"/>
          <w:szCs w:val="32"/>
          <w:lang w:val="en-US" w:eastAsia="zh-CN" w:bidi="ar-SA"/>
        </w:rPr>
        <w:tab/>
      </w:r>
    </w:p>
    <w:p>
      <w:pPr>
        <w:keepNext w:val="0"/>
        <w:keepLines w:val="0"/>
        <w:pageBreakBefore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val="en-US" w:eastAsia="zh-CN"/>
        </w:rPr>
        <w:t>二</w:t>
      </w:r>
      <w:r>
        <w:rPr>
          <w:rFonts w:hint="eastAsia" w:ascii="仿宋" w:hAnsi="仿宋" w:eastAsia="仿宋" w:cs="仿宋"/>
          <w:bCs/>
          <w:color w:val="auto"/>
          <w:kern w:val="0"/>
          <w:sz w:val="32"/>
          <w:szCs w:val="32"/>
        </w:rPr>
        <w:t>）</w:t>
      </w:r>
      <w:r>
        <w:rPr>
          <w:rFonts w:hint="eastAsia" w:ascii="仿宋" w:hAnsi="仿宋" w:eastAsia="仿宋" w:cs="仿宋"/>
          <w:color w:val="auto"/>
          <w:kern w:val="0"/>
          <w:sz w:val="32"/>
          <w:szCs w:val="32"/>
          <w:lang w:val="en-US" w:eastAsia="zh-CN" w:bidi="ar-SA"/>
        </w:rPr>
        <w:t>根据教育规律、社会要求和学校实际，组织制定学校发展的远景规划、近期目标、学年和学期各项工作计划以及各项工作指标并组织实施。</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default" w:ascii="黑体" w:hAnsi="黑体" w:eastAsia="黑体" w:cstheme="minorBidi"/>
          <w:b w:val="0"/>
          <w:bCs w:val="0"/>
          <w:color w:val="auto"/>
          <w:kern w:val="2"/>
          <w:sz w:val="32"/>
          <w:szCs w:val="32"/>
          <w:lang w:val="en-US" w:eastAsia="zh-CN" w:bidi="ar-SA"/>
        </w:rPr>
      </w:pPr>
      <w:r>
        <w:rPr>
          <w:rFonts w:hint="eastAsia" w:ascii="黑体" w:hAnsi="黑体" w:eastAsia="黑体" w:cstheme="minorBidi"/>
          <w:b w:val="0"/>
          <w:bCs w:val="0"/>
          <w:color w:val="auto"/>
          <w:kern w:val="2"/>
          <w:sz w:val="32"/>
          <w:szCs w:val="32"/>
          <w:lang w:val="en-US" w:eastAsia="zh-CN" w:bidi="ar-SA"/>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bCs/>
          <w:color w:val="auto"/>
          <w:kern w:val="0"/>
          <w:sz w:val="32"/>
          <w:szCs w:val="32"/>
        </w:rPr>
      </w:pPr>
      <w:r>
        <w:rPr>
          <w:rFonts w:hint="eastAsia" w:ascii="仿宋" w:hAnsi="仿宋" w:eastAsia="仿宋" w:cs="仿宋"/>
          <w:color w:val="auto"/>
          <w:kern w:val="0"/>
          <w:sz w:val="32"/>
          <w:szCs w:val="32"/>
          <w:lang w:val="en-US" w:eastAsia="zh-CN" w:bidi="ar-SA"/>
        </w:rPr>
        <w:t>怀化市宏宇小学作为一级部门预算单位，机构设置情况如下：校长室、书记室、副校长室、工会办公室、办公室、教务处、教研室、德育处、档案室、图书室、总务后勤处、财务室、医务室、安全保卫处、大队部等。</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rPr>
        <w:t>（</w:t>
      </w:r>
      <w:r>
        <w:rPr>
          <w:rFonts w:hint="eastAsia" w:ascii="仿宋" w:hAnsi="仿宋" w:eastAsia="仿宋" w:cs="仿宋"/>
          <w:b/>
          <w:bCs w:val="0"/>
          <w:color w:val="auto"/>
          <w:kern w:val="0"/>
          <w:sz w:val="32"/>
          <w:szCs w:val="32"/>
          <w:lang w:val="en-US" w:eastAsia="zh-CN"/>
        </w:rPr>
        <w:t>二</w:t>
      </w:r>
      <w:r>
        <w:rPr>
          <w:rFonts w:hint="eastAsia" w:ascii="仿宋" w:hAnsi="仿宋" w:eastAsia="仿宋" w:cs="仿宋"/>
          <w:b/>
          <w:bCs w:val="0"/>
          <w:color w:val="auto"/>
          <w:kern w:val="0"/>
          <w:sz w:val="32"/>
          <w:szCs w:val="32"/>
        </w:rPr>
        <w:t>）决算单位构成。</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bCs/>
          <w:color w:val="auto"/>
          <w:kern w:val="0"/>
          <w:sz w:val="32"/>
          <w:szCs w:val="32"/>
        </w:rPr>
      </w:pPr>
      <w:r>
        <w:rPr>
          <w:rFonts w:hint="eastAsia" w:ascii="仿宋" w:hAnsi="仿宋" w:eastAsia="仿宋" w:cs="仿宋"/>
          <w:color w:val="auto"/>
          <w:kern w:val="0"/>
          <w:sz w:val="32"/>
          <w:szCs w:val="32"/>
          <w:lang w:val="en-US" w:eastAsia="zh-CN" w:bidi="ar-SA"/>
        </w:rPr>
        <w:t>怀化市宏宇小学2021年部门决算汇总公开单位构成包括：怀化市宏宇小学本级。</w:t>
      </w:r>
    </w:p>
    <w:p>
      <w:pPr>
        <w:keepNext w:val="0"/>
        <w:keepLines w:val="0"/>
        <w:pageBreakBefore w:val="0"/>
        <w:kinsoku/>
        <w:wordWrap/>
        <w:overflowPunct/>
        <w:topLinePunct w:val="0"/>
        <w:autoSpaceDE/>
        <w:autoSpaceDN/>
        <w:bidi w:val="0"/>
        <w:adjustRightInd/>
        <w:snapToGrid/>
        <w:spacing w:line="600" w:lineRule="exact"/>
        <w:ind w:left="0" w:firstLine="560" w:firstLineChars="200"/>
        <w:jc w:val="both"/>
        <w:textAlignment w:val="auto"/>
        <w:rPr>
          <w:rFonts w:ascii="仿宋_GB2312" w:eastAsia="仿宋_GB2312" w:hAnsiTheme="minorEastAsia"/>
          <w:color w:val="auto"/>
          <w:sz w:val="28"/>
          <w:szCs w:val="32"/>
        </w:rPr>
      </w:pP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b/>
          <w:bCs/>
          <w:color w:val="auto"/>
          <w:sz w:val="44"/>
          <w:szCs w:val="44"/>
        </w:rPr>
      </w:pPr>
      <w:r>
        <w:rPr>
          <w:rFonts w:hint="eastAsia"/>
          <w:b/>
          <w:bCs/>
          <w:color w:val="auto"/>
          <w:sz w:val="44"/>
          <w:szCs w:val="44"/>
        </w:rPr>
        <w:t>第二部分</w:t>
      </w:r>
      <w:r>
        <w:rPr>
          <w:rFonts w:hint="eastAsia"/>
          <w:b/>
          <w:bCs/>
          <w:color w:val="auto"/>
          <w:sz w:val="44"/>
          <w:szCs w:val="44"/>
          <w:lang w:val="en-US" w:eastAsia="zh-CN"/>
        </w:rPr>
        <w:t xml:space="preserve"> </w:t>
      </w:r>
      <w:r>
        <w:rPr>
          <w:rFonts w:hint="eastAsia"/>
          <w:b/>
          <w:bCs/>
          <w:color w:val="auto"/>
          <w:sz w:val="44"/>
          <w:szCs w:val="44"/>
        </w:rPr>
        <w:t>部门决算表</w:t>
      </w:r>
    </w:p>
    <w:p>
      <w:pPr>
        <w:keepNext w:val="0"/>
        <w:keepLines w:val="0"/>
        <w:pageBreakBefore w:val="0"/>
        <w:kinsoku/>
        <w:wordWrap/>
        <w:overflowPunct/>
        <w:topLinePunct w:val="0"/>
        <w:bidi w:val="0"/>
        <w:snapToGrid/>
        <w:spacing w:line="600" w:lineRule="exact"/>
        <w:ind w:firstLine="3200" w:firstLineChars="10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详情见附件）</w:t>
      </w:r>
    </w:p>
    <w:p>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kern w:val="0"/>
          <w:sz w:val="32"/>
          <w:szCs w:val="32"/>
          <w:lang w:eastAsia="zh-CN"/>
        </w:rPr>
      </w:pPr>
      <w:r>
        <w:rPr>
          <w:rFonts w:hint="eastAsia" w:ascii="黑体" w:hAnsi="黑体" w:eastAsia="黑体" w:cs="黑体"/>
          <w:b w:val="0"/>
          <w:bCs/>
          <w:color w:val="auto"/>
          <w:sz w:val="32"/>
          <w:szCs w:val="32"/>
        </w:rPr>
        <w:t>一、</w:t>
      </w:r>
      <w:r>
        <w:rPr>
          <w:rFonts w:hint="eastAsia" w:ascii="黑体" w:hAnsi="黑体" w:eastAsia="黑体" w:cs="黑体"/>
          <w:b w:val="0"/>
          <w:bCs/>
          <w:color w:val="auto"/>
          <w:sz w:val="32"/>
          <w:szCs w:val="32"/>
          <w:lang w:eastAsia="zh-CN"/>
        </w:rPr>
        <w:t>公开表格</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部门决算公开表格共9张，包括：《收入支出决算总表》、《收入决算表》、《支出决算表》、《财政拨款收入支出决算总表》、《一般公共预算财政拨款支出决算表》、《一般公共预算财政拨款基本支出决算明细表》、《一般公共预算财政拨款“三公”经费支出决算表》、《政府性基金预算财政拨款收入支出决算表》和《国有资本经营预算财政拨款支出决算表》。（公开表格见附件，由于本单位2021年度无三公经费预算支出和决算支出；无政府性基金收入，也没有使用政府性基金安排的支出；无国有资本经营预算财政拨款支出。故07、08、09表无数据）</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bidi="ar-SA"/>
        </w:rPr>
      </w:pP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color w:val="auto"/>
          <w:sz w:val="44"/>
          <w:szCs w:val="44"/>
        </w:rPr>
      </w:pPr>
      <w:bookmarkStart w:id="0" w:name="RANGE!A1:I22"/>
      <w:bookmarkEnd w:id="0"/>
      <w:r>
        <w:rPr>
          <w:rFonts w:hint="eastAsia"/>
          <w:b/>
          <w:bCs/>
          <w:color w:val="auto"/>
          <w:sz w:val="44"/>
          <w:szCs w:val="44"/>
        </w:rPr>
        <w:t>第三部分</w:t>
      </w:r>
      <w:r>
        <w:rPr>
          <w:rFonts w:hint="eastAsia"/>
          <w:b/>
          <w:bCs/>
          <w:color w:val="auto"/>
          <w:sz w:val="44"/>
          <w:szCs w:val="44"/>
          <w:lang w:val="en-US" w:eastAsia="zh-CN"/>
        </w:rPr>
        <w:t xml:space="preserve"> </w:t>
      </w:r>
      <w:r>
        <w:rPr>
          <w:b/>
          <w:bCs/>
          <w:color w:val="auto"/>
          <w:sz w:val="44"/>
          <w:szCs w:val="44"/>
        </w:rPr>
        <w:t>20</w:t>
      </w:r>
      <w:r>
        <w:rPr>
          <w:rFonts w:hint="eastAsia"/>
          <w:b/>
          <w:bCs/>
          <w:color w:val="auto"/>
          <w:sz w:val="44"/>
          <w:szCs w:val="44"/>
        </w:rPr>
        <w:t>21年度部门决算情况说明</w:t>
      </w:r>
    </w:p>
    <w:p>
      <w:pPr>
        <w:keepNext w:val="0"/>
        <w:keepLines w:val="0"/>
        <w:pageBreakBefore w:val="0"/>
        <w:widowControl/>
        <w:kinsoku/>
        <w:wordWrap/>
        <w:overflowPunct/>
        <w:topLinePunct w:val="0"/>
        <w:bidi w:val="0"/>
        <w:snapToGrid/>
        <w:spacing w:line="600" w:lineRule="exact"/>
        <w:ind w:firstLine="640" w:firstLineChars="200"/>
        <w:jc w:val="both"/>
        <w:textAlignment w:val="auto"/>
        <w:rPr>
          <w:rFonts w:hint="eastAsia" w:ascii="仿宋" w:hAnsi="仿宋" w:eastAsia="仿宋" w:cs="仿宋"/>
          <w:b w:val="0"/>
          <w:bCs/>
          <w:color w:val="auto"/>
          <w:sz w:val="32"/>
          <w:szCs w:val="32"/>
        </w:rPr>
      </w:pPr>
      <w:r>
        <w:rPr>
          <w:rFonts w:hint="eastAsia" w:ascii="黑体" w:hAnsi="黑体" w:eastAsia="黑体" w:cs="黑体"/>
          <w:b w:val="0"/>
          <w:bCs/>
          <w:color w:val="auto"/>
          <w:sz w:val="32"/>
          <w:szCs w:val="32"/>
        </w:rPr>
        <w:t>一、收入支出决算总体情况说明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2021年度收、支总计</w:t>
      </w:r>
      <w:r>
        <w:rPr>
          <w:rFonts w:hint="eastAsia" w:ascii="仿宋" w:hAnsi="仿宋" w:eastAsia="仿宋" w:cs="仿宋"/>
          <w:color w:val="auto"/>
          <w:sz w:val="32"/>
          <w:szCs w:val="32"/>
          <w:lang w:val="en-US" w:eastAsia="zh-CN"/>
        </w:rPr>
        <w:t>各4,456.29</w:t>
      </w:r>
      <w:r>
        <w:rPr>
          <w:rFonts w:hint="eastAsia" w:ascii="仿宋" w:hAnsi="仿宋" w:eastAsia="仿宋" w:cs="仿宋"/>
          <w:color w:val="auto"/>
          <w:sz w:val="32"/>
          <w:szCs w:val="32"/>
        </w:rPr>
        <w:t>万元。与上年相比，增加</w:t>
      </w:r>
      <w:r>
        <w:rPr>
          <w:rFonts w:hint="eastAsia" w:ascii="仿宋" w:hAnsi="仿宋" w:eastAsia="仿宋" w:cs="仿宋"/>
          <w:color w:val="auto"/>
          <w:sz w:val="32"/>
          <w:szCs w:val="32"/>
          <w:lang w:val="en-US" w:eastAsia="zh-CN"/>
        </w:rPr>
        <w:t>381.17</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9.35</w:t>
      </w:r>
      <w:r>
        <w:rPr>
          <w:rFonts w:hint="eastAsia" w:ascii="仿宋" w:hAnsi="仿宋" w:eastAsia="仿宋" w:cs="仿宋"/>
          <w:color w:val="auto"/>
          <w:sz w:val="32"/>
          <w:szCs w:val="32"/>
        </w:rPr>
        <w:t>%，主要是因为</w:t>
      </w:r>
      <w:r>
        <w:rPr>
          <w:rFonts w:hint="eastAsia" w:ascii="仿宋" w:hAnsi="仿宋" w:eastAsia="仿宋" w:cs="仿宋"/>
          <w:color w:val="auto"/>
          <w:sz w:val="32"/>
          <w:szCs w:val="32"/>
          <w:lang w:val="en-US" w:eastAsia="zh-CN"/>
        </w:rPr>
        <w:t>学生人数及教师人数增加，生均、师均经费增加。</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二、收入决算情况说明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2021年度收入合计</w:t>
      </w:r>
      <w:r>
        <w:rPr>
          <w:rFonts w:hint="eastAsia" w:ascii="仿宋" w:hAnsi="仿宋" w:eastAsia="仿宋" w:cs="仿宋"/>
          <w:color w:val="auto"/>
          <w:sz w:val="32"/>
          <w:szCs w:val="32"/>
          <w:lang w:val="en-US" w:eastAsia="zh-CN"/>
        </w:rPr>
        <w:t>4,070.48</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eastAsia="zh-CN"/>
        </w:rPr>
        <w:t>3,669.64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90.15</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eastAsia="zh-CN"/>
        </w:rPr>
        <w:t>400.84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9.85</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val="0"/>
          <w:bCs/>
          <w:color w:val="auto"/>
          <w:sz w:val="32"/>
          <w:szCs w:val="32"/>
        </w:rPr>
      </w:pPr>
      <w:r>
        <w:rPr>
          <w:rFonts w:hint="eastAsia" w:ascii="黑体" w:hAnsi="黑体" w:eastAsia="黑体" w:cs="黑体"/>
          <w:b w:val="0"/>
          <w:bCs/>
          <w:color w:val="auto"/>
          <w:sz w:val="32"/>
          <w:szCs w:val="32"/>
        </w:rPr>
        <w:t>三、支出决算情况说明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2021年度支出合计</w:t>
      </w:r>
      <w:r>
        <w:rPr>
          <w:rFonts w:hint="eastAsia" w:ascii="仿宋" w:hAnsi="仿宋" w:eastAsia="仿宋" w:cs="仿宋"/>
          <w:color w:val="auto"/>
          <w:sz w:val="32"/>
          <w:szCs w:val="32"/>
          <w:lang w:val="en-US" w:eastAsia="zh-CN"/>
        </w:rPr>
        <w:t>4,456.29</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3,234.94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72.59</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1,221.35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27.41</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2021年度财政拨款收、支总计</w:t>
      </w:r>
      <w:r>
        <w:rPr>
          <w:rFonts w:hint="eastAsia" w:ascii="仿宋" w:hAnsi="仿宋" w:eastAsia="仿宋" w:cs="仿宋"/>
          <w:color w:val="auto"/>
          <w:sz w:val="32"/>
          <w:szCs w:val="32"/>
          <w:lang w:val="en-US" w:eastAsia="zh-CN"/>
        </w:rPr>
        <w:t>各4,055.44</w:t>
      </w:r>
      <w:r>
        <w:rPr>
          <w:rFonts w:hint="eastAsia" w:ascii="仿宋" w:hAnsi="仿宋" w:eastAsia="仿宋" w:cs="仿宋"/>
          <w:color w:val="auto"/>
          <w:sz w:val="32"/>
          <w:szCs w:val="32"/>
        </w:rPr>
        <w:t>万元，与上年相比，增加</w:t>
      </w:r>
      <w:r>
        <w:rPr>
          <w:rFonts w:hint="eastAsia" w:ascii="仿宋" w:hAnsi="仿宋" w:eastAsia="仿宋" w:cs="仿宋"/>
          <w:color w:val="auto"/>
          <w:sz w:val="32"/>
          <w:szCs w:val="32"/>
          <w:lang w:val="en-US" w:eastAsia="zh-CN"/>
        </w:rPr>
        <w:t>116.97</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2.97</w:t>
      </w:r>
      <w:r>
        <w:rPr>
          <w:rFonts w:hint="eastAsia" w:ascii="仿宋" w:hAnsi="仿宋" w:eastAsia="仿宋" w:cs="仿宋"/>
          <w:color w:val="auto"/>
          <w:sz w:val="32"/>
          <w:szCs w:val="32"/>
        </w:rPr>
        <w:t>%，主要是因为</w:t>
      </w:r>
      <w:r>
        <w:rPr>
          <w:rFonts w:hint="eastAsia" w:ascii="仿宋" w:hAnsi="仿宋" w:eastAsia="仿宋" w:cs="仿宋"/>
          <w:color w:val="auto"/>
          <w:sz w:val="32"/>
          <w:szCs w:val="32"/>
          <w:lang w:val="en-US" w:eastAsia="zh-CN"/>
        </w:rPr>
        <w:t>学生人数及教师人数增加，生均、师均经费增加。</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w:t>
      </w:r>
      <w:r>
        <w:rPr>
          <w:rFonts w:hint="eastAsia" w:ascii="仿宋" w:hAnsi="仿宋" w:eastAsia="仿宋" w:cs="仿宋"/>
          <w:color w:val="auto"/>
          <w:sz w:val="32"/>
          <w:szCs w:val="32"/>
          <w:lang w:val="en-US" w:eastAsia="zh-CN"/>
        </w:rPr>
        <w:t>4,055.44</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91</w:t>
      </w:r>
      <w:r>
        <w:rPr>
          <w:rFonts w:hint="eastAsia" w:ascii="仿宋" w:hAnsi="仿宋" w:eastAsia="仿宋" w:cs="仿宋"/>
          <w:color w:val="auto"/>
          <w:sz w:val="32"/>
          <w:szCs w:val="32"/>
        </w:rPr>
        <w:t>%，与上年相比，财政拨款支出增加</w:t>
      </w:r>
      <w:r>
        <w:rPr>
          <w:rFonts w:hint="eastAsia" w:ascii="仿宋" w:hAnsi="仿宋" w:eastAsia="仿宋" w:cs="仿宋"/>
          <w:color w:val="auto"/>
          <w:sz w:val="32"/>
          <w:szCs w:val="32"/>
          <w:lang w:val="en-US" w:eastAsia="zh-CN"/>
        </w:rPr>
        <w:t>396.39</w:t>
      </w:r>
      <w:r>
        <w:rPr>
          <w:rFonts w:hint="eastAsia" w:ascii="仿宋" w:hAnsi="仿宋" w:eastAsia="仿宋" w:cs="仿宋"/>
          <w:color w:val="auto"/>
          <w:sz w:val="32"/>
          <w:szCs w:val="32"/>
        </w:rPr>
        <w:t>万元，增长</w:t>
      </w:r>
      <w:r>
        <w:rPr>
          <w:rFonts w:hint="eastAsia" w:ascii="仿宋" w:hAnsi="仿宋" w:eastAsia="仿宋" w:cs="仿宋"/>
          <w:color w:val="auto"/>
          <w:sz w:val="32"/>
          <w:szCs w:val="32"/>
          <w:lang w:val="en-US" w:eastAsia="zh-CN"/>
        </w:rPr>
        <w:t>10.83</w:t>
      </w:r>
      <w:r>
        <w:rPr>
          <w:rFonts w:hint="eastAsia" w:ascii="仿宋" w:hAnsi="仿宋" w:eastAsia="仿宋" w:cs="仿宋"/>
          <w:color w:val="auto"/>
          <w:sz w:val="32"/>
          <w:szCs w:val="32"/>
        </w:rPr>
        <w:t>%，主要是因为</w:t>
      </w:r>
      <w:r>
        <w:rPr>
          <w:rFonts w:hint="eastAsia" w:ascii="仿宋" w:hAnsi="仿宋" w:eastAsia="仿宋" w:cs="仿宋"/>
          <w:color w:val="auto"/>
          <w:sz w:val="32"/>
          <w:szCs w:val="32"/>
          <w:lang w:val="en-US" w:eastAsia="zh-CN"/>
        </w:rPr>
        <w:t>学生人数及教师人数增加，生均、师均经费增加。</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w:t>
      </w:r>
      <w:r>
        <w:rPr>
          <w:rFonts w:hint="eastAsia" w:ascii="仿宋" w:hAnsi="仿宋" w:eastAsia="仿宋" w:cs="仿宋"/>
          <w:color w:val="auto"/>
          <w:sz w:val="32"/>
          <w:szCs w:val="32"/>
          <w:lang w:val="en-US" w:eastAsia="zh-CN"/>
        </w:rPr>
        <w:t>4,055.44</w:t>
      </w:r>
      <w:r>
        <w:rPr>
          <w:rFonts w:hint="eastAsia" w:ascii="仿宋" w:hAnsi="仿宋" w:eastAsia="仿宋" w:cs="仿宋"/>
          <w:color w:val="auto"/>
          <w:sz w:val="32"/>
          <w:szCs w:val="32"/>
        </w:rPr>
        <w:t>万元，主要用于以下方面：一般公共服务（类）支出</w:t>
      </w:r>
      <w:r>
        <w:rPr>
          <w:rFonts w:hint="eastAsia" w:ascii="仿宋" w:hAnsi="仿宋" w:eastAsia="仿宋" w:cs="仿宋"/>
          <w:color w:val="auto"/>
          <w:sz w:val="32"/>
          <w:szCs w:val="32"/>
          <w:lang w:val="en-US" w:eastAsia="zh-CN"/>
        </w:rPr>
        <w:t>9.8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0.24</w:t>
      </w:r>
      <w:r>
        <w:rPr>
          <w:rFonts w:hint="eastAsia" w:ascii="仿宋" w:hAnsi="仿宋" w:eastAsia="仿宋" w:cs="仿宋"/>
          <w:color w:val="auto"/>
          <w:sz w:val="32"/>
          <w:szCs w:val="32"/>
        </w:rPr>
        <w:t>%；教育（类）支出</w:t>
      </w:r>
      <w:r>
        <w:rPr>
          <w:rFonts w:hint="eastAsia" w:ascii="仿宋" w:hAnsi="仿宋" w:eastAsia="仿宋" w:cs="仿宋"/>
          <w:color w:val="auto"/>
          <w:sz w:val="32"/>
          <w:szCs w:val="32"/>
          <w:lang w:val="en-US" w:eastAsia="zh-CN"/>
        </w:rPr>
        <w:t>3,483.87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85.91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；社会保障和就业（类）支出</w:t>
      </w:r>
      <w:r>
        <w:rPr>
          <w:rFonts w:hint="eastAsia" w:ascii="仿宋" w:hAnsi="仿宋" w:eastAsia="仿宋" w:cs="仿宋"/>
          <w:color w:val="auto"/>
          <w:sz w:val="32"/>
          <w:szCs w:val="32"/>
          <w:lang w:val="en-US" w:eastAsia="zh-CN"/>
        </w:rPr>
        <w:t>435.11万元，占10.73%；卫生健康（类）支出126.06万元，占3.11%；其他（类）支出0.6万元，占0.01%。</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（三）财政拨款支出决算具体情况</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2021年度财政拨款支出年初预算数为</w:t>
      </w:r>
      <w:r>
        <w:rPr>
          <w:rFonts w:hint="eastAsia" w:ascii="仿宋" w:hAnsi="仿宋" w:eastAsia="仿宋" w:cs="仿宋"/>
          <w:color w:val="auto"/>
          <w:sz w:val="32"/>
          <w:szCs w:val="32"/>
          <w:lang w:val="en-US" w:eastAsia="zh-CN"/>
        </w:rPr>
        <w:t>1,838.48</w:t>
      </w:r>
      <w:r>
        <w:rPr>
          <w:rFonts w:hint="eastAsia" w:ascii="仿宋" w:hAnsi="仿宋" w:eastAsia="仿宋" w:cs="仿宋"/>
          <w:color w:val="auto"/>
          <w:sz w:val="32"/>
          <w:szCs w:val="32"/>
        </w:rPr>
        <w:t>万元，支出决算数为</w:t>
      </w:r>
      <w:r>
        <w:rPr>
          <w:rFonts w:hint="eastAsia" w:ascii="仿宋" w:hAnsi="仿宋" w:eastAsia="仿宋" w:cs="仿宋"/>
          <w:color w:val="auto"/>
          <w:sz w:val="32"/>
          <w:szCs w:val="32"/>
          <w:lang w:val="en-US" w:eastAsia="zh-CN"/>
        </w:rPr>
        <w:t>4,055.44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220.59</w:t>
      </w:r>
      <w:r>
        <w:rPr>
          <w:rFonts w:hint="eastAsia" w:ascii="仿宋" w:hAnsi="仿宋" w:eastAsia="仿宋" w:cs="仿宋"/>
          <w:color w:val="auto"/>
          <w:sz w:val="32"/>
          <w:szCs w:val="32"/>
        </w:rPr>
        <w:t>%，其中：</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1、一般公共服务支出（类）</w:t>
      </w:r>
      <w:r>
        <w:rPr>
          <w:rFonts w:hint="eastAsia" w:ascii="仿宋" w:hAnsi="仿宋" w:eastAsia="仿宋" w:cs="仿宋"/>
          <w:color w:val="auto"/>
          <w:sz w:val="32"/>
          <w:szCs w:val="32"/>
          <w:lang w:val="en-US" w:eastAsia="zh-CN"/>
        </w:rPr>
        <w:t>组织事务</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其他组织事务支出</w:t>
      </w:r>
      <w:r>
        <w:rPr>
          <w:rFonts w:hint="eastAsia" w:ascii="仿宋" w:hAnsi="仿宋" w:eastAsia="仿宋" w:cs="仿宋"/>
          <w:color w:val="auto"/>
          <w:sz w:val="32"/>
          <w:szCs w:val="32"/>
        </w:rPr>
        <w:t>（项）。</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4.8</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年初预算未包括人才引进生活补助相关支出。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2、一般公共服务支出（类）</w:t>
      </w:r>
      <w:r>
        <w:rPr>
          <w:rFonts w:hint="eastAsia" w:ascii="仿宋" w:hAnsi="仿宋" w:eastAsia="仿宋" w:cs="仿宋"/>
          <w:color w:val="auto"/>
          <w:sz w:val="32"/>
          <w:szCs w:val="32"/>
          <w:lang w:val="en-US" w:eastAsia="zh-CN"/>
        </w:rPr>
        <w:t>其他一般公共服务支出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其他一般公共服务支出</w:t>
      </w:r>
      <w:r>
        <w:rPr>
          <w:rFonts w:hint="eastAsia" w:ascii="仿宋" w:hAnsi="仿宋" w:eastAsia="仿宋" w:cs="仿宋"/>
          <w:color w:val="auto"/>
          <w:sz w:val="32"/>
          <w:szCs w:val="32"/>
        </w:rPr>
        <w:t>（项）。</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年初预算未包括名校工作室相关支出。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教育</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普通教育</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小学教育</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1838.48</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2621.79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142.61</w:t>
      </w:r>
      <w:r>
        <w:rPr>
          <w:rFonts w:hint="eastAsia" w:ascii="仿宋" w:hAnsi="仿宋" w:eastAsia="仿宋" w:cs="仿宋"/>
          <w:color w:val="auto"/>
          <w:sz w:val="32"/>
          <w:szCs w:val="32"/>
        </w:rPr>
        <w:t>%，决算数大于年初预算数的主要原因是：</w:t>
      </w:r>
      <w:r>
        <w:rPr>
          <w:rFonts w:hint="eastAsia" w:ascii="仿宋" w:hAnsi="仿宋" w:eastAsia="仿宋" w:cs="仿宋"/>
          <w:color w:val="auto"/>
          <w:sz w:val="32"/>
          <w:szCs w:val="32"/>
          <w:lang w:val="en-US" w:eastAsia="zh-CN"/>
        </w:rPr>
        <w:t>年初预算未包括绩效奖等相关支出。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教育</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普通教育</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其他普通教育支出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850.27</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w:t>
      </w:r>
      <w:r>
        <w:rPr>
          <w:rFonts w:hint="eastAsia" w:ascii="仿宋" w:hAnsi="仿宋" w:eastAsia="仿宋" w:cs="仿宋"/>
          <w:color w:val="auto"/>
          <w:sz w:val="32"/>
          <w:szCs w:val="32"/>
          <w:lang w:eastAsia="zh-CN"/>
        </w:rPr>
        <w:t>建档立卡贫困生补助、城乡义务教育经费保障资金</w:t>
      </w:r>
      <w:r>
        <w:rPr>
          <w:rFonts w:hint="eastAsia" w:ascii="仿宋" w:hAnsi="仿宋" w:eastAsia="仿宋" w:cs="仿宋"/>
          <w:color w:val="auto"/>
          <w:sz w:val="32"/>
          <w:szCs w:val="32"/>
          <w:lang w:val="en-US" w:eastAsia="zh-CN"/>
        </w:rPr>
        <w:t>等相关支出。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5、教育支出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进修及培训</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教师进修</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7.04</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年初预算未包括市级教师培训相关支出。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6、教育支出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其他教育支出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其他教育支出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4.78</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年初预算未包括西校区零星改造、食堂改造、书法教室设备及装饰装修等相关支出。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w:t>
      </w:r>
      <w:r>
        <w:rPr>
          <w:rFonts w:hint="eastAsia" w:ascii="仿宋" w:hAnsi="仿宋" w:eastAsia="仿宋" w:cs="仿宋"/>
          <w:color w:val="auto"/>
          <w:sz w:val="32"/>
          <w:szCs w:val="32"/>
          <w:lang w:val="en-US"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机关事业单位基本养老保险缴费支出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308.65</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年初预算未包括养老保险相关支出。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w:t>
      </w:r>
      <w:r>
        <w:rPr>
          <w:rFonts w:hint="eastAsia" w:ascii="仿宋" w:hAnsi="仿宋" w:eastAsia="仿宋" w:cs="仿宋"/>
          <w:color w:val="auto"/>
          <w:sz w:val="32"/>
          <w:szCs w:val="32"/>
          <w:lang w:val="en-US"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其他行政事业单位养老支出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125.83</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年初预算未包括退休人员春节一次性补助相关支出。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抚恤</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死亡抚恤</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0.64</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val="en-US" w:eastAsia="zh-CN"/>
        </w:rPr>
        <w:t>年初预算未包括抚恤金相关支出。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lang w:eastAsia="zh-CN"/>
        </w:rPr>
        <w:t>卫生健康</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行政事业单位医疗</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行政</w:t>
      </w:r>
      <w:r>
        <w:rPr>
          <w:rFonts w:hint="eastAsia" w:ascii="仿宋" w:hAnsi="仿宋" w:eastAsia="仿宋" w:cs="仿宋"/>
          <w:color w:val="auto"/>
          <w:sz w:val="32"/>
          <w:szCs w:val="32"/>
          <w:lang w:eastAsia="zh-CN"/>
        </w:rPr>
        <w:t>单位医疗</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126.06</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年初预算未包括医疗保险相关支出。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lang w:eastAsia="zh-CN"/>
        </w:rPr>
        <w:t>其他</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其他支出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其他支出</w:t>
      </w:r>
      <w:r>
        <w:rPr>
          <w:rFonts w:hint="eastAsia" w:ascii="仿宋" w:hAnsi="仿宋" w:eastAsia="仿宋" w:cs="仿宋"/>
          <w:color w:val="auto"/>
          <w:sz w:val="32"/>
          <w:szCs w:val="32"/>
        </w:rPr>
        <w:t>（项）</w:t>
      </w:r>
      <w:r>
        <w:rPr>
          <w:rFonts w:hint="eastAsia" w:ascii="仿宋" w:hAnsi="仿宋" w:eastAsia="仿宋" w:cs="仿宋"/>
          <w:color w:val="auto"/>
          <w:sz w:val="32"/>
          <w:szCs w:val="32"/>
          <w:lang w:val="en-US"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0.6</w:t>
      </w:r>
      <w:r>
        <w:rPr>
          <w:rFonts w:hint="eastAsia" w:ascii="仿宋" w:hAnsi="仿宋" w:eastAsia="仿宋" w:cs="仿宋"/>
          <w:color w:val="auto"/>
          <w:sz w:val="32"/>
          <w:szCs w:val="32"/>
        </w:rPr>
        <w:t>万元，无法计算完成比例。决算数大于年初预算数的主要原因是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年初预算未包括学生赔偿款相关支出。</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i/>
          <w:color w:val="auto"/>
          <w:sz w:val="32"/>
          <w:szCs w:val="32"/>
        </w:rPr>
      </w:pPr>
      <w:r>
        <w:rPr>
          <w:rFonts w:hint="eastAsia" w:ascii="仿宋" w:hAnsi="仿宋" w:eastAsia="仿宋" w:cs="仿宋"/>
          <w:color w:val="auto"/>
          <w:sz w:val="32"/>
          <w:szCs w:val="32"/>
        </w:rPr>
        <w:t>2021年度财政拨款基本支出</w:t>
      </w:r>
      <w:r>
        <w:rPr>
          <w:rFonts w:hint="eastAsia" w:ascii="仿宋" w:hAnsi="仿宋" w:eastAsia="仿宋" w:cs="仿宋"/>
          <w:color w:val="auto"/>
          <w:sz w:val="32"/>
          <w:szCs w:val="32"/>
          <w:lang w:val="en-US" w:eastAsia="zh-CN"/>
        </w:rPr>
        <w:t>3,216.86</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3,096.34</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96.25</w:t>
      </w:r>
      <w:r>
        <w:rPr>
          <w:rFonts w:hint="eastAsia" w:ascii="仿宋" w:hAnsi="仿宋" w:eastAsia="仿宋" w:cs="仿宋"/>
          <w:color w:val="auto"/>
          <w:sz w:val="32"/>
          <w:szCs w:val="32"/>
        </w:rPr>
        <w:t>%,主要包括基本工资、津贴补贴、奖金、伙食补助费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绩效工资、</w:t>
      </w:r>
      <w:r>
        <w:rPr>
          <w:rFonts w:hint="eastAsia" w:ascii="仿宋" w:hAnsi="仿宋" w:eastAsia="仿宋" w:cs="仿宋"/>
          <w:color w:val="auto"/>
          <w:sz w:val="32"/>
          <w:szCs w:val="32"/>
          <w:lang w:eastAsia="zh-CN"/>
        </w:rPr>
        <w:t>机关事业单位基本养老保险缴费、</w:t>
      </w:r>
      <w:r>
        <w:rPr>
          <w:rFonts w:hint="eastAsia" w:ascii="仿宋" w:hAnsi="仿宋" w:eastAsia="仿宋" w:cs="仿宋"/>
          <w:color w:val="auto"/>
          <w:sz w:val="32"/>
          <w:szCs w:val="32"/>
          <w:lang w:val="en-US" w:eastAsia="zh-CN"/>
        </w:rPr>
        <w:t>职业年金缴费、</w:t>
      </w:r>
      <w:r>
        <w:rPr>
          <w:rFonts w:hint="eastAsia" w:ascii="仿宋" w:hAnsi="仿宋" w:eastAsia="仿宋" w:cs="仿宋"/>
          <w:color w:val="auto"/>
          <w:sz w:val="32"/>
          <w:szCs w:val="32"/>
          <w:lang w:eastAsia="zh-CN"/>
        </w:rPr>
        <w:t>职工基本医疗保险缴费、其他社会保障缴费、其他工资福利支出、</w:t>
      </w:r>
      <w:r>
        <w:rPr>
          <w:rFonts w:hint="eastAsia" w:ascii="仿宋" w:hAnsi="仿宋" w:eastAsia="仿宋" w:cs="仿宋"/>
          <w:color w:val="auto"/>
          <w:sz w:val="32"/>
          <w:szCs w:val="32"/>
          <w:lang w:val="en-US" w:eastAsia="zh-CN"/>
        </w:rPr>
        <w:t>抚恤金、</w:t>
      </w:r>
      <w:r>
        <w:rPr>
          <w:rFonts w:hint="eastAsia" w:ascii="仿宋" w:hAnsi="仿宋" w:eastAsia="仿宋" w:cs="仿宋"/>
          <w:color w:val="auto"/>
          <w:sz w:val="32"/>
          <w:szCs w:val="32"/>
          <w:lang w:eastAsia="zh-CN"/>
        </w:rPr>
        <w:t>生活补助、</w:t>
      </w:r>
      <w:r>
        <w:rPr>
          <w:rFonts w:hint="eastAsia" w:ascii="仿宋" w:hAnsi="仿宋" w:eastAsia="仿宋" w:cs="仿宋"/>
          <w:color w:val="auto"/>
          <w:sz w:val="32"/>
          <w:szCs w:val="32"/>
          <w:lang w:val="en-US" w:eastAsia="zh-CN"/>
        </w:rPr>
        <w:t>其他对个人和家庭的补助</w:t>
      </w:r>
      <w:r>
        <w:rPr>
          <w:rFonts w:hint="eastAsia" w:ascii="仿宋" w:hAnsi="仿宋" w:eastAsia="仿宋" w:cs="仿宋"/>
          <w:color w:val="auto"/>
          <w:sz w:val="32"/>
          <w:szCs w:val="32"/>
        </w:rPr>
        <w:t>；公用经费</w:t>
      </w:r>
      <w:r>
        <w:rPr>
          <w:rFonts w:hint="eastAsia" w:ascii="仿宋" w:hAnsi="仿宋" w:eastAsia="仿宋" w:cs="仿宋"/>
          <w:color w:val="auto"/>
          <w:sz w:val="32"/>
          <w:szCs w:val="32"/>
          <w:lang w:val="en-US" w:eastAsia="zh-CN"/>
        </w:rPr>
        <w:t>120.52</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3.75</w:t>
      </w:r>
      <w:r>
        <w:rPr>
          <w:rFonts w:hint="eastAsia" w:ascii="仿宋" w:hAnsi="仿宋" w:eastAsia="仿宋" w:cs="仿宋"/>
          <w:color w:val="auto"/>
          <w:sz w:val="32"/>
          <w:szCs w:val="32"/>
        </w:rPr>
        <w:t>%，主要包括办公费、</w:t>
      </w:r>
      <w:r>
        <w:rPr>
          <w:rFonts w:hint="eastAsia" w:ascii="仿宋" w:hAnsi="仿宋" w:eastAsia="仿宋" w:cs="仿宋"/>
          <w:color w:val="auto"/>
          <w:sz w:val="32"/>
          <w:szCs w:val="32"/>
          <w:lang w:val="en-US" w:eastAsia="zh-CN"/>
        </w:rPr>
        <w:t>水费、</w:t>
      </w:r>
      <w:r>
        <w:rPr>
          <w:rFonts w:hint="eastAsia" w:ascii="仿宋" w:hAnsi="仿宋" w:eastAsia="仿宋" w:cs="仿宋"/>
          <w:color w:val="auto"/>
          <w:sz w:val="32"/>
          <w:szCs w:val="32"/>
          <w:lang w:eastAsia="zh-CN"/>
        </w:rPr>
        <w:t>物业管理费、差旅费、</w:t>
      </w:r>
      <w:r>
        <w:rPr>
          <w:rFonts w:hint="eastAsia" w:ascii="仿宋" w:hAnsi="仿宋" w:eastAsia="仿宋" w:cs="仿宋"/>
          <w:color w:val="auto"/>
          <w:sz w:val="32"/>
          <w:szCs w:val="32"/>
          <w:lang w:val="en-US" w:eastAsia="zh-CN"/>
        </w:rPr>
        <w:t>租赁费、</w:t>
      </w:r>
      <w:r>
        <w:rPr>
          <w:rFonts w:hint="eastAsia" w:ascii="仿宋" w:hAnsi="仿宋" w:eastAsia="仿宋" w:cs="仿宋"/>
          <w:color w:val="auto"/>
          <w:sz w:val="32"/>
          <w:szCs w:val="32"/>
          <w:lang w:eastAsia="zh-CN"/>
        </w:rPr>
        <w:t>培训费、</w:t>
      </w:r>
      <w:r>
        <w:rPr>
          <w:rFonts w:hint="eastAsia" w:ascii="仿宋" w:hAnsi="仿宋" w:eastAsia="仿宋" w:cs="仿宋"/>
          <w:color w:val="auto"/>
          <w:sz w:val="32"/>
          <w:szCs w:val="32"/>
          <w:lang w:val="en-US" w:eastAsia="zh-CN"/>
        </w:rPr>
        <w:t>劳务费、</w:t>
      </w:r>
      <w:r>
        <w:rPr>
          <w:rFonts w:hint="eastAsia" w:ascii="仿宋" w:hAnsi="仿宋" w:eastAsia="仿宋" w:cs="仿宋"/>
          <w:color w:val="auto"/>
          <w:sz w:val="32"/>
          <w:szCs w:val="32"/>
          <w:lang w:eastAsia="zh-CN"/>
        </w:rPr>
        <w:t>工会经费、</w:t>
      </w:r>
      <w:r>
        <w:rPr>
          <w:rFonts w:hint="eastAsia" w:ascii="仿宋" w:hAnsi="仿宋" w:eastAsia="仿宋" w:cs="仿宋"/>
          <w:color w:val="auto"/>
          <w:sz w:val="32"/>
          <w:szCs w:val="32"/>
          <w:lang w:val="en-US" w:eastAsia="zh-CN"/>
        </w:rPr>
        <w:t>税金及附加费用、</w:t>
      </w:r>
      <w:r>
        <w:rPr>
          <w:rFonts w:hint="eastAsia" w:ascii="仿宋" w:hAnsi="仿宋" w:eastAsia="仿宋" w:cs="仿宋"/>
          <w:color w:val="auto"/>
          <w:sz w:val="32"/>
          <w:szCs w:val="32"/>
          <w:lang w:eastAsia="zh-CN"/>
        </w:rPr>
        <w:t>其他商品和服务支出</w:t>
      </w:r>
      <w:r>
        <w:rPr>
          <w:rFonts w:hint="eastAsia" w:ascii="仿宋" w:hAnsi="仿宋" w:eastAsia="仿宋" w:cs="仿宋"/>
          <w:color w:val="auto"/>
          <w:sz w:val="32"/>
          <w:szCs w:val="32"/>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s="仿宋"/>
          <w:b/>
          <w:bCs/>
          <w:color w:val="auto"/>
          <w:kern w:val="0"/>
          <w:sz w:val="32"/>
          <w:szCs w:val="32"/>
          <w:highlight w:val="none"/>
          <w:u w:val="none"/>
          <w:shd w:val="clear" w:color="auto" w:fill="FFFFFF"/>
          <w:lang w:bidi="ar"/>
        </w:rPr>
      </w:pPr>
      <w:r>
        <w:rPr>
          <w:rFonts w:hint="eastAsia" w:ascii="仿宋" w:hAnsi="仿宋" w:eastAsia="仿宋" w:cs="仿宋"/>
          <w:b/>
          <w:bCs/>
          <w:color w:val="auto"/>
          <w:kern w:val="0"/>
          <w:sz w:val="32"/>
          <w:szCs w:val="32"/>
          <w:highlight w:val="none"/>
          <w:u w:val="none"/>
          <w:shd w:val="clear" w:color="auto" w:fill="FFFFFF"/>
          <w:lang w:bidi="ar"/>
        </w:rPr>
        <w:t>（一）“三公”经费财政拨款支出决算总体情况说明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“三公”经费财政拨款支出预算为0万元，支出决算为   0万元，其中：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i w:val="0"/>
          <w:iCs w:val="0"/>
          <w:caps w:val="0"/>
          <w:color w:val="auto"/>
          <w:spacing w:val="0"/>
          <w:sz w:val="32"/>
          <w:szCs w:val="32"/>
          <w:highlight w:val="none"/>
          <w:lang w:val="en-US" w:eastAsia="zh-CN"/>
        </w:rPr>
        <w:t>1、</w:t>
      </w:r>
      <w:r>
        <w:rPr>
          <w:rFonts w:hint="eastAsia" w:ascii="仿宋" w:hAnsi="仿宋" w:eastAsia="仿宋" w:cs="仿宋"/>
          <w:i w:val="0"/>
          <w:iCs w:val="0"/>
          <w:caps w:val="0"/>
          <w:color w:val="auto"/>
          <w:spacing w:val="0"/>
          <w:sz w:val="32"/>
          <w:szCs w:val="32"/>
          <w:highlight w:val="none"/>
        </w:rPr>
        <w:t>因公出国（境）费支出预算为0万元，支出决算为0万元，决算数与年初预算数持平，</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本年度未安排因公出国（境）。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lang w:val="en-US" w:eastAsia="zh-CN"/>
        </w:rPr>
        <w:t>2、</w:t>
      </w:r>
      <w:r>
        <w:rPr>
          <w:rFonts w:hint="eastAsia" w:ascii="仿宋" w:hAnsi="仿宋" w:eastAsia="仿宋" w:cs="仿宋"/>
          <w:i w:val="0"/>
          <w:iCs w:val="0"/>
          <w:caps w:val="0"/>
          <w:color w:val="auto"/>
          <w:spacing w:val="0"/>
          <w:sz w:val="32"/>
          <w:szCs w:val="32"/>
          <w:highlight w:val="none"/>
        </w:rPr>
        <w:t>公务接待费支出预算0万元，支出决算为0万元，决算数与年初预算数持平，</w:t>
      </w:r>
      <w:r>
        <w:rPr>
          <w:rFonts w:hint="eastAsia" w:ascii="仿宋" w:hAnsi="仿宋" w:eastAsia="仿宋" w:cs="仿宋"/>
          <w:i w:val="0"/>
          <w:iCs w:val="0"/>
          <w:caps w:val="0"/>
          <w:color w:val="auto"/>
          <w:spacing w:val="0"/>
          <w:sz w:val="32"/>
          <w:szCs w:val="32"/>
          <w:highlight w:val="none"/>
          <w:lang w:val="en-US" w:eastAsia="zh-CN"/>
        </w:rPr>
        <w:t>主要原因是</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val="en-US" w:eastAsia="zh-CN"/>
        </w:rPr>
        <w:t>，主要原因是厉行节约，减少开支</w:t>
      </w:r>
      <w:r>
        <w:rPr>
          <w:rFonts w:hint="eastAsia" w:ascii="仿宋" w:hAnsi="仿宋" w:eastAsia="仿宋" w:cs="仿宋"/>
          <w:i w:val="0"/>
          <w:iCs w:val="0"/>
          <w:caps w:val="0"/>
          <w:color w:val="auto"/>
          <w:spacing w:val="0"/>
          <w:sz w:val="32"/>
          <w:szCs w:val="32"/>
          <w:highlight w:val="none"/>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lang w:val="en-US" w:eastAsia="zh-CN"/>
        </w:rPr>
        <w:t>3、</w:t>
      </w:r>
      <w:r>
        <w:rPr>
          <w:rFonts w:hint="eastAsia" w:ascii="仿宋" w:hAnsi="仿宋" w:eastAsia="仿宋" w:cs="仿宋"/>
          <w:i w:val="0"/>
          <w:iCs w:val="0"/>
          <w:caps w:val="0"/>
          <w:color w:val="auto"/>
          <w:spacing w:val="0"/>
          <w:sz w:val="32"/>
          <w:szCs w:val="32"/>
          <w:highlight w:val="none"/>
        </w:rPr>
        <w:t>公务用车购置费及运行维护费支出预算为0万元，支出决算为0万元，决算数与年初预算数持平</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lang w:val="en-US" w:eastAsia="zh-CN"/>
        </w:rPr>
        <w:t>主要原因是厉行节约，减少开支</w:t>
      </w:r>
      <w:r>
        <w:rPr>
          <w:rFonts w:hint="eastAsia" w:ascii="仿宋" w:hAnsi="仿宋" w:eastAsia="仿宋" w:cs="仿宋"/>
          <w:i w:val="0"/>
          <w:iCs w:val="0"/>
          <w:caps w:val="0"/>
          <w:color w:val="auto"/>
          <w:spacing w:val="0"/>
          <w:sz w:val="32"/>
          <w:szCs w:val="32"/>
          <w:highlight w:val="none"/>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bCs/>
          <w:color w:val="auto"/>
          <w:kern w:val="0"/>
          <w:sz w:val="32"/>
          <w:szCs w:val="32"/>
          <w:highlight w:val="none"/>
          <w:u w:val="none"/>
          <w:shd w:val="clear" w:color="auto" w:fill="FFFFFF"/>
          <w:lang w:eastAsia="zh-CN" w:bidi="ar"/>
        </w:rPr>
      </w:pPr>
      <w:r>
        <w:rPr>
          <w:rFonts w:hint="eastAsia" w:ascii="仿宋" w:hAnsi="仿宋" w:eastAsia="仿宋" w:cs="仿宋"/>
          <w:b/>
          <w:bCs/>
          <w:color w:val="auto"/>
          <w:kern w:val="0"/>
          <w:sz w:val="32"/>
          <w:szCs w:val="32"/>
          <w:highlight w:val="none"/>
          <w:u w:val="none"/>
          <w:shd w:val="clear" w:color="auto" w:fill="FFFFFF"/>
          <w:lang w:bidi="ar"/>
        </w:rPr>
        <w:t>（二）“三公”经费财政拨款支出决算具体情况说明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rPr>
        <w:t>1、因公出国（境）费支出决算为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万元，全年安排因公出国（境）团组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个，累计</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rPr>
        <w:t>2、公务接待费支出决算为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万元，全年共接待来访团组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个、来宾</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 w:hAnsi="仿宋" w:eastAsia="仿宋" w:cs="仿宋"/>
          <w:color w:val="auto"/>
          <w:kern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shd w:val="clear" w:color="auto" w:fill="FFFFFF"/>
        </w:rPr>
        <w:t>3、公务用车购置费及运行维护费支出决算为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万元，其中：公务用车购置费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辆。公务用车运行维护费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万元，截止202</w:t>
      </w:r>
      <w:r>
        <w:rPr>
          <w:rFonts w:hint="eastAsia" w:ascii="仿宋" w:hAnsi="仿宋" w:eastAsia="仿宋" w:cs="仿宋"/>
          <w:i w:val="0"/>
          <w:iCs w:val="0"/>
          <w:caps w:val="0"/>
          <w:color w:val="auto"/>
          <w:spacing w:val="0"/>
          <w:sz w:val="32"/>
          <w:szCs w:val="32"/>
          <w:highlight w:val="none"/>
          <w:shd w:val="clear" w:color="auto" w:fill="FFFFFF"/>
          <w:lang w:val="en-US" w:eastAsia="zh-CN"/>
        </w:rPr>
        <w:t>1</w:t>
      </w:r>
      <w:r>
        <w:rPr>
          <w:rFonts w:hint="eastAsia" w:ascii="仿宋" w:hAnsi="仿宋" w:eastAsia="仿宋" w:cs="仿宋"/>
          <w:i w:val="0"/>
          <w:iCs w:val="0"/>
          <w:caps w:val="0"/>
          <w:color w:val="auto"/>
          <w:spacing w:val="0"/>
          <w:sz w:val="32"/>
          <w:szCs w:val="32"/>
          <w:highlight w:val="none"/>
          <w:shd w:val="clear" w:color="auto" w:fill="FFFFFF"/>
        </w:rPr>
        <w:t>年12月31日，我单位开支财政拨款的公务用车保有量为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color w:val="auto"/>
          <w:sz w:val="32"/>
          <w:szCs w:val="32"/>
        </w:rPr>
      </w:pPr>
      <w:r>
        <w:rPr>
          <w:rFonts w:hint="eastAsia" w:ascii="黑体" w:hAnsi="黑体" w:eastAsia="黑体" w:cs="黑体"/>
          <w:b w:val="0"/>
          <w:bCs/>
          <w:color w:val="auto"/>
          <w:sz w:val="32"/>
          <w:szCs w:val="32"/>
        </w:rPr>
        <w:t>八、政府性基金预算收入支出决算情况</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本单位无政府性基金收支</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color w:val="auto"/>
          <w:sz w:val="32"/>
          <w:szCs w:val="32"/>
          <w:lang w:val="en-US" w:eastAsia="zh-CN"/>
        </w:rPr>
      </w:pPr>
      <w:r>
        <w:rPr>
          <w:rFonts w:hint="eastAsia" w:ascii="黑体" w:hAnsi="黑体" w:eastAsia="黑体" w:cs="黑体"/>
          <w:b w:val="0"/>
          <w:bCs/>
          <w:color w:val="auto"/>
          <w:sz w:val="32"/>
          <w:szCs w:val="32"/>
          <w:lang w:val="en-US" w:eastAsia="zh-CN"/>
        </w:rPr>
        <w:t>九、国有资本经营预算财政拨款支出</w:t>
      </w:r>
      <w:r>
        <w:rPr>
          <w:rFonts w:hint="eastAsia" w:ascii="黑体" w:hAnsi="黑体" w:eastAsia="黑体" w:cs="黑体"/>
          <w:b w:val="0"/>
          <w:bCs/>
          <w:color w:val="auto"/>
          <w:sz w:val="32"/>
          <w:szCs w:val="32"/>
        </w:rPr>
        <w:t>决算情况</w:t>
      </w:r>
      <w:r>
        <w:rPr>
          <w:rFonts w:hint="eastAsia" w:ascii="黑体" w:hAnsi="黑体" w:eastAsia="黑体" w:cs="黑体"/>
          <w:b w:val="0"/>
          <w:bCs/>
          <w:color w:val="auto"/>
          <w:sz w:val="32"/>
          <w:szCs w:val="32"/>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lang w:val="en-US" w:eastAsia="zh-CN"/>
        </w:rPr>
      </w:pPr>
      <w:r>
        <w:rPr>
          <w:rFonts w:hint="eastAsia" w:ascii="仿宋" w:hAnsi="仿宋" w:eastAsia="仿宋" w:cs="仿宋"/>
          <w:color w:val="auto"/>
          <w:sz w:val="32"/>
          <w:szCs w:val="32"/>
        </w:rPr>
        <w:t>本单位无</w:t>
      </w:r>
      <w:r>
        <w:rPr>
          <w:rFonts w:hint="eastAsia" w:ascii="仿宋" w:hAnsi="仿宋" w:eastAsia="仿宋" w:cs="仿宋"/>
          <w:color w:val="auto"/>
          <w:sz w:val="32"/>
          <w:szCs w:val="32"/>
          <w:lang w:val="en-US" w:eastAsia="zh-CN"/>
        </w:rPr>
        <w:t>国有资本经营预算财政拨款支出</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lang w:eastAsia="zh-CN"/>
        </w:rPr>
        <w:t>十</w:t>
      </w:r>
      <w:r>
        <w:rPr>
          <w:rFonts w:hint="eastAsia" w:ascii="黑体" w:hAnsi="黑体" w:eastAsia="黑体" w:cs="黑体"/>
          <w:b w:val="0"/>
          <w:bCs/>
          <w:color w:val="auto"/>
          <w:sz w:val="32"/>
          <w:szCs w:val="32"/>
        </w:rPr>
        <w:t>、</w:t>
      </w:r>
      <w:r>
        <w:rPr>
          <w:rFonts w:hint="eastAsia" w:ascii="黑体" w:hAnsi="黑体" w:eastAsia="黑体" w:cs="黑体"/>
          <w:b w:val="0"/>
          <w:bCs/>
          <w:color w:val="auto"/>
          <w:sz w:val="32"/>
          <w:szCs w:val="32"/>
          <w:lang w:eastAsia="zh-CN"/>
        </w:rPr>
        <w:t>关于</w:t>
      </w:r>
      <w:r>
        <w:rPr>
          <w:rFonts w:hint="eastAsia" w:ascii="黑体" w:hAnsi="黑体" w:eastAsia="黑体" w:cs="黑体"/>
          <w:b w:val="0"/>
          <w:bCs/>
          <w:color w:val="auto"/>
          <w:sz w:val="32"/>
          <w:szCs w:val="32"/>
        </w:rPr>
        <w:t>机关运行经费支出说明</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本部门属非参公事业单位。</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、一般性支出情况说明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2021年本部门开支会议费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万元；开支培训费</w:t>
      </w:r>
      <w:r>
        <w:rPr>
          <w:rFonts w:hint="eastAsia" w:ascii="仿宋" w:hAnsi="仿宋" w:eastAsia="仿宋" w:cs="仿宋"/>
          <w:color w:val="auto"/>
          <w:sz w:val="32"/>
          <w:szCs w:val="32"/>
          <w:lang w:val="en-US" w:eastAsia="zh-CN"/>
        </w:rPr>
        <w:t>0.37</w:t>
      </w:r>
      <w:r>
        <w:rPr>
          <w:rFonts w:hint="eastAsia" w:ascii="仿宋" w:hAnsi="仿宋" w:eastAsia="仿宋" w:cs="仿宋"/>
          <w:color w:val="auto"/>
          <w:sz w:val="32"/>
          <w:szCs w:val="32"/>
        </w:rPr>
        <w:t>万元，用于开展</w:t>
      </w:r>
      <w:r>
        <w:rPr>
          <w:rFonts w:hint="eastAsia" w:ascii="仿宋" w:hAnsi="仿宋" w:eastAsia="仿宋" w:cs="仿宋"/>
          <w:color w:val="auto"/>
          <w:sz w:val="32"/>
          <w:szCs w:val="32"/>
          <w:lang w:val="en-US" w:eastAsia="zh-CN"/>
        </w:rPr>
        <w:t>线下研修</w:t>
      </w:r>
      <w:r>
        <w:rPr>
          <w:rFonts w:hint="eastAsia" w:ascii="仿宋" w:hAnsi="仿宋" w:eastAsia="仿宋" w:cs="仿宋"/>
          <w:color w:val="auto"/>
          <w:sz w:val="32"/>
          <w:szCs w:val="32"/>
        </w:rPr>
        <w:t>培训，人数</w:t>
      </w:r>
      <w:r>
        <w:rPr>
          <w:rFonts w:hint="eastAsia" w:ascii="仿宋" w:hAnsi="仿宋" w:eastAsia="仿宋" w:cs="仿宋"/>
          <w:color w:val="auto"/>
          <w:sz w:val="32"/>
          <w:szCs w:val="32"/>
          <w:lang w:val="en-US" w:eastAsia="zh-CN"/>
        </w:rPr>
        <w:t>50</w:t>
      </w:r>
      <w:r>
        <w:rPr>
          <w:rFonts w:hint="eastAsia" w:ascii="仿宋" w:hAnsi="仿宋" w:eastAsia="仿宋" w:cs="仿宋"/>
          <w:color w:val="auto"/>
          <w:sz w:val="32"/>
          <w:szCs w:val="32"/>
        </w:rPr>
        <w:t>人，内容为</w:t>
      </w:r>
      <w:r>
        <w:rPr>
          <w:rFonts w:hint="eastAsia" w:ascii="仿宋" w:hAnsi="仿宋" w:eastAsia="仿宋" w:cs="仿宋"/>
          <w:color w:val="auto"/>
          <w:sz w:val="32"/>
          <w:szCs w:val="32"/>
          <w:lang w:val="en-US" w:eastAsia="zh-CN"/>
        </w:rPr>
        <w:t>名校长工作室线下研修培训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未</w:t>
      </w:r>
      <w:r>
        <w:rPr>
          <w:rFonts w:hint="eastAsia" w:ascii="仿宋" w:hAnsi="仿宋" w:eastAsia="仿宋" w:cs="仿宋"/>
          <w:color w:val="auto"/>
          <w:sz w:val="32"/>
          <w:szCs w:val="32"/>
        </w:rPr>
        <w:t>举办节庆、晚会、论坛、赛事活动</w:t>
      </w:r>
      <w:r>
        <w:rPr>
          <w:rFonts w:hint="eastAsia" w:ascii="仿宋" w:hAnsi="仿宋" w:eastAsia="仿宋" w:cs="仿宋"/>
          <w:color w:val="auto"/>
          <w:sz w:val="32"/>
          <w:szCs w:val="32"/>
          <w:lang w:eastAsia="zh-CN"/>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二</w:t>
      </w:r>
      <w:r>
        <w:rPr>
          <w:rFonts w:hint="eastAsia" w:ascii="黑体" w:hAnsi="黑体" w:eastAsia="黑体" w:cs="黑体"/>
          <w:b w:val="0"/>
          <w:bCs/>
          <w:color w:val="auto"/>
          <w:sz w:val="32"/>
          <w:szCs w:val="32"/>
        </w:rPr>
        <w:t>、</w:t>
      </w:r>
      <w:r>
        <w:rPr>
          <w:rFonts w:hint="eastAsia" w:ascii="黑体" w:hAnsi="黑体" w:eastAsia="黑体" w:cs="黑体"/>
          <w:b w:val="0"/>
          <w:bCs/>
          <w:color w:val="auto"/>
          <w:sz w:val="32"/>
          <w:szCs w:val="32"/>
          <w:lang w:eastAsia="zh-CN"/>
        </w:rPr>
        <w:t>关于</w:t>
      </w:r>
      <w:r>
        <w:rPr>
          <w:rFonts w:hint="eastAsia" w:ascii="黑体" w:hAnsi="黑体" w:eastAsia="黑体" w:cs="黑体"/>
          <w:b w:val="0"/>
          <w:bCs/>
          <w:color w:val="auto"/>
          <w:sz w:val="32"/>
          <w:szCs w:val="32"/>
        </w:rPr>
        <w:t>政府采购支出说明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本部门2021年度政府采购支出总额</w:t>
      </w:r>
      <w:r>
        <w:rPr>
          <w:rFonts w:hint="eastAsia" w:ascii="仿宋" w:hAnsi="仿宋" w:eastAsia="仿宋" w:cs="仿宋"/>
          <w:color w:val="auto"/>
          <w:sz w:val="32"/>
          <w:szCs w:val="32"/>
          <w:lang w:val="en-US" w:eastAsia="zh-CN"/>
        </w:rPr>
        <w:t>338.98</w:t>
      </w:r>
      <w:r>
        <w:rPr>
          <w:rFonts w:hint="eastAsia" w:ascii="仿宋" w:hAnsi="仿宋" w:eastAsia="仿宋" w:cs="仿宋"/>
          <w:color w:val="auto"/>
          <w:sz w:val="32"/>
          <w:szCs w:val="32"/>
        </w:rPr>
        <w:t>万元，其中：政府采购货物支出</w:t>
      </w:r>
      <w:r>
        <w:rPr>
          <w:rFonts w:hint="eastAsia" w:ascii="仿宋" w:hAnsi="仿宋" w:eastAsia="仿宋" w:cs="仿宋"/>
          <w:color w:val="auto"/>
          <w:sz w:val="32"/>
          <w:szCs w:val="32"/>
          <w:lang w:val="en-US" w:eastAsia="zh-CN"/>
        </w:rPr>
        <w:t>194.64</w:t>
      </w:r>
      <w:r>
        <w:rPr>
          <w:rFonts w:hint="eastAsia" w:ascii="仿宋" w:hAnsi="仿宋" w:eastAsia="仿宋" w:cs="仿宋"/>
          <w:color w:val="auto"/>
          <w:sz w:val="32"/>
          <w:szCs w:val="32"/>
        </w:rPr>
        <w:t>万元、政府采购工程支出</w:t>
      </w:r>
      <w:r>
        <w:rPr>
          <w:rFonts w:hint="eastAsia" w:ascii="仿宋" w:hAnsi="仿宋" w:eastAsia="仿宋" w:cs="仿宋"/>
          <w:color w:val="auto"/>
          <w:sz w:val="32"/>
          <w:szCs w:val="32"/>
          <w:lang w:val="en-US" w:eastAsia="zh-CN"/>
        </w:rPr>
        <w:t>144.34</w:t>
      </w:r>
      <w:r>
        <w:rPr>
          <w:rFonts w:hint="eastAsia" w:ascii="仿宋" w:hAnsi="仿宋" w:eastAsia="仿宋" w:cs="仿宋"/>
          <w:color w:val="auto"/>
          <w:sz w:val="32"/>
          <w:szCs w:val="32"/>
        </w:rPr>
        <w:t>万元、政府采购服务支出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万元。授予中小企业合同金额0万元，</w:t>
      </w:r>
      <w:r>
        <w:rPr>
          <w:rFonts w:hint="eastAsia" w:ascii="仿宋" w:hAnsi="仿宋" w:eastAsia="仿宋" w:cs="仿宋"/>
          <w:color w:val="auto"/>
          <w:sz w:val="32"/>
          <w:szCs w:val="32"/>
          <w:lang w:val="en-US" w:eastAsia="zh-CN"/>
        </w:rPr>
        <w:t>占</w:t>
      </w:r>
      <w:r>
        <w:rPr>
          <w:rFonts w:hint="eastAsia" w:ascii="仿宋" w:hAnsi="仿宋" w:eastAsia="仿宋" w:cs="仿宋"/>
          <w:color w:val="auto"/>
          <w:sz w:val="32"/>
          <w:szCs w:val="32"/>
        </w:rPr>
        <w:t>政府采购支出总额</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其中：授予小微企业合同金额0万元</w:t>
      </w:r>
      <w:r>
        <w:rPr>
          <w:rFonts w:hint="eastAsia" w:ascii="仿宋" w:hAnsi="仿宋" w:eastAsia="仿宋" w:cs="仿宋"/>
          <w:color w:val="auto"/>
          <w:sz w:val="32"/>
          <w:szCs w:val="32"/>
          <w:lang w:eastAsia="zh-CN"/>
        </w:rPr>
        <w:t>，</w:t>
      </w:r>
      <w:bookmarkStart w:id="1" w:name="_GoBack"/>
      <w:bookmarkEnd w:id="1"/>
      <w:r>
        <w:rPr>
          <w:rFonts w:hint="eastAsia" w:ascii="仿宋" w:hAnsi="仿宋" w:eastAsia="仿宋" w:cs="仿宋"/>
          <w:color w:val="auto"/>
          <w:sz w:val="32"/>
          <w:szCs w:val="32"/>
          <w:lang w:val="en-US" w:eastAsia="zh-CN"/>
        </w:rPr>
        <w:t>占</w:t>
      </w:r>
      <w:r>
        <w:rPr>
          <w:rFonts w:hint="eastAsia" w:ascii="仿宋" w:hAnsi="仿宋" w:eastAsia="仿宋" w:cs="仿宋"/>
          <w:color w:val="auto"/>
          <w:sz w:val="32"/>
          <w:szCs w:val="32"/>
        </w:rPr>
        <w:t>政府采购支出总额</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黑体" w:hAnsi="黑体" w:eastAsia="黑体" w:cs="黑体"/>
          <w:b/>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三</w:t>
      </w:r>
      <w:r>
        <w:rPr>
          <w:rFonts w:hint="eastAsia" w:ascii="黑体" w:hAnsi="黑体" w:eastAsia="黑体" w:cs="黑体"/>
          <w:b w:val="0"/>
          <w:bCs/>
          <w:color w:val="auto"/>
          <w:sz w:val="32"/>
          <w:szCs w:val="32"/>
        </w:rPr>
        <w:t>、</w:t>
      </w:r>
      <w:r>
        <w:rPr>
          <w:rFonts w:hint="eastAsia" w:ascii="黑体" w:hAnsi="黑体" w:eastAsia="黑体" w:cs="黑体"/>
          <w:b w:val="0"/>
          <w:bCs/>
          <w:color w:val="auto"/>
          <w:sz w:val="32"/>
          <w:szCs w:val="32"/>
          <w:lang w:eastAsia="zh-CN"/>
        </w:rPr>
        <w:t>关于</w:t>
      </w:r>
      <w:r>
        <w:rPr>
          <w:rFonts w:hint="eastAsia" w:ascii="黑体" w:hAnsi="黑体" w:eastAsia="黑体" w:cs="黑体"/>
          <w:b w:val="0"/>
          <w:bCs/>
          <w:color w:val="auto"/>
          <w:sz w:val="32"/>
          <w:szCs w:val="32"/>
        </w:rPr>
        <w:t>国有资产占用情况说明</w:t>
      </w:r>
    </w:p>
    <w:p>
      <w:pPr>
        <w:pStyle w:val="10"/>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截至2021年12月31日，</w:t>
      </w:r>
      <w:r>
        <w:rPr>
          <w:rFonts w:hint="eastAsia" w:ascii="仿宋" w:hAnsi="仿宋" w:eastAsia="仿宋" w:cs="仿宋"/>
          <w:color w:val="auto"/>
          <w:sz w:val="32"/>
          <w:szCs w:val="32"/>
          <w:lang w:val="en-US" w:eastAsia="zh-CN"/>
        </w:rPr>
        <w:t>本</w:t>
      </w:r>
      <w:r>
        <w:rPr>
          <w:rFonts w:hint="eastAsia" w:ascii="仿宋" w:hAnsi="仿宋" w:eastAsia="仿宋" w:cs="仿宋"/>
          <w:color w:val="auto"/>
          <w:sz w:val="32"/>
          <w:szCs w:val="32"/>
        </w:rPr>
        <w:t>单位共有车辆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辆；单位价值50万元以上通用设备</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套；单位价值100万元以上专用设备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pPr>
        <w:pStyle w:val="10"/>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十</w:t>
      </w: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w:t>
      </w:r>
      <w:r>
        <w:rPr>
          <w:rFonts w:hint="eastAsia" w:ascii="黑体" w:hAnsi="黑体" w:eastAsia="黑体" w:cs="黑体"/>
          <w:b w:val="0"/>
          <w:bCs/>
          <w:color w:val="auto"/>
          <w:sz w:val="32"/>
          <w:szCs w:val="32"/>
          <w:lang w:eastAsia="zh-CN"/>
        </w:rPr>
        <w:t>关于</w:t>
      </w:r>
      <w:r>
        <w:rPr>
          <w:rFonts w:hint="eastAsia" w:ascii="黑体" w:hAnsi="黑体" w:eastAsia="黑体" w:cs="黑体"/>
          <w:b w:val="0"/>
          <w:bCs/>
          <w:color w:val="auto"/>
          <w:sz w:val="32"/>
          <w:szCs w:val="32"/>
        </w:rPr>
        <w:t>2021年度预算绩效情况</w:t>
      </w:r>
      <w:r>
        <w:rPr>
          <w:rFonts w:hint="eastAsia" w:ascii="黑体" w:hAnsi="黑体" w:eastAsia="黑体" w:cs="黑体"/>
          <w:b w:val="0"/>
          <w:bCs/>
          <w:color w:val="auto"/>
          <w:sz w:val="32"/>
          <w:szCs w:val="32"/>
          <w:lang w:eastAsia="zh-CN"/>
        </w:rPr>
        <w:t>的</w:t>
      </w:r>
      <w:r>
        <w:rPr>
          <w:rFonts w:hint="eastAsia" w:ascii="黑体" w:hAnsi="黑体" w:eastAsia="黑体" w:cs="黑体"/>
          <w:b w:val="0"/>
          <w:bCs/>
          <w:color w:val="auto"/>
          <w:sz w:val="32"/>
          <w:szCs w:val="32"/>
        </w:rPr>
        <w:t>说明</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b/>
          <w:color w:val="auto"/>
          <w:kern w:val="0"/>
          <w:sz w:val="32"/>
          <w:szCs w:val="32"/>
        </w:rPr>
        <w:t>（1）绩</w:t>
      </w:r>
      <w:r>
        <w:rPr>
          <w:rFonts w:hint="eastAsia" w:ascii="仿宋" w:hAnsi="仿宋" w:eastAsia="仿宋" w:cs="仿宋"/>
          <w:b/>
          <w:bCs w:val="0"/>
          <w:color w:val="auto"/>
          <w:kern w:val="0"/>
          <w:sz w:val="32"/>
          <w:szCs w:val="32"/>
        </w:rPr>
        <w:t>效管理评</w:t>
      </w:r>
      <w:r>
        <w:rPr>
          <w:rFonts w:hint="eastAsia" w:ascii="仿宋" w:hAnsi="仿宋" w:eastAsia="仿宋" w:cs="仿宋"/>
          <w:b/>
          <w:color w:val="auto"/>
          <w:kern w:val="0"/>
          <w:sz w:val="32"/>
          <w:szCs w:val="32"/>
        </w:rPr>
        <w:t>价工作开展情况</w:t>
      </w:r>
      <w:r>
        <w:rPr>
          <w:rFonts w:hint="eastAsia" w:ascii="仿宋" w:hAnsi="仿宋" w:eastAsia="仿宋" w:cs="仿宋"/>
          <w:color w:val="auto"/>
          <w:kern w:val="0"/>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根据预算绩效管理要求，我部门组织对2021年度一般公共预算项目支出全面开展绩效自评，其中，一级项目</w:t>
      </w:r>
      <w:r>
        <w:rPr>
          <w:rFonts w:hint="eastAsia" w:ascii="仿宋" w:hAnsi="仿宋" w:eastAsia="仿宋" w:cs="仿宋"/>
          <w:color w:val="auto"/>
          <w:kern w:val="0"/>
          <w:sz w:val="32"/>
          <w:szCs w:val="32"/>
          <w:lang w:val="en-US" w:eastAsia="zh-CN"/>
        </w:rPr>
        <w:t>10</w:t>
      </w:r>
      <w:r>
        <w:rPr>
          <w:rFonts w:hint="eastAsia" w:ascii="仿宋" w:hAnsi="仿宋" w:eastAsia="仿宋" w:cs="仿宋"/>
          <w:color w:val="auto"/>
          <w:kern w:val="0"/>
          <w:sz w:val="32"/>
          <w:szCs w:val="32"/>
        </w:rPr>
        <w:t>个，共涉及资金</w:t>
      </w:r>
      <w:r>
        <w:rPr>
          <w:rFonts w:hint="eastAsia" w:ascii="仿宋" w:hAnsi="仿宋" w:eastAsia="仿宋" w:cs="仿宋"/>
          <w:color w:val="auto"/>
          <w:kern w:val="0"/>
          <w:sz w:val="32"/>
          <w:szCs w:val="32"/>
          <w:lang w:val="en-US" w:eastAsia="zh-CN"/>
        </w:rPr>
        <w:t>497.6</w:t>
      </w:r>
      <w:r>
        <w:rPr>
          <w:rFonts w:hint="eastAsia" w:ascii="仿宋" w:hAnsi="仿宋" w:eastAsia="仿宋" w:cs="仿宋"/>
          <w:color w:val="auto"/>
          <w:kern w:val="0"/>
          <w:sz w:val="32"/>
          <w:szCs w:val="32"/>
        </w:rPr>
        <w:t>万元，占一般公共预算项目支出总额的</w:t>
      </w:r>
      <w:r>
        <w:rPr>
          <w:rFonts w:hint="eastAsia" w:ascii="仿宋" w:hAnsi="仿宋" w:eastAsia="仿宋" w:cs="仿宋"/>
          <w:color w:val="auto"/>
          <w:kern w:val="0"/>
          <w:sz w:val="32"/>
          <w:szCs w:val="32"/>
          <w:lang w:val="en-US" w:eastAsia="zh-CN"/>
        </w:rPr>
        <w:t>59.34</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本单位</w:t>
      </w:r>
      <w:r>
        <w:rPr>
          <w:rFonts w:hint="eastAsia" w:ascii="仿宋" w:hAnsi="仿宋" w:eastAsia="仿宋" w:cs="仿宋"/>
          <w:color w:val="auto"/>
          <w:kern w:val="0"/>
          <w:sz w:val="32"/>
          <w:szCs w:val="32"/>
        </w:rPr>
        <w:t>2021年度</w:t>
      </w:r>
      <w:r>
        <w:rPr>
          <w:rFonts w:hint="eastAsia" w:ascii="仿宋" w:hAnsi="仿宋" w:eastAsia="仿宋" w:cs="仿宋"/>
          <w:color w:val="auto"/>
          <w:kern w:val="0"/>
          <w:sz w:val="32"/>
          <w:szCs w:val="32"/>
          <w:lang w:val="en-US" w:eastAsia="zh-CN"/>
        </w:rPr>
        <w:t>无</w:t>
      </w:r>
      <w:r>
        <w:rPr>
          <w:rFonts w:hint="eastAsia" w:ascii="仿宋" w:hAnsi="仿宋" w:eastAsia="仿宋" w:cs="仿宋"/>
          <w:color w:val="auto"/>
          <w:kern w:val="0"/>
          <w:sz w:val="32"/>
          <w:szCs w:val="32"/>
        </w:rPr>
        <w:t>政府性基金预算项目支出，</w:t>
      </w:r>
      <w:r>
        <w:rPr>
          <w:rFonts w:hint="eastAsia" w:ascii="仿宋" w:hAnsi="仿宋" w:eastAsia="仿宋" w:cs="仿宋"/>
          <w:color w:val="auto"/>
          <w:kern w:val="0"/>
          <w:sz w:val="32"/>
          <w:szCs w:val="32"/>
          <w:lang w:val="en-US" w:eastAsia="zh-CN"/>
        </w:rPr>
        <w:t>无</w:t>
      </w:r>
      <w:r>
        <w:rPr>
          <w:rFonts w:hint="eastAsia" w:ascii="仿宋" w:hAnsi="仿宋" w:eastAsia="仿宋" w:cs="仿宋"/>
          <w:color w:val="auto"/>
          <w:kern w:val="0"/>
          <w:sz w:val="32"/>
          <w:szCs w:val="32"/>
        </w:rPr>
        <w:t>国有资本经营预算项目支出。</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组织对“</w:t>
      </w:r>
      <w:r>
        <w:rPr>
          <w:rFonts w:hint="eastAsia" w:ascii="仿宋" w:hAnsi="仿宋" w:eastAsia="仿宋" w:cs="仿宋"/>
          <w:color w:val="auto"/>
          <w:kern w:val="0"/>
          <w:sz w:val="32"/>
          <w:szCs w:val="32"/>
          <w:lang w:val="en-US" w:eastAsia="zh-CN"/>
        </w:rPr>
        <w:t>名师名校长工作室</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足球场改造</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“扩班教学设备配置”“本校区厕所维修”“食堂搬迁改建”“安全防护建设资金”“校园足球”“报告厅建设”“西校区设施设备及维修改造”“2020年化解大班额”</w:t>
      </w:r>
      <w:r>
        <w:rPr>
          <w:rFonts w:hint="eastAsia" w:ascii="仿宋" w:hAnsi="仿宋" w:eastAsia="仿宋" w:cs="仿宋"/>
          <w:color w:val="auto"/>
          <w:kern w:val="0"/>
          <w:sz w:val="32"/>
          <w:szCs w:val="32"/>
        </w:rPr>
        <w:t>等</w:t>
      </w:r>
      <w:r>
        <w:rPr>
          <w:rFonts w:hint="eastAsia" w:ascii="仿宋" w:hAnsi="仿宋" w:eastAsia="仿宋" w:cs="仿宋"/>
          <w:color w:val="auto"/>
          <w:kern w:val="0"/>
          <w:sz w:val="32"/>
          <w:szCs w:val="32"/>
          <w:lang w:val="en-US" w:eastAsia="zh-CN"/>
        </w:rPr>
        <w:t>10</w:t>
      </w:r>
      <w:r>
        <w:rPr>
          <w:rFonts w:hint="eastAsia" w:ascii="仿宋" w:hAnsi="仿宋" w:eastAsia="仿宋" w:cs="仿宋"/>
          <w:color w:val="auto"/>
          <w:kern w:val="0"/>
          <w:sz w:val="32"/>
          <w:szCs w:val="32"/>
        </w:rPr>
        <w:t>个项目开展了部门评价，涉及一般公共预算支出</w:t>
      </w:r>
      <w:r>
        <w:rPr>
          <w:rFonts w:hint="eastAsia" w:ascii="仿宋" w:hAnsi="仿宋" w:eastAsia="仿宋" w:cs="仿宋"/>
          <w:color w:val="auto"/>
          <w:kern w:val="0"/>
          <w:sz w:val="32"/>
          <w:szCs w:val="32"/>
          <w:lang w:val="en-US" w:eastAsia="zh-CN"/>
        </w:rPr>
        <w:t>497.6</w:t>
      </w:r>
      <w:r>
        <w:rPr>
          <w:rFonts w:hint="eastAsia" w:ascii="仿宋" w:hAnsi="仿宋" w:eastAsia="仿宋" w:cs="仿宋"/>
          <w:color w:val="auto"/>
          <w:kern w:val="0"/>
          <w:sz w:val="32"/>
          <w:szCs w:val="32"/>
        </w:rPr>
        <w:t>万元，政府性基金预算支出</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万元，国有资本经营预算支出</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万元。从评价情况来看，</w:t>
      </w:r>
      <w:r>
        <w:rPr>
          <w:rFonts w:hint="eastAsia" w:ascii="仿宋" w:hAnsi="仿宋" w:eastAsia="仿宋" w:cs="仿宋"/>
          <w:color w:val="auto"/>
          <w:kern w:val="0"/>
          <w:sz w:val="32"/>
          <w:szCs w:val="32"/>
          <w:lang w:val="en-US" w:eastAsia="zh-CN"/>
        </w:rPr>
        <w:t>项目管理落实到位，发挥了项目资金的作用，办学条件得到了改善，使广大师生更加能全身心投入学习工作之中。</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组织对“</w:t>
      </w:r>
      <w:r>
        <w:rPr>
          <w:rFonts w:hint="eastAsia" w:ascii="仿宋" w:hAnsi="仿宋" w:eastAsia="仿宋" w:cs="仿宋"/>
          <w:color w:val="auto"/>
          <w:kern w:val="0"/>
          <w:sz w:val="32"/>
          <w:szCs w:val="32"/>
          <w:lang w:val="en-US" w:eastAsia="zh-CN"/>
        </w:rPr>
        <w:t>怀化市宏宇小学</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本</w:t>
      </w:r>
      <w:r>
        <w:rPr>
          <w:rFonts w:hint="eastAsia" w:ascii="仿宋" w:hAnsi="仿宋" w:eastAsia="仿宋" w:cs="仿宋"/>
          <w:color w:val="auto"/>
          <w:kern w:val="0"/>
          <w:sz w:val="32"/>
          <w:szCs w:val="32"/>
        </w:rPr>
        <w:t>单位开展整体支出绩效评价，涉及一般公共预算支出</w:t>
      </w:r>
      <w:r>
        <w:rPr>
          <w:rFonts w:hint="eastAsia" w:ascii="仿宋" w:hAnsi="仿宋" w:eastAsia="仿宋" w:cs="仿宋"/>
          <w:color w:val="auto"/>
          <w:kern w:val="0"/>
          <w:sz w:val="32"/>
          <w:szCs w:val="32"/>
          <w:lang w:val="en-US" w:eastAsia="zh-CN"/>
        </w:rPr>
        <w:t>4055.44</w:t>
      </w:r>
      <w:r>
        <w:rPr>
          <w:rFonts w:hint="eastAsia" w:ascii="仿宋" w:hAnsi="仿宋" w:eastAsia="仿宋" w:cs="仿宋"/>
          <w:color w:val="auto"/>
          <w:kern w:val="0"/>
          <w:sz w:val="32"/>
          <w:szCs w:val="32"/>
        </w:rPr>
        <w:t>万元，政府性基金预算支出</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万元。从评价情况来看，</w:t>
      </w:r>
      <w:r>
        <w:rPr>
          <w:rFonts w:hint="eastAsia" w:ascii="仿宋" w:hAnsi="仿宋" w:eastAsia="仿宋" w:cs="仿宋"/>
          <w:color w:val="auto"/>
          <w:sz w:val="32"/>
          <w:szCs w:val="32"/>
        </w:rPr>
        <w:t>资金使用合规合法</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与各项工作执行进度相结合，保障资金使用高效益，达到预期绩效目标</w:t>
      </w:r>
      <w:r>
        <w:rPr>
          <w:rFonts w:hint="eastAsia" w:ascii="仿宋" w:hAnsi="仿宋" w:eastAsia="仿宋" w:cs="仿宋"/>
          <w:color w:val="auto"/>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（2）部门决算中项目绩效自评结果。</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名师名校长工作室</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万元，完成预算的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val="en-US" w:eastAsia="zh-CN"/>
        </w:rPr>
        <w:t>已开展2次名校长工作室培训，培训结果良好</w:t>
      </w:r>
      <w:r>
        <w:rPr>
          <w:rFonts w:hint="eastAsia" w:ascii="仿宋" w:hAnsi="仿宋" w:eastAsia="仿宋" w:cs="仿宋"/>
          <w:color w:val="auto"/>
          <w:kern w:val="0"/>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足球场改造</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58.83</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58.83</w:t>
      </w:r>
      <w:r>
        <w:rPr>
          <w:rFonts w:hint="eastAsia" w:ascii="仿宋" w:hAnsi="仿宋" w:eastAsia="仿宋" w:cs="仿宋"/>
          <w:color w:val="auto"/>
          <w:kern w:val="0"/>
          <w:sz w:val="32"/>
          <w:szCs w:val="32"/>
        </w:rPr>
        <w:t>万元，完成预算的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已完成足球场改造前期工作，开始进行足球场改造</w:t>
      </w:r>
      <w:r>
        <w:rPr>
          <w:rFonts w:hint="eastAsia" w:ascii="仿宋" w:hAnsi="仿宋" w:eastAsia="仿宋" w:cs="仿宋"/>
          <w:color w:val="auto"/>
          <w:kern w:val="0"/>
          <w:sz w:val="32"/>
          <w:szCs w:val="32"/>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扩班教学设备配置</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30.16</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30.16</w:t>
      </w:r>
      <w:r>
        <w:rPr>
          <w:rFonts w:hint="eastAsia" w:ascii="仿宋" w:hAnsi="仿宋" w:eastAsia="仿宋" w:cs="仿宋"/>
          <w:color w:val="auto"/>
          <w:kern w:val="0"/>
          <w:sz w:val="32"/>
          <w:szCs w:val="32"/>
        </w:rPr>
        <w:t>万元，完成预算的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已完成一体机、课桌椅等教学设备的采购并已投入使用。</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本校区厕所维修</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38.04</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38.04</w:t>
      </w:r>
      <w:r>
        <w:rPr>
          <w:rFonts w:hint="eastAsia" w:ascii="仿宋" w:hAnsi="仿宋" w:eastAsia="仿宋" w:cs="仿宋"/>
          <w:color w:val="auto"/>
          <w:kern w:val="0"/>
          <w:sz w:val="32"/>
          <w:szCs w:val="32"/>
        </w:rPr>
        <w:t>万元，完成预算的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已完成本校区厕所维修，完善了学校的硬件设施。</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食堂搬迁改建</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20</w:t>
      </w:r>
      <w:r>
        <w:rPr>
          <w:rFonts w:hint="eastAsia" w:ascii="仿宋" w:hAnsi="仿宋" w:eastAsia="仿宋" w:cs="仿宋"/>
          <w:color w:val="auto"/>
          <w:kern w:val="0"/>
          <w:sz w:val="32"/>
          <w:szCs w:val="32"/>
        </w:rPr>
        <w:t>万元，完成预算的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已完成食堂搬迁改建，改善师生生活环境。</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val="en-US" w:eastAsia="zh-CN"/>
        </w:rPr>
        <w:t>安全防护建设资金</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已完成学校铁道旁吸音板购置安装，</w:t>
      </w:r>
      <w:r>
        <w:rPr>
          <w:rFonts w:hint="eastAsia" w:ascii="仿宋" w:hAnsi="仿宋" w:eastAsia="仿宋" w:cs="仿宋"/>
          <w:color w:val="auto"/>
          <w:kern w:val="0"/>
          <w:sz w:val="32"/>
          <w:szCs w:val="32"/>
        </w:rPr>
        <w:t>提升</w:t>
      </w:r>
      <w:r>
        <w:rPr>
          <w:rFonts w:hint="eastAsia" w:ascii="仿宋" w:hAnsi="仿宋" w:eastAsia="仿宋" w:cs="仿宋"/>
          <w:color w:val="auto"/>
          <w:kern w:val="0"/>
          <w:sz w:val="32"/>
          <w:szCs w:val="32"/>
          <w:lang w:eastAsia="zh-CN"/>
        </w:rPr>
        <w:t>教育教学</w:t>
      </w:r>
      <w:r>
        <w:rPr>
          <w:rFonts w:hint="eastAsia" w:ascii="仿宋" w:hAnsi="仿宋" w:eastAsia="仿宋" w:cs="仿宋"/>
          <w:color w:val="auto"/>
          <w:kern w:val="0"/>
          <w:sz w:val="32"/>
          <w:szCs w:val="32"/>
        </w:rPr>
        <w:t>质量</w:t>
      </w:r>
      <w:r>
        <w:rPr>
          <w:rFonts w:hint="eastAsia" w:ascii="仿宋" w:hAnsi="仿宋" w:eastAsia="仿宋" w:cs="仿宋"/>
          <w:color w:val="auto"/>
          <w:ker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校园足球</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43</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43</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已开始进行风雨足球场建设。</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报告厅建设</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79.75</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79.75</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已完成报告厅空调尾款支付，各项质保金支付。</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西校区设施设备及维修改造</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103.72</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103.72</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已完成完成西校区设备采购及宿舍楼改造。</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rPr>
        <w:t>2020年化解大班额</w:t>
      </w:r>
      <w:r>
        <w:rPr>
          <w:rFonts w:hint="eastAsia" w:ascii="仿宋" w:hAnsi="仿宋" w:eastAsia="仿宋" w:cs="仿宋"/>
          <w:color w:val="auto"/>
          <w:kern w:val="0"/>
          <w:sz w:val="32"/>
          <w:szCs w:val="32"/>
        </w:rPr>
        <w:t>项目绩效自评综述：根据年初设定的绩效目标，项目绩效自评得分为</w:t>
      </w:r>
      <w:r>
        <w:rPr>
          <w:rFonts w:hint="eastAsia" w:ascii="仿宋" w:hAnsi="仿宋" w:eastAsia="仿宋" w:cs="仿宋"/>
          <w:color w:val="auto"/>
          <w:kern w:val="0"/>
          <w:sz w:val="32"/>
          <w:szCs w:val="32"/>
          <w:lang w:val="en-US" w:eastAsia="zh-CN"/>
        </w:rPr>
        <w:t>93</w:t>
      </w:r>
      <w:r>
        <w:rPr>
          <w:rFonts w:hint="eastAsia" w:ascii="仿宋" w:hAnsi="仿宋" w:eastAsia="仿宋" w:cs="仿宋"/>
          <w:color w:val="auto"/>
          <w:kern w:val="0"/>
          <w:sz w:val="32"/>
          <w:szCs w:val="32"/>
        </w:rPr>
        <w:t>分。项目全年预算数为</w:t>
      </w:r>
      <w:r>
        <w:rPr>
          <w:rFonts w:hint="eastAsia" w:ascii="仿宋" w:hAnsi="仿宋" w:eastAsia="仿宋" w:cs="仿宋"/>
          <w:color w:val="auto"/>
          <w:kern w:val="0"/>
          <w:sz w:val="32"/>
          <w:szCs w:val="32"/>
          <w:lang w:val="en-US" w:eastAsia="zh-CN"/>
        </w:rPr>
        <w:t>114.1</w:t>
      </w:r>
      <w:r>
        <w:rPr>
          <w:rFonts w:hint="eastAsia" w:ascii="仿宋" w:hAnsi="仿宋" w:eastAsia="仿宋" w:cs="仿宋"/>
          <w:color w:val="auto"/>
          <w:kern w:val="0"/>
          <w:sz w:val="32"/>
          <w:szCs w:val="32"/>
        </w:rPr>
        <w:t>万元，执行数为</w:t>
      </w:r>
      <w:r>
        <w:rPr>
          <w:rFonts w:hint="eastAsia" w:ascii="仿宋" w:hAnsi="仿宋" w:eastAsia="仿宋" w:cs="仿宋"/>
          <w:color w:val="auto"/>
          <w:kern w:val="0"/>
          <w:sz w:val="32"/>
          <w:szCs w:val="32"/>
          <w:lang w:val="en-US" w:eastAsia="zh-CN"/>
        </w:rPr>
        <w:t>114.1</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%。项目绩效目标完成情况</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已完成44套一体机的采购并投入使用，完善了师生教学环境。</w:t>
      </w: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ascii="黑体" w:eastAsia="黑体" w:cs="黑体"/>
          <w:color w:val="auto"/>
          <w:kern w:val="0"/>
          <w:sz w:val="44"/>
          <w:szCs w:val="44"/>
        </w:rPr>
      </w:pPr>
      <w:r>
        <w:rPr>
          <w:rFonts w:hint="eastAsia"/>
          <w:b/>
          <w:bCs/>
          <w:color w:val="auto"/>
          <w:sz w:val="44"/>
          <w:szCs w:val="44"/>
        </w:rPr>
        <w:t>第四部分</w:t>
      </w:r>
      <w:r>
        <w:rPr>
          <w:rFonts w:hint="eastAsia"/>
          <w:b/>
          <w:bCs/>
          <w:color w:val="auto"/>
          <w:sz w:val="44"/>
          <w:szCs w:val="44"/>
          <w:lang w:val="en-US" w:eastAsia="zh-CN"/>
        </w:rPr>
        <w:t xml:space="preserve"> </w:t>
      </w:r>
      <w:r>
        <w:rPr>
          <w:rFonts w:hint="eastAsia" w:ascii="黑体" w:eastAsia="黑体" w:cs="黑体"/>
          <w:b/>
          <w:bCs/>
          <w:color w:val="auto"/>
          <w:kern w:val="0"/>
          <w:sz w:val="44"/>
          <w:szCs w:val="44"/>
        </w:rPr>
        <w:t>名词解释</w:t>
      </w:r>
    </w:p>
    <w:p>
      <w:pPr>
        <w:keepNext w:val="0"/>
        <w:keepLines w:val="0"/>
        <w:pageBreakBefore w:val="0"/>
        <w:widowControl/>
        <w:kinsoku/>
        <w:wordWrap/>
        <w:overflowPunct/>
        <w:topLinePunct w:val="0"/>
        <w:bidi w:val="0"/>
        <w:snapToGrid/>
        <w:spacing w:line="600" w:lineRule="exact"/>
        <w:jc w:val="left"/>
        <w:textAlignment w:val="auto"/>
        <w:rPr>
          <w:rFonts w:cs="黑体" w:asciiTheme="minorEastAsia" w:hAnsiTheme="minorEastAsia"/>
          <w:color w:val="auto"/>
          <w:kern w:val="0"/>
          <w:sz w:val="32"/>
          <w:szCs w:val="32"/>
        </w:rPr>
      </w:pPr>
      <w:r>
        <w:rPr>
          <w:rFonts w:ascii="黑体" w:eastAsia="黑体" w:cs="黑体"/>
          <w:color w:val="auto"/>
          <w:kern w:val="0"/>
          <w:sz w:val="70"/>
          <w:szCs w:val="70"/>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lang w:val="en-US" w:eastAsia="zh-CN"/>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二、</w:t>
      </w:r>
      <w:r>
        <w:rPr>
          <w:rFonts w:hint="eastAsia" w:ascii="仿宋" w:hAnsi="仿宋" w:eastAsia="仿宋" w:cs="仿宋"/>
          <w:color w:val="auto"/>
          <w:sz w:val="32"/>
          <w:szCs w:val="32"/>
          <w:lang w:val="en-US"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keepNext w:val="0"/>
        <w:keepLines w:val="0"/>
        <w:pageBreakBefore w:val="0"/>
        <w:kinsoku/>
        <w:wordWrap/>
        <w:overflowPunct/>
        <w:topLinePunct w:val="0"/>
        <w:bidi w:val="0"/>
        <w:snapToGrid/>
        <w:spacing w:line="600" w:lineRule="exact"/>
        <w:jc w:val="both"/>
        <w:textAlignment w:val="auto"/>
        <w:rPr>
          <w:color w:val="auto"/>
          <w:sz w:val="72"/>
          <w:szCs w:val="72"/>
        </w:rPr>
      </w:pPr>
    </w:p>
    <w:p>
      <w:pPr>
        <w:pStyle w:val="10"/>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ascii="黑体" w:eastAsia="黑体" w:cs="黑体"/>
          <w:b/>
          <w:bCs/>
          <w:color w:val="auto"/>
          <w:kern w:val="0"/>
          <w:sz w:val="44"/>
          <w:szCs w:val="44"/>
        </w:rPr>
      </w:pPr>
      <w:r>
        <w:rPr>
          <w:rFonts w:hint="eastAsia"/>
          <w:b/>
          <w:bCs/>
          <w:color w:val="auto"/>
          <w:sz w:val="44"/>
          <w:szCs w:val="44"/>
        </w:rPr>
        <w:t>第五部分</w:t>
      </w:r>
      <w:r>
        <w:rPr>
          <w:rFonts w:hint="eastAsia"/>
          <w:b/>
          <w:bCs/>
          <w:color w:val="auto"/>
          <w:sz w:val="44"/>
          <w:szCs w:val="44"/>
          <w:lang w:val="en-US" w:eastAsia="zh-CN"/>
        </w:rPr>
        <w:t xml:space="preserve"> </w:t>
      </w:r>
      <w:r>
        <w:rPr>
          <w:rFonts w:hint="eastAsia" w:ascii="黑体" w:eastAsia="黑体" w:cs="黑体"/>
          <w:b/>
          <w:bCs/>
          <w:color w:val="auto"/>
          <w:kern w:val="0"/>
          <w:sz w:val="44"/>
          <w:szCs w:val="44"/>
        </w:rPr>
        <w:t>附件</w:t>
      </w:r>
    </w:p>
    <w:p>
      <w:pPr>
        <w:keepNext w:val="0"/>
        <w:keepLines w:val="0"/>
        <w:pageBreakBefore w:val="0"/>
        <w:widowControl/>
        <w:kinsoku/>
        <w:wordWrap/>
        <w:overflowPunct/>
        <w:topLinePunct w:val="0"/>
        <w:bidi w:val="0"/>
        <w:snapToGrid/>
        <w:spacing w:line="600" w:lineRule="exact"/>
        <w:jc w:val="left"/>
        <w:textAlignment w:val="auto"/>
        <w:rPr>
          <w:rFonts w:cs="黑体" w:asciiTheme="minorEastAsia" w:hAnsiTheme="minorEastAsia"/>
          <w:color w:val="auto"/>
          <w:kern w:val="0"/>
          <w:sz w:val="32"/>
          <w:szCs w:val="32"/>
        </w:rPr>
      </w:pPr>
    </w:p>
    <w:sectPr>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847EC"/>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5194C"/>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EF16FF"/>
    <w:rsid w:val="00F74360"/>
    <w:rsid w:val="00F9432B"/>
    <w:rsid w:val="00FB462F"/>
    <w:rsid w:val="00FE16FA"/>
    <w:rsid w:val="00FE328A"/>
    <w:rsid w:val="00FE6269"/>
    <w:rsid w:val="00FF5CD6"/>
    <w:rsid w:val="016D7072"/>
    <w:rsid w:val="01830099"/>
    <w:rsid w:val="01B20C0E"/>
    <w:rsid w:val="01C25466"/>
    <w:rsid w:val="0256755B"/>
    <w:rsid w:val="028440C8"/>
    <w:rsid w:val="03BF7EAF"/>
    <w:rsid w:val="04806B11"/>
    <w:rsid w:val="0483406C"/>
    <w:rsid w:val="04D035F5"/>
    <w:rsid w:val="057F6DC9"/>
    <w:rsid w:val="068F128E"/>
    <w:rsid w:val="08283748"/>
    <w:rsid w:val="0A484412"/>
    <w:rsid w:val="0A620161"/>
    <w:rsid w:val="0AD25B89"/>
    <w:rsid w:val="0B441417"/>
    <w:rsid w:val="0B5B3A9C"/>
    <w:rsid w:val="0D24449E"/>
    <w:rsid w:val="0D7A32D7"/>
    <w:rsid w:val="0DD11D69"/>
    <w:rsid w:val="0E316076"/>
    <w:rsid w:val="0FB56209"/>
    <w:rsid w:val="108028C8"/>
    <w:rsid w:val="10FE367F"/>
    <w:rsid w:val="11052878"/>
    <w:rsid w:val="11692E07"/>
    <w:rsid w:val="11B62B5A"/>
    <w:rsid w:val="11E87CB8"/>
    <w:rsid w:val="11EC57E6"/>
    <w:rsid w:val="129F2887"/>
    <w:rsid w:val="12D4426E"/>
    <w:rsid w:val="130C0FD3"/>
    <w:rsid w:val="14AD74AF"/>
    <w:rsid w:val="15497BCD"/>
    <w:rsid w:val="15643AF0"/>
    <w:rsid w:val="16351E52"/>
    <w:rsid w:val="17562C9F"/>
    <w:rsid w:val="17B55434"/>
    <w:rsid w:val="17D8386D"/>
    <w:rsid w:val="188517E2"/>
    <w:rsid w:val="18A24E51"/>
    <w:rsid w:val="18C32E2E"/>
    <w:rsid w:val="19DB061A"/>
    <w:rsid w:val="1A0A5394"/>
    <w:rsid w:val="1A3D35ED"/>
    <w:rsid w:val="1B027E29"/>
    <w:rsid w:val="1B9B2B58"/>
    <w:rsid w:val="1BBE4697"/>
    <w:rsid w:val="1BC15976"/>
    <w:rsid w:val="1D156539"/>
    <w:rsid w:val="1EAE0F8D"/>
    <w:rsid w:val="1EFB52BB"/>
    <w:rsid w:val="1F2D0E8D"/>
    <w:rsid w:val="1F557B84"/>
    <w:rsid w:val="1F5826E4"/>
    <w:rsid w:val="1F9B42EE"/>
    <w:rsid w:val="208922D9"/>
    <w:rsid w:val="22401962"/>
    <w:rsid w:val="22A1482E"/>
    <w:rsid w:val="22AA3280"/>
    <w:rsid w:val="23883F18"/>
    <w:rsid w:val="243B0F8A"/>
    <w:rsid w:val="2459425E"/>
    <w:rsid w:val="24F36483"/>
    <w:rsid w:val="254C0545"/>
    <w:rsid w:val="25551FCA"/>
    <w:rsid w:val="25DE6FA8"/>
    <w:rsid w:val="25FD7B6A"/>
    <w:rsid w:val="261E0C5E"/>
    <w:rsid w:val="268875B3"/>
    <w:rsid w:val="27AF30E6"/>
    <w:rsid w:val="280C22E7"/>
    <w:rsid w:val="28263CFF"/>
    <w:rsid w:val="289D1B58"/>
    <w:rsid w:val="28B430AA"/>
    <w:rsid w:val="2AC23637"/>
    <w:rsid w:val="2B385FAA"/>
    <w:rsid w:val="2BA23532"/>
    <w:rsid w:val="2C453A24"/>
    <w:rsid w:val="2DF950BB"/>
    <w:rsid w:val="30462527"/>
    <w:rsid w:val="31AA52E5"/>
    <w:rsid w:val="322E7FAC"/>
    <w:rsid w:val="32836254"/>
    <w:rsid w:val="33F97BC3"/>
    <w:rsid w:val="341D58DC"/>
    <w:rsid w:val="34C55CC4"/>
    <w:rsid w:val="37465BE0"/>
    <w:rsid w:val="375A6BCB"/>
    <w:rsid w:val="38783580"/>
    <w:rsid w:val="39466969"/>
    <w:rsid w:val="3A790EE0"/>
    <w:rsid w:val="3AA15E4D"/>
    <w:rsid w:val="3B2F036E"/>
    <w:rsid w:val="3B464036"/>
    <w:rsid w:val="3D131DB4"/>
    <w:rsid w:val="3E2C6DE7"/>
    <w:rsid w:val="3F2C5117"/>
    <w:rsid w:val="3F710F55"/>
    <w:rsid w:val="3FC64109"/>
    <w:rsid w:val="40F62E0A"/>
    <w:rsid w:val="412A2AA7"/>
    <w:rsid w:val="418227BA"/>
    <w:rsid w:val="43797844"/>
    <w:rsid w:val="43AC0714"/>
    <w:rsid w:val="43C47D1C"/>
    <w:rsid w:val="44F671E3"/>
    <w:rsid w:val="47D84F2B"/>
    <w:rsid w:val="48BB1493"/>
    <w:rsid w:val="49437E06"/>
    <w:rsid w:val="4A980693"/>
    <w:rsid w:val="4AE83BC4"/>
    <w:rsid w:val="4BEE7D6B"/>
    <w:rsid w:val="4BF9040A"/>
    <w:rsid w:val="4C161B62"/>
    <w:rsid w:val="4E6E639A"/>
    <w:rsid w:val="4ED92673"/>
    <w:rsid w:val="4F271630"/>
    <w:rsid w:val="500E272E"/>
    <w:rsid w:val="50BA30B3"/>
    <w:rsid w:val="50C402D3"/>
    <w:rsid w:val="51025EB1"/>
    <w:rsid w:val="558F1CDD"/>
    <w:rsid w:val="559C722B"/>
    <w:rsid w:val="55F30E15"/>
    <w:rsid w:val="568022D3"/>
    <w:rsid w:val="57795AE1"/>
    <w:rsid w:val="58245AF3"/>
    <w:rsid w:val="590B5B1F"/>
    <w:rsid w:val="5B1A029B"/>
    <w:rsid w:val="5BB029AE"/>
    <w:rsid w:val="5BE81C00"/>
    <w:rsid w:val="5CC46C2F"/>
    <w:rsid w:val="5D576B28"/>
    <w:rsid w:val="5D9A6865"/>
    <w:rsid w:val="5DB46785"/>
    <w:rsid w:val="5DF03535"/>
    <w:rsid w:val="5EB93748"/>
    <w:rsid w:val="5EFE4AB2"/>
    <w:rsid w:val="5F612718"/>
    <w:rsid w:val="60170067"/>
    <w:rsid w:val="60DA7E9E"/>
    <w:rsid w:val="61046508"/>
    <w:rsid w:val="620F042E"/>
    <w:rsid w:val="632A1297"/>
    <w:rsid w:val="64E93B0F"/>
    <w:rsid w:val="65FD0C7A"/>
    <w:rsid w:val="67D53D39"/>
    <w:rsid w:val="6AF02EFB"/>
    <w:rsid w:val="6B2C3F0E"/>
    <w:rsid w:val="6B8A6D77"/>
    <w:rsid w:val="6BCA186A"/>
    <w:rsid w:val="6C8C3392"/>
    <w:rsid w:val="6D0B30C8"/>
    <w:rsid w:val="6D781ED4"/>
    <w:rsid w:val="6DA54780"/>
    <w:rsid w:val="6DCF39CF"/>
    <w:rsid w:val="6DE537A9"/>
    <w:rsid w:val="6E1B015A"/>
    <w:rsid w:val="6E3B7948"/>
    <w:rsid w:val="6E680201"/>
    <w:rsid w:val="6F2E1CC0"/>
    <w:rsid w:val="719676BA"/>
    <w:rsid w:val="71AB7A47"/>
    <w:rsid w:val="72874010"/>
    <w:rsid w:val="72E74AAF"/>
    <w:rsid w:val="734738F8"/>
    <w:rsid w:val="738642C8"/>
    <w:rsid w:val="748D1686"/>
    <w:rsid w:val="75EB2391"/>
    <w:rsid w:val="76286275"/>
    <w:rsid w:val="769D1973"/>
    <w:rsid w:val="77260E63"/>
    <w:rsid w:val="795222F5"/>
    <w:rsid w:val="795D002F"/>
    <w:rsid w:val="7AA72693"/>
    <w:rsid w:val="7AD93877"/>
    <w:rsid w:val="7B3D7962"/>
    <w:rsid w:val="7BA94FF8"/>
    <w:rsid w:val="7D637428"/>
    <w:rsid w:val="7DC2073A"/>
    <w:rsid w:val="7F2D0D90"/>
    <w:rsid w:val="7F6F0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5728</Words>
  <Characters>6224</Characters>
  <Lines>69</Lines>
  <Paragraphs>19</Paragraphs>
  <TotalTime>1</TotalTime>
  <ScaleCrop>false</ScaleCrop>
  <LinksUpToDate>false</LinksUpToDate>
  <CharactersWithSpaces>6231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2023-10-04T15:04:04Z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AF2686583B51411ABB85D7C1218E37C5</vt:lpwstr>
  </property>
</Properties>
</file>