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23F3E">
      <w:pPr>
        <w:pStyle w:val="9"/>
        <w:jc w:val="center"/>
        <w:rPr>
          <w:sz w:val="56"/>
          <w:szCs w:val="56"/>
        </w:rPr>
      </w:pPr>
    </w:p>
    <w:p w14:paraId="660866F1">
      <w:pPr>
        <w:pStyle w:val="9"/>
        <w:jc w:val="center"/>
        <w:rPr>
          <w:sz w:val="56"/>
          <w:szCs w:val="56"/>
        </w:rPr>
      </w:pPr>
    </w:p>
    <w:p w14:paraId="63ED30EB">
      <w:pPr>
        <w:pStyle w:val="9"/>
        <w:jc w:val="center"/>
        <w:rPr>
          <w:sz w:val="56"/>
          <w:szCs w:val="56"/>
        </w:rPr>
      </w:pPr>
    </w:p>
    <w:p w14:paraId="74CFA94D">
      <w:pPr>
        <w:pStyle w:val="9"/>
        <w:jc w:val="center"/>
        <w:rPr>
          <w:sz w:val="84"/>
          <w:szCs w:val="84"/>
        </w:rPr>
      </w:pPr>
    </w:p>
    <w:p w14:paraId="0B9A6F76">
      <w:pPr>
        <w:pStyle w:val="9"/>
        <w:jc w:val="center"/>
        <w:rPr>
          <w:sz w:val="84"/>
          <w:szCs w:val="84"/>
        </w:rPr>
      </w:pPr>
    </w:p>
    <w:p w14:paraId="7EAEB428">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786965A1">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怀化市宏宇小学</w:t>
      </w:r>
      <w:r>
        <w:rPr>
          <w:rFonts w:hint="eastAsia" w:ascii="方正小标宋_GBK" w:hAnsi="方正小标宋_GBK" w:eastAsia="方正小标宋_GBK" w:cs="方正小标宋_GBK"/>
          <w:sz w:val="84"/>
          <w:szCs w:val="84"/>
        </w:rPr>
        <w:t>部门决算</w:t>
      </w:r>
    </w:p>
    <w:p w14:paraId="729D0D1B">
      <w:pPr>
        <w:pStyle w:val="9"/>
        <w:jc w:val="center"/>
        <w:rPr>
          <w:rFonts w:hint="eastAsia" w:ascii="方正小标宋_GBK" w:hAnsi="方正小标宋_GBK" w:eastAsia="方正小标宋_GBK" w:cs="方正小标宋_GBK"/>
          <w:sz w:val="56"/>
          <w:szCs w:val="56"/>
        </w:rPr>
      </w:pPr>
    </w:p>
    <w:p w14:paraId="3E559858">
      <w:pPr>
        <w:pStyle w:val="9"/>
        <w:jc w:val="center"/>
        <w:rPr>
          <w:sz w:val="56"/>
          <w:szCs w:val="56"/>
        </w:rPr>
      </w:pPr>
    </w:p>
    <w:p w14:paraId="0572E23F">
      <w:pPr>
        <w:pStyle w:val="9"/>
        <w:jc w:val="center"/>
        <w:rPr>
          <w:sz w:val="56"/>
          <w:szCs w:val="56"/>
        </w:rPr>
      </w:pPr>
    </w:p>
    <w:p w14:paraId="3393F477">
      <w:pPr>
        <w:pStyle w:val="9"/>
        <w:jc w:val="center"/>
        <w:rPr>
          <w:sz w:val="56"/>
          <w:szCs w:val="56"/>
        </w:rPr>
      </w:pPr>
    </w:p>
    <w:p w14:paraId="57C4875B">
      <w:pPr>
        <w:pStyle w:val="9"/>
        <w:jc w:val="center"/>
        <w:rPr>
          <w:sz w:val="32"/>
          <w:szCs w:val="32"/>
        </w:rPr>
      </w:pPr>
    </w:p>
    <w:p w14:paraId="4B671FD1">
      <w:pPr>
        <w:pStyle w:val="9"/>
        <w:jc w:val="center"/>
        <w:rPr>
          <w:sz w:val="32"/>
          <w:szCs w:val="32"/>
        </w:rPr>
      </w:pPr>
    </w:p>
    <w:p w14:paraId="7B36A4F3">
      <w:pPr>
        <w:pStyle w:val="9"/>
        <w:jc w:val="center"/>
        <w:rPr>
          <w:sz w:val="32"/>
          <w:szCs w:val="32"/>
        </w:rPr>
      </w:pPr>
    </w:p>
    <w:p w14:paraId="2F14AC1A">
      <w:pPr>
        <w:pStyle w:val="9"/>
        <w:jc w:val="center"/>
        <w:rPr>
          <w:sz w:val="32"/>
          <w:szCs w:val="32"/>
        </w:rPr>
      </w:pPr>
    </w:p>
    <w:p w14:paraId="77CD553F">
      <w:pPr>
        <w:pStyle w:val="9"/>
        <w:jc w:val="center"/>
        <w:rPr>
          <w:sz w:val="32"/>
          <w:szCs w:val="32"/>
        </w:rPr>
      </w:pPr>
    </w:p>
    <w:p w14:paraId="13F6B946">
      <w:pPr>
        <w:pStyle w:val="9"/>
        <w:spacing w:line="500" w:lineRule="exact"/>
        <w:jc w:val="both"/>
        <w:rPr>
          <w:b/>
          <w:sz w:val="36"/>
          <w:szCs w:val="28"/>
        </w:rPr>
      </w:pPr>
    </w:p>
    <w:p w14:paraId="5BB848C0">
      <w:pPr>
        <w:pStyle w:val="9"/>
        <w:spacing w:line="500" w:lineRule="exact"/>
        <w:jc w:val="center"/>
        <w:rPr>
          <w:rFonts w:hint="eastAsia" w:ascii="仿宋" w:hAnsi="仿宋" w:eastAsia="仿宋" w:cs="仿宋"/>
          <w:b/>
          <w:sz w:val="36"/>
          <w:szCs w:val="28"/>
        </w:rPr>
      </w:pPr>
      <w:r>
        <w:rPr>
          <w:rFonts w:hint="eastAsia" w:ascii="仿宋_GB2312" w:hAnsi="仿宋_GB2312" w:eastAsia="仿宋_GB2312" w:cs="仿宋_GB2312"/>
          <w:b/>
          <w:sz w:val="36"/>
          <w:szCs w:val="28"/>
        </w:rPr>
        <w:t>目录</w:t>
      </w:r>
    </w:p>
    <w:p w14:paraId="7C1BBBD7">
      <w:pPr>
        <w:pStyle w:val="9"/>
        <w:keepNext w:val="0"/>
        <w:keepLines w:val="0"/>
        <w:pageBreakBefore w:val="0"/>
        <w:widowControl w:val="0"/>
        <w:kinsoku/>
        <w:wordWrap/>
        <w:overflowPunct/>
        <w:topLinePunct w:val="0"/>
        <w:bidi w:val="0"/>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第一部分</w:t>
      </w:r>
      <w:r>
        <w:rPr>
          <w:rFonts w:hint="eastAsia" w:ascii="仿宋_GB2312" w:hAnsi="仿宋_GB2312" w:eastAsia="仿宋_GB2312" w:cs="仿宋_GB2312"/>
          <w:sz w:val="28"/>
          <w:szCs w:val="28"/>
          <w:lang w:val="en-US" w:eastAsia="zh-CN"/>
        </w:rPr>
        <w:t xml:space="preserve"> 怀化市宏宇小学</w:t>
      </w:r>
      <w:r>
        <w:rPr>
          <w:rFonts w:hint="eastAsia" w:ascii="仿宋_GB2312" w:hAnsi="仿宋_GB2312" w:eastAsia="仿宋_GB2312" w:cs="仿宋_GB2312"/>
          <w:sz w:val="28"/>
          <w:szCs w:val="28"/>
        </w:rPr>
        <w:t>概况</w:t>
      </w:r>
    </w:p>
    <w:p w14:paraId="13BAF49C">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BE76428">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3599D0FC">
      <w:pPr>
        <w:pStyle w:val="9"/>
        <w:keepNext w:val="0"/>
        <w:keepLines w:val="0"/>
        <w:pageBreakBefore w:val="0"/>
        <w:widowControl w:val="0"/>
        <w:kinsoku/>
        <w:wordWrap/>
        <w:overflowPunct/>
        <w:topLinePunct w:val="0"/>
        <w:bidi w:val="0"/>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第二部分</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部门决算表</w:t>
      </w:r>
    </w:p>
    <w:p w14:paraId="1159D80F">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EE00C70">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20BA2AD">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83639A0">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7310A58">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E656302">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FD19E7A">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8416E13">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D7C83DA">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100807C">
      <w:pPr>
        <w:pStyle w:val="9"/>
        <w:keepNext w:val="0"/>
        <w:keepLines w:val="0"/>
        <w:pageBreakBefore w:val="0"/>
        <w:widowControl w:val="0"/>
        <w:kinsoku/>
        <w:wordWrap/>
        <w:overflowPunct/>
        <w:topLinePunct w:val="0"/>
        <w:bidi w:val="0"/>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第三部分</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部门决算情况说明</w:t>
      </w:r>
    </w:p>
    <w:p w14:paraId="1017AF3D">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98136EF">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46AC1D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EFD35C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53C38B2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3A079F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695CBD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331A0ED1">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八、政府性基金预算收入支出决算情况</w:t>
      </w:r>
      <w:r>
        <w:rPr>
          <w:rFonts w:hint="eastAsia" w:ascii="仿宋_GB2312" w:hAnsi="仿宋_GB2312" w:eastAsia="仿宋_GB2312" w:cs="仿宋_GB2312"/>
          <w:color w:val="000000"/>
          <w:kern w:val="0"/>
          <w:sz w:val="28"/>
          <w:szCs w:val="28"/>
          <w:lang w:val="en-US" w:eastAsia="zh-CN"/>
        </w:rPr>
        <w:t>说明</w:t>
      </w:r>
    </w:p>
    <w:p w14:paraId="0E72C15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lang w:eastAsia="zh-CN"/>
        </w:rPr>
        <w:t>国有资本经营预算</w:t>
      </w:r>
      <w:r>
        <w:rPr>
          <w:rFonts w:hint="eastAsia" w:ascii="仿宋_GB2312" w:hAnsi="仿宋_GB2312" w:eastAsia="仿宋_GB2312" w:cs="仿宋_GB2312"/>
          <w:color w:val="000000"/>
          <w:kern w:val="0"/>
          <w:sz w:val="28"/>
          <w:szCs w:val="28"/>
          <w:lang w:val="en-US" w:eastAsia="zh-CN"/>
        </w:rPr>
        <w:t>财政拨款</w:t>
      </w:r>
      <w:r>
        <w:rPr>
          <w:rFonts w:hint="eastAsia" w:ascii="仿宋_GB2312" w:hAnsi="仿宋_GB2312" w:eastAsia="仿宋_GB2312" w:cs="仿宋_GB2312"/>
          <w:color w:val="000000"/>
          <w:kern w:val="0"/>
          <w:sz w:val="28"/>
          <w:szCs w:val="28"/>
          <w:lang w:eastAsia="zh-CN"/>
        </w:rPr>
        <w:t>支出决算情况说明</w:t>
      </w:r>
    </w:p>
    <w:p w14:paraId="6870A827">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13602E3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080323D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7F5F3094">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6E294DF2">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、关于预算绩效情况的说明</w:t>
      </w:r>
    </w:p>
    <w:p w14:paraId="08BC2F30">
      <w:pPr>
        <w:pStyle w:val="9"/>
        <w:keepNext w:val="0"/>
        <w:keepLines w:val="0"/>
        <w:pageBreakBefore w:val="0"/>
        <w:widowControl w:val="0"/>
        <w:kinsoku/>
        <w:wordWrap/>
        <w:overflowPunct/>
        <w:topLinePunct w:val="0"/>
        <w:bidi w:val="0"/>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第四部分</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名词解释</w:t>
      </w:r>
    </w:p>
    <w:p w14:paraId="3DF16155">
      <w:pPr>
        <w:pStyle w:val="9"/>
        <w:keepNext w:val="0"/>
        <w:keepLines w:val="0"/>
        <w:pageBreakBefore w:val="0"/>
        <w:widowControl w:val="0"/>
        <w:kinsoku/>
        <w:wordWrap/>
        <w:overflowPunct/>
        <w:topLinePunct w:val="0"/>
        <w:bidi w:val="0"/>
        <w:snapToGrid/>
        <w:spacing w:line="4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第五部分 附件</w:t>
      </w:r>
    </w:p>
    <w:p w14:paraId="6945D1F9">
      <w:pPr>
        <w:jc w:val="center"/>
        <w:rPr>
          <w:sz w:val="72"/>
          <w:szCs w:val="72"/>
        </w:rPr>
      </w:pPr>
    </w:p>
    <w:p w14:paraId="2BF5B88B">
      <w:pPr>
        <w:jc w:val="center"/>
        <w:rPr>
          <w:sz w:val="72"/>
          <w:szCs w:val="72"/>
        </w:rPr>
      </w:pPr>
    </w:p>
    <w:p w14:paraId="019CBD3D">
      <w:pPr>
        <w:jc w:val="center"/>
        <w:rPr>
          <w:sz w:val="72"/>
          <w:szCs w:val="72"/>
        </w:rPr>
      </w:pPr>
    </w:p>
    <w:p w14:paraId="373707B2">
      <w:pPr>
        <w:jc w:val="center"/>
        <w:rPr>
          <w:sz w:val="72"/>
          <w:szCs w:val="72"/>
        </w:rPr>
      </w:pPr>
    </w:p>
    <w:p w14:paraId="766678CB">
      <w:pPr>
        <w:rPr>
          <w:rFonts w:hint="eastAsia" w:ascii="方正小标宋_GBK" w:hAnsi="方正小标宋_GBK" w:eastAsia="方正小标宋_GBK" w:cs="方正小标宋_GBK"/>
          <w:sz w:val="72"/>
          <w:szCs w:val="72"/>
        </w:rPr>
      </w:pPr>
    </w:p>
    <w:p w14:paraId="7AAE387F">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D80BC16">
      <w:pPr>
        <w:pStyle w:val="9"/>
        <w:jc w:val="center"/>
        <w:rPr>
          <w:rFonts w:hint="eastAsia" w:ascii="方正小标宋_GBK" w:hAnsi="方正小标宋_GBK" w:eastAsia="方正小标宋_GBK" w:cs="方正小标宋_GBK"/>
          <w:sz w:val="84"/>
          <w:szCs w:val="84"/>
        </w:rPr>
      </w:pPr>
    </w:p>
    <w:p w14:paraId="3DD13910">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怀化市宏宇小学</w:t>
      </w:r>
      <w:r>
        <w:rPr>
          <w:rFonts w:hint="eastAsia" w:ascii="方正小标宋_GBK" w:hAnsi="方正小标宋_GBK" w:eastAsia="方正小标宋_GBK" w:cs="方正小标宋_GBK"/>
          <w:sz w:val="84"/>
          <w:szCs w:val="84"/>
        </w:rPr>
        <w:t>概况</w:t>
      </w:r>
    </w:p>
    <w:p w14:paraId="710E9AE3">
      <w:pPr>
        <w:jc w:val="center"/>
        <w:rPr>
          <w:rFonts w:hint="eastAsia" w:ascii="方正小标宋_GBK" w:hAnsi="方正小标宋_GBK" w:eastAsia="方正小标宋_GBK" w:cs="方正小标宋_GBK"/>
          <w:sz w:val="72"/>
          <w:szCs w:val="72"/>
        </w:rPr>
      </w:pPr>
    </w:p>
    <w:p w14:paraId="2670EB21">
      <w:pPr>
        <w:jc w:val="center"/>
        <w:rPr>
          <w:rFonts w:hint="eastAsia" w:ascii="方正小标宋_GBK" w:hAnsi="方正小标宋_GBK" w:eastAsia="方正小标宋_GBK" w:cs="方正小标宋_GBK"/>
          <w:sz w:val="72"/>
          <w:szCs w:val="72"/>
        </w:rPr>
      </w:pPr>
    </w:p>
    <w:p w14:paraId="5586353B">
      <w:pPr>
        <w:jc w:val="center"/>
        <w:rPr>
          <w:sz w:val="72"/>
          <w:szCs w:val="72"/>
        </w:rPr>
      </w:pPr>
    </w:p>
    <w:p w14:paraId="3E3C9B10">
      <w:pPr>
        <w:jc w:val="center"/>
        <w:rPr>
          <w:sz w:val="72"/>
          <w:szCs w:val="72"/>
        </w:rPr>
      </w:pPr>
    </w:p>
    <w:p w14:paraId="4636541F">
      <w:pPr>
        <w:jc w:val="center"/>
        <w:rPr>
          <w:sz w:val="72"/>
          <w:szCs w:val="72"/>
        </w:rPr>
      </w:pPr>
    </w:p>
    <w:p w14:paraId="27E58D1B">
      <w:pPr>
        <w:jc w:val="center"/>
        <w:rPr>
          <w:sz w:val="72"/>
          <w:szCs w:val="72"/>
        </w:rPr>
      </w:pPr>
    </w:p>
    <w:p w14:paraId="6676553E">
      <w:pPr>
        <w:pStyle w:val="10"/>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kern w:val="2"/>
          <w:sz w:val="32"/>
          <w:szCs w:val="32"/>
          <w:lang w:val="en-US" w:eastAsia="zh-CN" w:bidi="ar-SA"/>
        </w:rPr>
        <w:t>部门职责</w:t>
      </w:r>
    </w:p>
    <w:p w14:paraId="0402D4C8">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怀化市宏宇小学是一所公办的全日制小学,学制六年,属怀化市教育局直管</w:t>
      </w:r>
      <w:r>
        <w:rPr>
          <w:rFonts w:hint="eastAsia" w:ascii="仿宋_GB2312" w:hAnsi="仿宋_GB2312" w:eastAsia="仿宋_GB2312" w:cs="仿宋_GB2312"/>
          <w:sz w:val="32"/>
          <w:szCs w:val="32"/>
          <w:lang w:eastAsia="zh-CN"/>
        </w:rPr>
        <w:t>。</w:t>
      </w:r>
    </w:p>
    <w:p w14:paraId="0778E585">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（一）根据党的方针、政策和教育章程，全面实施小学义务教育，促进基础教育发展，保障辖区内适龄儿童入学及相关社会服务。培养德、智、体、美等方面全面发展的社会主义事业的建设者和接班人</w:t>
      </w:r>
      <w:r>
        <w:rPr>
          <w:rFonts w:hint="eastAsia" w:ascii="仿宋_GB2312" w:hAnsi="仿宋_GB2312" w:eastAsia="仿宋_GB2312" w:cs="仿宋_GB2312"/>
          <w:sz w:val="32"/>
          <w:szCs w:val="32"/>
          <w:lang w:eastAsia="zh-CN"/>
        </w:rPr>
        <w:t>。</w:t>
      </w:r>
    </w:p>
    <w:p w14:paraId="4A7B8E9C">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（二）根据教育规律、社会要求和学校实际，组织制定学校发展的远景规划、近期目标、学年和学期各项工作计划以及各项工作指标并组织实施</w:t>
      </w:r>
      <w:r>
        <w:rPr>
          <w:rFonts w:hint="eastAsia" w:ascii="仿宋_GB2312" w:hAnsi="仿宋_GB2312" w:eastAsia="仿宋_GB2312" w:cs="仿宋_GB2312"/>
          <w:sz w:val="32"/>
          <w:szCs w:val="32"/>
          <w:lang w:eastAsia="zh-CN"/>
        </w:rPr>
        <w:t>。</w:t>
      </w:r>
    </w:p>
    <w:p w14:paraId="192C5D41">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二、机构设置及决算单位构成</w:t>
      </w:r>
    </w:p>
    <w:p w14:paraId="3741A44E">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（一）内设机构设置。</w:t>
      </w:r>
    </w:p>
    <w:p w14:paraId="770E5203">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sz w:val="32"/>
          <w:szCs w:val="32"/>
          <w:lang w:val="en-US" w:eastAsia="zh-CN"/>
        </w:rPr>
        <w:t>怀化市宏宇小学作为一级部门预算单位，机构设置情况如下：校长室、书记室、副校长室、党办、办公室、工会、教务处、教研室、德育处、督导室、后勤总务处、财务室、安全保卫处、医务室等</w:t>
      </w:r>
      <w:r>
        <w:rPr>
          <w:rFonts w:hint="eastAsia" w:ascii="仿宋_GB2312" w:hAnsi="仿宋_GB2312" w:eastAsia="仿宋_GB2312" w:cs="仿宋_GB2312"/>
          <w:color w:val="auto"/>
          <w:kern w:val="0"/>
          <w:sz w:val="32"/>
          <w:szCs w:val="32"/>
          <w:lang w:val="en-US" w:eastAsia="zh-CN" w:bidi="ar-SA"/>
        </w:rPr>
        <w:t>。</w:t>
      </w:r>
    </w:p>
    <w:p w14:paraId="7D79EDB3">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（二）决算单位构成。</w:t>
      </w:r>
    </w:p>
    <w:p w14:paraId="142DC56F">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val="en-US" w:eastAsia="zh-CN"/>
        </w:rPr>
        <w:t>怀化市宏宇小学</w:t>
      </w:r>
      <w:r>
        <w:rPr>
          <w:rFonts w:hint="eastAsia" w:ascii="仿宋_GB2312" w:hAnsi="仿宋_GB2312" w:eastAsia="仿宋_GB2312" w:cs="仿宋_GB2312"/>
          <w:bCs/>
          <w:kern w:val="0"/>
          <w:sz w:val="32"/>
          <w:szCs w:val="32"/>
        </w:rPr>
        <w:t>202</w:t>
      </w:r>
      <w:r>
        <w:rPr>
          <w:rFonts w:hint="eastAsia" w:ascii="仿宋_GB2312" w:hAnsi="仿宋_GB2312" w:eastAsia="仿宋_GB2312" w:cs="仿宋_GB2312"/>
          <w:bCs/>
          <w:kern w:val="0"/>
          <w:sz w:val="32"/>
          <w:szCs w:val="32"/>
          <w:lang w:val="en-US" w:eastAsia="zh-CN"/>
        </w:rPr>
        <w:t>2</w:t>
      </w:r>
      <w:r>
        <w:rPr>
          <w:rFonts w:hint="eastAsia" w:ascii="仿宋_GB2312" w:hAnsi="仿宋_GB2312" w:eastAsia="仿宋_GB2312" w:cs="仿宋_GB2312"/>
          <w:bCs/>
          <w:kern w:val="0"/>
          <w:sz w:val="32"/>
          <w:szCs w:val="32"/>
        </w:rPr>
        <w:t>年部门决算汇总公开单位构成包括：</w:t>
      </w:r>
      <w:r>
        <w:rPr>
          <w:rFonts w:hint="eastAsia" w:ascii="仿宋_GB2312" w:hAnsi="仿宋_GB2312" w:eastAsia="仿宋_GB2312" w:cs="仿宋_GB2312"/>
          <w:bCs/>
          <w:kern w:val="0"/>
          <w:sz w:val="32"/>
          <w:szCs w:val="32"/>
          <w:lang w:val="en-US" w:eastAsia="zh-CN"/>
        </w:rPr>
        <w:t>怀化市宏宇小学</w:t>
      </w:r>
      <w:r>
        <w:rPr>
          <w:rFonts w:hint="eastAsia" w:ascii="仿宋_GB2312" w:hAnsi="仿宋_GB2312" w:eastAsia="仿宋_GB2312" w:cs="仿宋_GB2312"/>
          <w:bCs/>
          <w:kern w:val="0"/>
          <w:sz w:val="32"/>
          <w:szCs w:val="32"/>
        </w:rPr>
        <w:t>本级</w:t>
      </w:r>
      <w:r>
        <w:rPr>
          <w:rFonts w:hint="eastAsia" w:ascii="仿宋_GB2312" w:hAnsi="仿宋_GB2312" w:eastAsia="仿宋_GB2312" w:cs="仿宋_GB2312"/>
          <w:bCs/>
          <w:kern w:val="0"/>
          <w:sz w:val="32"/>
          <w:szCs w:val="32"/>
          <w:lang w:eastAsia="zh-CN"/>
        </w:rPr>
        <w:t>。</w:t>
      </w:r>
    </w:p>
    <w:p w14:paraId="4088B8C9">
      <w:pPr>
        <w:jc w:val="left"/>
        <w:rPr>
          <w:rFonts w:ascii="仿宋_GB2312" w:eastAsia="仿宋_GB2312" w:hAnsiTheme="minorEastAsia"/>
          <w:sz w:val="28"/>
          <w:szCs w:val="32"/>
        </w:rPr>
      </w:pPr>
    </w:p>
    <w:p w14:paraId="709A2FD6">
      <w:pPr>
        <w:jc w:val="center"/>
        <w:rPr>
          <w:rFonts w:ascii="黑体" w:hAnsi="黑体" w:eastAsia="黑体"/>
          <w:sz w:val="28"/>
          <w:szCs w:val="28"/>
        </w:rPr>
      </w:pPr>
    </w:p>
    <w:p w14:paraId="307F49B3">
      <w:pPr>
        <w:jc w:val="center"/>
        <w:rPr>
          <w:rFonts w:ascii="黑体" w:hAnsi="黑体" w:eastAsia="黑体"/>
          <w:sz w:val="28"/>
          <w:szCs w:val="28"/>
        </w:rPr>
      </w:pPr>
    </w:p>
    <w:p w14:paraId="18644370">
      <w:pPr>
        <w:jc w:val="center"/>
        <w:rPr>
          <w:rFonts w:ascii="黑体" w:hAnsi="黑体" w:eastAsia="黑体"/>
          <w:sz w:val="28"/>
          <w:szCs w:val="28"/>
        </w:rPr>
      </w:pPr>
    </w:p>
    <w:p w14:paraId="40DF9D52">
      <w:pPr>
        <w:jc w:val="center"/>
        <w:rPr>
          <w:rFonts w:ascii="黑体" w:hAnsi="黑体" w:eastAsia="黑体"/>
          <w:sz w:val="28"/>
          <w:szCs w:val="28"/>
        </w:rPr>
      </w:pPr>
    </w:p>
    <w:p w14:paraId="0615BF10">
      <w:pPr>
        <w:jc w:val="center"/>
        <w:rPr>
          <w:rFonts w:ascii="黑体" w:hAnsi="黑体" w:eastAsia="黑体"/>
          <w:sz w:val="28"/>
          <w:szCs w:val="28"/>
        </w:rPr>
      </w:pPr>
    </w:p>
    <w:p w14:paraId="121C9D1C">
      <w:pPr>
        <w:jc w:val="center"/>
        <w:rPr>
          <w:rFonts w:ascii="黑体" w:hAnsi="黑体" w:eastAsia="黑体"/>
          <w:sz w:val="28"/>
          <w:szCs w:val="28"/>
        </w:rPr>
      </w:pPr>
    </w:p>
    <w:p w14:paraId="1154A149">
      <w:pPr>
        <w:jc w:val="center"/>
        <w:rPr>
          <w:rFonts w:ascii="黑体" w:hAnsi="黑体" w:eastAsia="黑体"/>
          <w:sz w:val="28"/>
          <w:szCs w:val="28"/>
        </w:rPr>
      </w:pPr>
    </w:p>
    <w:p w14:paraId="35B2199F">
      <w:pPr>
        <w:jc w:val="center"/>
        <w:rPr>
          <w:rFonts w:ascii="黑体" w:hAnsi="黑体" w:eastAsia="黑体"/>
          <w:sz w:val="28"/>
          <w:szCs w:val="28"/>
        </w:rPr>
      </w:pPr>
    </w:p>
    <w:p w14:paraId="7D4FD631">
      <w:pPr>
        <w:jc w:val="center"/>
        <w:rPr>
          <w:rFonts w:ascii="黑体" w:hAnsi="黑体" w:eastAsia="黑体"/>
          <w:sz w:val="28"/>
          <w:szCs w:val="28"/>
        </w:rPr>
      </w:pPr>
    </w:p>
    <w:p w14:paraId="0555CF85">
      <w:pPr>
        <w:jc w:val="center"/>
        <w:rPr>
          <w:rFonts w:ascii="黑体" w:hAnsi="黑体" w:eastAsia="黑体"/>
          <w:sz w:val="28"/>
          <w:szCs w:val="28"/>
        </w:rPr>
      </w:pPr>
    </w:p>
    <w:p w14:paraId="65B66FE2">
      <w:pPr>
        <w:jc w:val="center"/>
        <w:rPr>
          <w:rFonts w:ascii="黑体" w:hAnsi="黑体" w:eastAsia="黑体"/>
          <w:sz w:val="28"/>
          <w:szCs w:val="28"/>
        </w:rPr>
      </w:pPr>
    </w:p>
    <w:p w14:paraId="6C155196">
      <w:pPr>
        <w:jc w:val="center"/>
        <w:rPr>
          <w:rFonts w:ascii="黑体" w:hAnsi="黑体" w:eastAsia="黑体"/>
          <w:sz w:val="28"/>
          <w:szCs w:val="28"/>
        </w:rPr>
      </w:pPr>
    </w:p>
    <w:p w14:paraId="0BFF046A">
      <w:pPr>
        <w:jc w:val="center"/>
        <w:rPr>
          <w:sz w:val="72"/>
          <w:szCs w:val="72"/>
        </w:rPr>
      </w:pPr>
    </w:p>
    <w:p w14:paraId="757E7BB8">
      <w:pPr>
        <w:pStyle w:val="9"/>
        <w:jc w:val="both"/>
        <w:rPr>
          <w:rFonts w:hint="eastAsia" w:ascii="方正小标宋_GBK" w:hAnsi="方正小标宋_GBK" w:eastAsia="方正小标宋_GBK" w:cs="方正小标宋_GBK"/>
          <w:sz w:val="84"/>
          <w:szCs w:val="84"/>
        </w:rPr>
      </w:pPr>
    </w:p>
    <w:p w14:paraId="6D769518">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3A356A6">
      <w:pPr>
        <w:pStyle w:val="9"/>
        <w:jc w:val="center"/>
        <w:rPr>
          <w:rFonts w:hint="eastAsia" w:ascii="方正小标宋_GBK" w:hAnsi="方正小标宋_GBK" w:eastAsia="方正小标宋_GBK" w:cs="方正小标宋_GBK"/>
          <w:sz w:val="84"/>
          <w:szCs w:val="84"/>
        </w:rPr>
      </w:pPr>
    </w:p>
    <w:p w14:paraId="3739315F">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C67473D">
      <w:pPr>
        <w:widowControl/>
        <w:spacing w:line="600" w:lineRule="exact"/>
        <w:ind w:firstLine="4160" w:firstLineChars="13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（详情见附件）</w:t>
      </w:r>
    </w:p>
    <w:p w14:paraId="2F994CA8">
      <w:pPr>
        <w:jc w:val="center"/>
        <w:rPr>
          <w:sz w:val="72"/>
          <w:szCs w:val="72"/>
        </w:rPr>
      </w:pPr>
    </w:p>
    <w:p w14:paraId="58B13B19">
      <w:pPr>
        <w:jc w:val="center"/>
        <w:rPr>
          <w:sz w:val="72"/>
          <w:szCs w:val="72"/>
        </w:rPr>
      </w:pPr>
    </w:p>
    <w:p w14:paraId="7E670010">
      <w:pPr>
        <w:jc w:val="center"/>
        <w:rPr>
          <w:sz w:val="72"/>
          <w:szCs w:val="72"/>
        </w:rPr>
      </w:pPr>
    </w:p>
    <w:p w14:paraId="0B4B7942">
      <w:pPr>
        <w:jc w:val="center"/>
        <w:rPr>
          <w:sz w:val="72"/>
          <w:szCs w:val="72"/>
        </w:rPr>
      </w:pPr>
    </w:p>
    <w:p w14:paraId="26255CF5">
      <w:pPr>
        <w:jc w:val="center"/>
        <w:rPr>
          <w:sz w:val="72"/>
          <w:szCs w:val="72"/>
        </w:rPr>
      </w:pPr>
    </w:p>
    <w:p w14:paraId="24974F99">
      <w:pPr>
        <w:pStyle w:val="9"/>
        <w:rPr>
          <w:sz w:val="72"/>
          <w:szCs w:val="72"/>
        </w:rPr>
      </w:pPr>
    </w:p>
    <w:p w14:paraId="0EED8D41">
      <w:pPr>
        <w:pStyle w:val="9"/>
        <w:rPr>
          <w:sz w:val="72"/>
          <w:szCs w:val="72"/>
        </w:rPr>
      </w:pPr>
    </w:p>
    <w:p w14:paraId="17250E13">
      <w:pPr>
        <w:pStyle w:val="9"/>
        <w:rPr>
          <w:sz w:val="72"/>
          <w:szCs w:val="72"/>
        </w:rPr>
      </w:pPr>
    </w:p>
    <w:p w14:paraId="750E6A93">
      <w:pPr>
        <w:pStyle w:val="9"/>
        <w:jc w:val="both"/>
        <w:rPr>
          <w:sz w:val="72"/>
          <w:szCs w:val="72"/>
        </w:rPr>
      </w:pPr>
    </w:p>
    <w:p w14:paraId="13AAE9C8">
      <w:pPr>
        <w:pStyle w:val="9"/>
        <w:jc w:val="center"/>
        <w:rPr>
          <w:rFonts w:hint="eastAsia" w:ascii="方正小标宋_GBK" w:hAnsi="方正小标宋_GBK" w:eastAsia="方正小标宋_GBK" w:cs="方正小标宋_GBK"/>
          <w:sz w:val="72"/>
          <w:szCs w:val="72"/>
        </w:rPr>
      </w:pPr>
    </w:p>
    <w:p w14:paraId="16D54CA0">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2422046">
      <w:pPr>
        <w:pStyle w:val="9"/>
        <w:jc w:val="center"/>
        <w:rPr>
          <w:rFonts w:hint="eastAsia" w:ascii="方正小标宋_GBK" w:hAnsi="方正小标宋_GBK" w:eastAsia="方正小标宋_GBK" w:cs="方正小标宋_GBK"/>
          <w:sz w:val="70"/>
          <w:szCs w:val="70"/>
        </w:rPr>
      </w:pPr>
    </w:p>
    <w:p w14:paraId="549BB5A3">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1BD7C37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79A9D2C1">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一、收入支出决算总体情况说明</w:t>
      </w:r>
    </w:p>
    <w:p w14:paraId="0F77DD37">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均为5155.43</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699.14</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15.69</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val="en-US" w:eastAsia="zh-CN"/>
        </w:rPr>
        <w:t>学生人数及教师人数增加，生均、师均经费增加。</w:t>
      </w:r>
    </w:p>
    <w:p w14:paraId="0059DAD3">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p>
    <w:p w14:paraId="41646DB4">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年度收入合计</w:t>
      </w:r>
      <w:r>
        <w:rPr>
          <w:rFonts w:hint="eastAsia" w:ascii="仿宋_GB2312" w:hAnsi="仿宋_GB2312" w:eastAsia="仿宋_GB2312" w:cs="仿宋_GB2312"/>
          <w:sz w:val="32"/>
          <w:szCs w:val="32"/>
          <w:lang w:val="en-US" w:eastAsia="zh-CN"/>
        </w:rPr>
        <w:t>5155.43</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4509.42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87.47</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646.01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12.53</w:t>
      </w:r>
      <w:r>
        <w:rPr>
          <w:rFonts w:hint="eastAsia" w:ascii="仿宋_GB2312" w:hAnsi="仿宋_GB2312" w:eastAsia="仿宋_GB2312" w:cs="仿宋_GB2312"/>
          <w:sz w:val="32"/>
          <w:szCs w:val="32"/>
        </w:rPr>
        <w:t>%。</w:t>
      </w:r>
    </w:p>
    <w:p w14:paraId="5C578ED9">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p>
    <w:p w14:paraId="514FFF36">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年度支出合计</w:t>
      </w:r>
      <w:r>
        <w:rPr>
          <w:rFonts w:hint="eastAsia" w:ascii="仿宋_GB2312" w:hAnsi="仿宋_GB2312" w:eastAsia="仿宋_GB2312" w:cs="仿宋_GB2312"/>
          <w:sz w:val="32"/>
          <w:szCs w:val="32"/>
          <w:lang w:val="en-US" w:eastAsia="zh-CN"/>
        </w:rPr>
        <w:t>5155.43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3741.55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72.57</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1413.88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27.43</w:t>
      </w:r>
      <w:r>
        <w:rPr>
          <w:rFonts w:hint="eastAsia" w:ascii="仿宋_GB2312" w:hAnsi="仿宋_GB2312" w:eastAsia="仿宋_GB2312" w:cs="仿宋_GB2312"/>
          <w:sz w:val="32"/>
          <w:szCs w:val="32"/>
        </w:rPr>
        <w:t>%。</w:t>
      </w:r>
    </w:p>
    <w:p w14:paraId="20035B22">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p>
    <w:p w14:paraId="6F54569E">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年度财政拨款收、支总计</w:t>
      </w:r>
      <w:r>
        <w:rPr>
          <w:rFonts w:hint="eastAsia" w:ascii="仿宋_GB2312" w:hAnsi="仿宋_GB2312" w:eastAsia="仿宋_GB2312" w:cs="仿宋_GB2312"/>
          <w:sz w:val="32"/>
          <w:szCs w:val="32"/>
          <w:lang w:val="en-US" w:eastAsia="zh-CN"/>
        </w:rPr>
        <w:t>均为4509.42</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453.98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增长</w:t>
      </w:r>
      <w:r>
        <w:rPr>
          <w:rFonts w:hint="eastAsia" w:ascii="仿宋_GB2312" w:hAnsi="仿宋_GB2312" w:eastAsia="仿宋_GB2312" w:cs="仿宋_GB2312"/>
          <w:sz w:val="32"/>
          <w:szCs w:val="32"/>
          <w:lang w:val="en-US" w:eastAsia="zh-CN"/>
        </w:rPr>
        <w:t>11.19</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val="en-US" w:eastAsia="zh-CN"/>
        </w:rPr>
        <w:t>学生人数及教师人数增加，生均、师均经费增加。</w:t>
      </w:r>
    </w:p>
    <w:p w14:paraId="46300E2F">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p>
    <w:p w14:paraId="301D34F1">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（一）财政拨款支出决算总体情况</w:t>
      </w:r>
    </w:p>
    <w:p w14:paraId="57D96748">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4509.42</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87.47</w:t>
      </w:r>
      <w:r>
        <w:rPr>
          <w:rFonts w:hint="eastAsia" w:ascii="仿宋_GB2312" w:hAnsi="仿宋_GB2312" w:eastAsia="仿宋_GB2312" w:cs="仿宋_GB2312"/>
          <w:sz w:val="32"/>
          <w:szCs w:val="32"/>
        </w:rPr>
        <w:t>%，与上年相比，财政拨款支出增加</w:t>
      </w:r>
      <w:r>
        <w:rPr>
          <w:rFonts w:hint="eastAsia" w:ascii="仿宋_GB2312" w:hAnsi="仿宋_GB2312" w:eastAsia="仿宋_GB2312" w:cs="仿宋_GB2312"/>
          <w:sz w:val="32"/>
          <w:szCs w:val="32"/>
          <w:lang w:val="en-US" w:eastAsia="zh-CN"/>
        </w:rPr>
        <w:t>453.98</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11.19</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val="en-US" w:eastAsia="zh-CN"/>
        </w:rPr>
        <w:t>学生人数及教师人数增加，生均、师均经费增加。</w:t>
      </w:r>
    </w:p>
    <w:p w14:paraId="3CEC2062">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（二）财政拨款支出决算结构情况</w:t>
      </w:r>
    </w:p>
    <w:p w14:paraId="2CAF289F">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4509.42</w:t>
      </w:r>
      <w:r>
        <w:rPr>
          <w:rFonts w:hint="eastAsia" w:ascii="仿宋_GB2312" w:hAnsi="仿宋_GB2312" w:eastAsia="仿宋_GB2312" w:cs="仿宋_GB2312"/>
          <w:sz w:val="32"/>
          <w:szCs w:val="32"/>
        </w:rPr>
        <w:t>万元，主要用于以下方面：一般公共服务（类）支出</w:t>
      </w:r>
      <w:r>
        <w:rPr>
          <w:rFonts w:hint="eastAsia" w:ascii="仿宋_GB2312" w:hAnsi="仿宋_GB2312" w:eastAsia="仿宋_GB2312" w:cs="仿宋_GB2312"/>
          <w:sz w:val="32"/>
          <w:szCs w:val="32"/>
          <w:lang w:val="en-US" w:eastAsia="zh-CN"/>
        </w:rPr>
        <w:t>2.40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教育（类）支出</w:t>
      </w:r>
      <w:r>
        <w:rPr>
          <w:rFonts w:hint="eastAsia" w:ascii="仿宋_GB2312" w:hAnsi="仿宋_GB2312" w:eastAsia="仿宋_GB2312" w:cs="仿宋_GB2312"/>
          <w:sz w:val="32"/>
          <w:szCs w:val="32"/>
          <w:lang w:val="en-US" w:eastAsia="zh-CN"/>
        </w:rPr>
        <w:t>3954.95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87.70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社会保障和就业（类）支出</w:t>
      </w:r>
      <w:r>
        <w:rPr>
          <w:rFonts w:hint="eastAsia" w:ascii="仿宋_GB2312" w:hAnsi="仿宋_GB2312" w:eastAsia="仿宋_GB2312" w:cs="仿宋_GB2312"/>
          <w:sz w:val="32"/>
          <w:szCs w:val="32"/>
          <w:lang w:val="en-US" w:eastAsia="zh-CN"/>
        </w:rPr>
        <w:t>404.90万元，占8.99%；卫生健康（类）支出147.17万元，占3.26%。</w:t>
      </w:r>
    </w:p>
    <w:p w14:paraId="7C5D89E0">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（三）财政拨款支出决算具体情况</w:t>
      </w:r>
    </w:p>
    <w:p w14:paraId="0A73C0F2">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年度财政拨款支出年初预算数为</w:t>
      </w:r>
      <w:r>
        <w:rPr>
          <w:rFonts w:hint="eastAsia" w:ascii="仿宋_GB2312" w:hAnsi="仿宋_GB2312" w:eastAsia="仿宋_GB2312" w:cs="仿宋_GB2312"/>
          <w:sz w:val="32"/>
          <w:szCs w:val="32"/>
          <w:lang w:val="en-US" w:eastAsia="zh-CN"/>
        </w:rPr>
        <w:t>2414.55</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4509.42</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186.76</w:t>
      </w:r>
      <w:r>
        <w:rPr>
          <w:rFonts w:hint="eastAsia" w:ascii="仿宋_GB2312" w:hAnsi="仿宋_GB2312" w:eastAsia="仿宋_GB2312" w:cs="仿宋_GB2312"/>
          <w:sz w:val="32"/>
          <w:szCs w:val="32"/>
        </w:rPr>
        <w:t>%，其中：</w:t>
      </w:r>
    </w:p>
    <w:p w14:paraId="6EB2C134">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1、一般公共服务（类）</w:t>
      </w:r>
      <w:r>
        <w:rPr>
          <w:rFonts w:hint="eastAsia" w:ascii="仿宋_GB2312" w:hAnsi="仿宋_GB2312" w:eastAsia="仿宋_GB2312" w:cs="仿宋_GB2312"/>
          <w:sz w:val="32"/>
          <w:szCs w:val="32"/>
          <w:lang w:val="en-US" w:eastAsia="zh-CN"/>
        </w:rPr>
        <w:t>组织事务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其他组织事务支出</w:t>
      </w:r>
      <w:r>
        <w:rPr>
          <w:rFonts w:hint="eastAsia" w:ascii="仿宋_GB2312" w:hAnsi="仿宋_GB2312" w:eastAsia="仿宋_GB2312" w:cs="仿宋_GB2312"/>
          <w:sz w:val="32"/>
          <w:szCs w:val="32"/>
        </w:rPr>
        <w:t>（项）。</w:t>
      </w:r>
    </w:p>
    <w:p w14:paraId="0C835254">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2.40</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val="en-US" w:eastAsia="zh-CN"/>
        </w:rPr>
        <w:t>年初预算未包括人才引进补贴相关支出。</w:t>
      </w:r>
    </w:p>
    <w:p w14:paraId="78ACFC5A">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教育支出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普通教育</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小学教育</w:t>
      </w:r>
      <w:r>
        <w:rPr>
          <w:rFonts w:hint="eastAsia" w:ascii="仿宋_GB2312" w:hAnsi="仿宋_GB2312" w:eastAsia="仿宋_GB2312" w:cs="仿宋_GB2312"/>
          <w:sz w:val="32"/>
          <w:szCs w:val="32"/>
        </w:rPr>
        <w:t>（项）。</w:t>
      </w:r>
    </w:p>
    <w:p w14:paraId="3A181206">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2414.55</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3215.97</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133.19</w:t>
      </w:r>
      <w:r>
        <w:rPr>
          <w:rFonts w:hint="eastAsia" w:ascii="仿宋_GB2312" w:hAnsi="仿宋_GB2312" w:eastAsia="仿宋_GB2312" w:cs="仿宋_GB2312"/>
          <w:sz w:val="32"/>
          <w:szCs w:val="32"/>
        </w:rPr>
        <w:t>%，决算数大于年初预算数的主要原因是：</w:t>
      </w:r>
      <w:r>
        <w:rPr>
          <w:rFonts w:hint="eastAsia" w:ascii="仿宋_GB2312" w:hAnsi="仿宋_GB2312" w:eastAsia="仿宋_GB2312" w:cs="仿宋_GB2312"/>
          <w:sz w:val="32"/>
          <w:szCs w:val="32"/>
          <w:lang w:val="en-US" w:eastAsia="zh-CN"/>
        </w:rPr>
        <w:t>年初预算未包括城乡义务补助资金等相关支出。</w:t>
      </w:r>
    </w:p>
    <w:p w14:paraId="5C00CDFD">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3、教育支出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普通教育</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其他普通教育支出</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eastAsia="zh-CN"/>
        </w:rPr>
        <w:t>。</w:t>
      </w:r>
    </w:p>
    <w:p w14:paraId="359AFEC7">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738.98</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val="en-US" w:eastAsia="zh-CN"/>
        </w:rPr>
        <w:t>年初预算未包括绩效奖、薄改资金等相关支出。</w:t>
      </w:r>
    </w:p>
    <w:p w14:paraId="146F5CFF">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4、社会保障和就业支出（类）行政事业单位养老支出（款）机关事业单位基本养老保险缴费支出（项）。</w:t>
      </w:r>
    </w:p>
    <w:p w14:paraId="0D2D6109">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289.78</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val="en-US" w:eastAsia="zh-CN"/>
        </w:rPr>
        <w:t>年初预算未包括养老保险相关支出。</w:t>
      </w:r>
    </w:p>
    <w:p w14:paraId="4A875988">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5、社会保障和就业支出（类）行政事业单位养老支出（款）其他行政事业单位养老支出（项）。</w:t>
      </w:r>
    </w:p>
    <w:p w14:paraId="4F9C2E43">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115.13</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val="en-US" w:eastAsia="zh-CN"/>
        </w:rPr>
        <w:t>年初预算未包括退休人员春节一次性补助相关支出。</w:t>
      </w:r>
    </w:p>
    <w:p w14:paraId="4946EE89">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6、卫生健康支出（类）行政事业单位医疗（款）行政单位医疗（项）。</w:t>
      </w:r>
    </w:p>
    <w:p w14:paraId="6801A4AA">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147.17</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val="en-US" w:eastAsia="zh-CN"/>
        </w:rPr>
        <w:t>年初预算未包括医疗保险相关支出。</w:t>
      </w:r>
    </w:p>
    <w:p w14:paraId="3FD2A841">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六、一般公共预算财政拨款基本支出决算情况说明</w:t>
      </w:r>
    </w:p>
    <w:p w14:paraId="233B75E2">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年度财政拨款基本支出</w:t>
      </w:r>
      <w:r>
        <w:rPr>
          <w:rFonts w:hint="eastAsia" w:ascii="仿宋_GB2312" w:hAnsi="仿宋_GB2312" w:eastAsia="仿宋_GB2312" w:cs="仿宋_GB2312"/>
          <w:sz w:val="32"/>
          <w:szCs w:val="32"/>
          <w:lang w:val="en-US" w:eastAsia="zh-CN"/>
        </w:rPr>
        <w:t>3730.55</w:t>
      </w:r>
      <w:r>
        <w:rPr>
          <w:rFonts w:hint="eastAsia" w:ascii="仿宋_GB2312" w:hAnsi="仿宋_GB2312" w:eastAsia="仿宋_GB2312" w:cs="仿宋_GB2312"/>
          <w:sz w:val="32"/>
          <w:szCs w:val="32"/>
        </w:rPr>
        <w:t>万元，其中：</w:t>
      </w:r>
    </w:p>
    <w:p w14:paraId="377376F0">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rPr>
        <w:t>人员经费</w:t>
      </w:r>
      <w:r>
        <w:rPr>
          <w:rFonts w:hint="eastAsia" w:ascii="仿宋_GB2312" w:hAnsi="仿宋_GB2312" w:eastAsia="仿宋_GB2312" w:cs="仿宋_GB2312"/>
          <w:sz w:val="32"/>
          <w:szCs w:val="32"/>
          <w:lang w:val="en-US" w:eastAsia="zh-CN"/>
        </w:rPr>
        <w:t>3684.83</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98.77</w:t>
      </w:r>
      <w:r>
        <w:rPr>
          <w:rFonts w:hint="eastAsia" w:ascii="仿宋_GB2312" w:hAnsi="仿宋_GB2312" w:eastAsia="仿宋_GB2312" w:cs="仿宋_GB2312"/>
          <w:sz w:val="32"/>
          <w:szCs w:val="32"/>
        </w:rPr>
        <w:t>%,主要包括基本工资</w:t>
      </w:r>
      <w:r>
        <w:rPr>
          <w:rFonts w:hint="eastAsia" w:ascii="仿宋_GB2312" w:hAnsi="仿宋_GB2312" w:eastAsia="仿宋_GB2312" w:cs="仿宋_GB2312"/>
          <w:sz w:val="32"/>
          <w:szCs w:val="32"/>
          <w:lang w:val="en-US" w:eastAsia="zh-CN"/>
        </w:rPr>
        <w:t>1143.68万元</w:t>
      </w:r>
      <w:r>
        <w:rPr>
          <w:rFonts w:hint="eastAsia" w:ascii="仿宋_GB2312" w:hAnsi="仿宋_GB2312" w:eastAsia="仿宋_GB2312" w:cs="仿宋_GB2312"/>
          <w:sz w:val="32"/>
          <w:szCs w:val="32"/>
        </w:rPr>
        <w:t>、津贴补贴</w:t>
      </w:r>
      <w:r>
        <w:rPr>
          <w:rFonts w:hint="eastAsia" w:ascii="仿宋_GB2312" w:hAnsi="仿宋_GB2312" w:eastAsia="仿宋_GB2312" w:cs="仿宋_GB2312"/>
          <w:sz w:val="32"/>
          <w:szCs w:val="32"/>
          <w:lang w:val="en-US" w:eastAsia="zh-CN"/>
        </w:rPr>
        <w:t>31.34万元</w:t>
      </w:r>
      <w:r>
        <w:rPr>
          <w:rFonts w:hint="eastAsia" w:ascii="仿宋_GB2312" w:hAnsi="仿宋_GB2312" w:eastAsia="仿宋_GB2312" w:cs="仿宋_GB2312"/>
          <w:sz w:val="32"/>
          <w:szCs w:val="32"/>
        </w:rPr>
        <w:t>、奖金</w:t>
      </w:r>
      <w:r>
        <w:rPr>
          <w:rFonts w:hint="eastAsia" w:ascii="仿宋_GB2312" w:hAnsi="仿宋_GB2312" w:eastAsia="仿宋_GB2312" w:cs="仿宋_GB2312"/>
          <w:sz w:val="32"/>
          <w:szCs w:val="32"/>
          <w:lang w:val="en-US" w:eastAsia="zh-CN"/>
        </w:rPr>
        <w:t>697.23万元</w:t>
      </w:r>
      <w:r>
        <w:rPr>
          <w:rFonts w:hint="eastAsia" w:ascii="仿宋_GB2312" w:hAnsi="仿宋_GB2312" w:eastAsia="仿宋_GB2312" w:cs="仿宋_GB2312"/>
          <w:sz w:val="32"/>
          <w:szCs w:val="32"/>
        </w:rPr>
        <w:t>、伙食补助费</w:t>
      </w:r>
      <w:r>
        <w:rPr>
          <w:rFonts w:hint="eastAsia" w:ascii="仿宋_GB2312" w:hAnsi="仿宋_GB2312" w:eastAsia="仿宋_GB2312" w:cs="仿宋_GB2312"/>
          <w:sz w:val="32"/>
          <w:szCs w:val="32"/>
          <w:lang w:val="en-US" w:eastAsia="zh-CN"/>
        </w:rPr>
        <w:t>17.85万元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绩效工资1190.76万元、机关事业单位基本养老保险缴费298.27万元、职工基本医疗缴费154.53万元、其他社会保障缴费20.65万元、其他工资福利支出5.60万元、抚恤金4.33万元、生活补助115.95万元、其他对个人和家庭的补助4.63万元</w:t>
      </w:r>
      <w:r>
        <w:rPr>
          <w:rFonts w:hint="eastAsia" w:ascii="仿宋_GB2312" w:hAnsi="仿宋_GB2312" w:eastAsia="仿宋_GB2312" w:cs="仿宋_GB2312"/>
          <w:sz w:val="32"/>
          <w:szCs w:val="32"/>
          <w:lang w:eastAsia="zh-CN"/>
        </w:rPr>
        <w:t>。</w:t>
      </w:r>
    </w:p>
    <w:p w14:paraId="2888EED4">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val="0"/>
          <w:bCs w:val="0"/>
          <w:sz w:val="32"/>
          <w:szCs w:val="32"/>
        </w:rPr>
        <w:t>公用经费</w:t>
      </w:r>
      <w:r>
        <w:rPr>
          <w:rFonts w:hint="eastAsia" w:ascii="仿宋_GB2312" w:hAnsi="仿宋_GB2312" w:eastAsia="仿宋_GB2312" w:cs="仿宋_GB2312"/>
          <w:sz w:val="32"/>
          <w:szCs w:val="32"/>
          <w:lang w:val="en-US" w:eastAsia="zh-CN"/>
        </w:rPr>
        <w:t>45.72</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1.23</w:t>
      </w:r>
      <w:r>
        <w:rPr>
          <w:rFonts w:hint="eastAsia" w:ascii="仿宋_GB2312" w:hAnsi="仿宋_GB2312" w:eastAsia="仿宋_GB2312" w:cs="仿宋_GB2312"/>
          <w:sz w:val="32"/>
          <w:szCs w:val="32"/>
        </w:rPr>
        <w:t>%，主要包括</w:t>
      </w:r>
      <w:r>
        <w:rPr>
          <w:rFonts w:hint="eastAsia" w:ascii="仿宋_GB2312" w:hAnsi="仿宋_GB2312" w:eastAsia="仿宋_GB2312" w:cs="仿宋_GB2312"/>
          <w:sz w:val="32"/>
          <w:szCs w:val="32"/>
          <w:lang w:val="en-US" w:eastAsia="zh-CN"/>
        </w:rPr>
        <w:t>工会经费45.71万元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税金及附加费用0.02万元</w:t>
      </w:r>
      <w:r>
        <w:rPr>
          <w:rFonts w:hint="eastAsia" w:ascii="仿宋_GB2312" w:hAnsi="仿宋_GB2312" w:eastAsia="仿宋_GB2312" w:cs="仿宋_GB2312"/>
          <w:sz w:val="32"/>
          <w:szCs w:val="32"/>
        </w:rPr>
        <w:t>。</w:t>
      </w:r>
    </w:p>
    <w:p w14:paraId="34DE345A">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val="0"/>
          <w:bCs/>
          <w:sz w:val="32"/>
          <w:szCs w:val="32"/>
        </w:rPr>
        <w:t>七、财政拨款三公经费支出决算情况说明</w:t>
      </w:r>
    </w:p>
    <w:p w14:paraId="24194D61">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（一）“三公”经费财政拨款支出决算总体情况说明</w:t>
      </w:r>
    </w:p>
    <w:p w14:paraId="60261F96">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“三公”经费财政拨款支出预算为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决算金额为0万元，无法计算完成百分比</w:t>
      </w:r>
      <w:r>
        <w:rPr>
          <w:rFonts w:hint="eastAsia" w:ascii="仿宋_GB2312" w:hAnsi="仿宋_GB2312" w:eastAsia="仿宋_GB2312" w:cs="仿宋_GB2312"/>
          <w:sz w:val="32"/>
          <w:szCs w:val="32"/>
        </w:rPr>
        <w:t>，决算数小于预算数的主要原因是落实过“紧日子”要求，严格执行开支标准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厉行节约；</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val="en-US" w:eastAsia="zh-CN"/>
        </w:rPr>
        <w:t>持平均为0万元</w:t>
      </w:r>
      <w:r>
        <w:rPr>
          <w:rFonts w:hint="eastAsia" w:ascii="仿宋_GB2312" w:hAnsi="仿宋_GB2312" w:eastAsia="仿宋_GB2312" w:cs="仿宋_GB2312"/>
          <w:sz w:val="32"/>
          <w:szCs w:val="32"/>
        </w:rPr>
        <w:t>，无法计算完成百分比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主要原因是落实过“紧日子”要求，严格执行开支标准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厉行节约。</w:t>
      </w:r>
      <w:r>
        <w:rPr>
          <w:rFonts w:hint="eastAsia" w:ascii="仿宋_GB2312" w:hAnsi="仿宋_GB2312" w:eastAsia="仿宋_GB2312" w:cs="仿宋_GB2312"/>
          <w:sz w:val="32"/>
          <w:szCs w:val="32"/>
        </w:rPr>
        <w:t>其中：</w:t>
      </w:r>
    </w:p>
    <w:p w14:paraId="24C9714C">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万元，预算决算金额均</w:t>
      </w:r>
      <w:r>
        <w:rPr>
          <w:rFonts w:hint="eastAsia" w:ascii="仿宋_GB2312" w:hAnsi="仿宋_GB2312" w:eastAsia="仿宋_GB2312" w:cs="仿宋_GB2312"/>
          <w:sz w:val="32"/>
          <w:szCs w:val="32"/>
          <w:lang w:val="en-US" w:eastAsia="zh-CN"/>
        </w:rPr>
        <w:t>为0万元</w:t>
      </w:r>
      <w:r>
        <w:rPr>
          <w:rFonts w:hint="eastAsia" w:ascii="仿宋_GB2312" w:hAnsi="仿宋_GB2312" w:eastAsia="仿宋_GB2312" w:cs="仿宋_GB2312"/>
          <w:sz w:val="32"/>
          <w:szCs w:val="32"/>
        </w:rPr>
        <w:t>，无法计算完成百分比，主要原因</w:t>
      </w:r>
      <w:r>
        <w:rPr>
          <w:rFonts w:hint="eastAsia" w:ascii="仿宋_GB2312" w:hAnsi="仿宋_GB2312" w:eastAsia="仿宋_GB2312" w:cs="仿宋_GB2312"/>
          <w:sz w:val="32"/>
          <w:szCs w:val="32"/>
          <w:lang w:val="en-US" w:eastAsia="zh-CN"/>
        </w:rPr>
        <w:t>是单位未</w:t>
      </w:r>
      <w:r>
        <w:rPr>
          <w:rFonts w:hint="eastAsia" w:ascii="仿宋_GB2312" w:hAnsi="仿宋_GB2312" w:eastAsia="仿宋_GB2312" w:cs="仿宋_GB2312"/>
          <w:sz w:val="32"/>
          <w:szCs w:val="32"/>
        </w:rPr>
        <w:t>因公出国（境）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与上年相比持平均为0万元，</w:t>
      </w:r>
      <w:r>
        <w:rPr>
          <w:rFonts w:hint="eastAsia" w:ascii="仿宋_GB2312" w:hAnsi="仿宋_GB2312" w:eastAsia="仿宋_GB2312" w:cs="仿宋_GB2312"/>
          <w:sz w:val="32"/>
          <w:szCs w:val="32"/>
        </w:rPr>
        <w:t>无法计算完成百分比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主要原因是单位未</w:t>
      </w:r>
      <w:r>
        <w:rPr>
          <w:rFonts w:hint="eastAsia" w:ascii="仿宋_GB2312" w:hAnsi="仿宋_GB2312" w:eastAsia="仿宋_GB2312" w:cs="仿宋_GB2312"/>
          <w:sz w:val="32"/>
          <w:szCs w:val="32"/>
        </w:rPr>
        <w:t>因公出国（境）。</w:t>
      </w:r>
    </w:p>
    <w:p w14:paraId="60CB3E92">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决算金额为0万元，无法计算完成百分比</w:t>
      </w:r>
      <w:r>
        <w:rPr>
          <w:rFonts w:hint="eastAsia" w:ascii="仿宋_GB2312" w:hAnsi="仿宋_GB2312" w:eastAsia="仿宋_GB2312" w:cs="仿宋_GB2312"/>
          <w:sz w:val="32"/>
          <w:szCs w:val="32"/>
        </w:rPr>
        <w:t>，决算数小于预算数的主要原因是严格遵守中央“八项规定”以及省、市有关规定，加强公务接待费管理，减少公务接待费支出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val="en-US" w:eastAsia="zh-CN"/>
        </w:rPr>
        <w:t>持平均为0万元</w:t>
      </w:r>
      <w:r>
        <w:rPr>
          <w:rFonts w:hint="eastAsia" w:ascii="仿宋_GB2312" w:hAnsi="仿宋_GB2312" w:eastAsia="仿宋_GB2312" w:cs="仿宋_GB2312"/>
          <w:sz w:val="32"/>
          <w:szCs w:val="32"/>
        </w:rPr>
        <w:t>，主要原因是严格执行开支标准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厉行节约</w:t>
      </w:r>
      <w:r>
        <w:rPr>
          <w:rFonts w:hint="eastAsia" w:ascii="仿宋_GB2312" w:hAnsi="仿宋_GB2312" w:eastAsia="仿宋_GB2312" w:cs="仿宋_GB2312"/>
          <w:sz w:val="32"/>
          <w:szCs w:val="32"/>
        </w:rPr>
        <w:t>。</w:t>
      </w:r>
    </w:p>
    <w:p w14:paraId="35A4766F">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万元，预算决算金额均</w:t>
      </w:r>
      <w:r>
        <w:rPr>
          <w:rFonts w:hint="eastAsia" w:ascii="仿宋_GB2312" w:hAnsi="仿宋_GB2312" w:eastAsia="仿宋_GB2312" w:cs="仿宋_GB2312"/>
          <w:sz w:val="32"/>
          <w:szCs w:val="32"/>
          <w:lang w:val="en-US" w:eastAsia="zh-CN"/>
        </w:rPr>
        <w:t>为0万元</w:t>
      </w:r>
      <w:r>
        <w:rPr>
          <w:rFonts w:hint="eastAsia" w:ascii="仿宋_GB2312" w:hAnsi="仿宋_GB2312" w:eastAsia="仿宋_GB2312" w:cs="仿宋_GB2312"/>
          <w:sz w:val="32"/>
          <w:szCs w:val="32"/>
        </w:rPr>
        <w:t>，无法计算完成百分比，主要原因</w:t>
      </w:r>
      <w:r>
        <w:rPr>
          <w:rFonts w:hint="eastAsia" w:ascii="仿宋_GB2312" w:hAnsi="仿宋_GB2312" w:eastAsia="仿宋_GB2312" w:cs="仿宋_GB2312"/>
          <w:sz w:val="32"/>
          <w:szCs w:val="32"/>
          <w:lang w:val="en-US" w:eastAsia="zh-CN"/>
        </w:rPr>
        <w:t>是未</w:t>
      </w:r>
      <w:r>
        <w:rPr>
          <w:rFonts w:hint="eastAsia" w:ascii="仿宋_GB2312" w:hAnsi="仿宋_GB2312" w:eastAsia="仿宋_GB2312" w:cs="仿宋_GB2312"/>
          <w:sz w:val="32"/>
          <w:szCs w:val="32"/>
        </w:rPr>
        <w:t>购置公务用车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与上年相比持平均为0万元，</w:t>
      </w:r>
      <w:r>
        <w:rPr>
          <w:rFonts w:hint="eastAsia" w:ascii="仿宋_GB2312" w:hAnsi="仿宋_GB2312" w:eastAsia="仿宋_GB2312" w:cs="仿宋_GB2312"/>
          <w:sz w:val="32"/>
          <w:szCs w:val="32"/>
        </w:rPr>
        <w:t>无法计算完成百分比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val="en-US" w:eastAsia="zh-CN"/>
        </w:rPr>
        <w:t>是未</w:t>
      </w:r>
      <w:r>
        <w:rPr>
          <w:rFonts w:hint="eastAsia" w:ascii="仿宋_GB2312" w:hAnsi="仿宋_GB2312" w:eastAsia="仿宋_GB2312" w:cs="仿宋_GB2312"/>
          <w:sz w:val="32"/>
          <w:szCs w:val="32"/>
        </w:rPr>
        <w:t>购置公务用车。</w:t>
      </w:r>
    </w:p>
    <w:p w14:paraId="345AA675">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万元，预算决算金额均</w:t>
      </w:r>
      <w:r>
        <w:rPr>
          <w:rFonts w:hint="eastAsia" w:ascii="仿宋_GB2312" w:hAnsi="仿宋_GB2312" w:eastAsia="仿宋_GB2312" w:cs="仿宋_GB2312"/>
          <w:sz w:val="32"/>
          <w:szCs w:val="32"/>
          <w:lang w:val="en-US" w:eastAsia="zh-CN"/>
        </w:rPr>
        <w:t>为0万元</w:t>
      </w:r>
      <w:r>
        <w:rPr>
          <w:rFonts w:hint="eastAsia" w:ascii="仿宋_GB2312" w:hAnsi="仿宋_GB2312" w:eastAsia="仿宋_GB2312" w:cs="仿宋_GB2312"/>
          <w:sz w:val="32"/>
          <w:szCs w:val="32"/>
        </w:rPr>
        <w:t>，无法计算完成百分比</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本单位无公务用车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与上年相比持平均为0万元，</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本单位无公务用车</w:t>
      </w:r>
      <w:r>
        <w:rPr>
          <w:rFonts w:hint="eastAsia" w:ascii="仿宋_GB2312" w:hAnsi="仿宋_GB2312" w:eastAsia="仿宋_GB2312" w:cs="仿宋_GB2312"/>
          <w:sz w:val="32"/>
          <w:szCs w:val="32"/>
        </w:rPr>
        <w:t>。</w:t>
      </w:r>
    </w:p>
    <w:p w14:paraId="5F9AFC56">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（二）“三公”经费财政拨款支出决算具体情况说明</w:t>
      </w:r>
    </w:p>
    <w:p w14:paraId="63FE5B97">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年度“三公”经费财政拨款支出决算中，公务接待费支出决算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万元，公务用车购置费及运行维护费支出决算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p>
    <w:p w14:paraId="652610B2">
      <w:pPr>
        <w:pStyle w:val="9"/>
        <w:keepNext w:val="0"/>
        <w:keepLines w:val="0"/>
        <w:pageBreakBefore w:val="0"/>
        <w:widowControl w:val="0"/>
        <w:numPr>
          <w:ilvl w:val="0"/>
          <w:numId w:val="0"/>
        </w:numPr>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因公出国（境）费支出决算为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个，累计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主要是</w:t>
      </w:r>
      <w:bookmarkStart w:id="0" w:name="THERR_YGCGJFY_ZYYY"/>
      <w:r>
        <w:rPr>
          <w:rFonts w:hint="eastAsia" w:ascii="仿宋_GB2312" w:hAnsi="仿宋_GB2312" w:eastAsia="仿宋_GB2312" w:cs="仿宋_GB2312"/>
          <w:sz w:val="32"/>
          <w:szCs w:val="32"/>
        </w:rPr>
        <w:t>2022年</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rPr>
        <w:t>单位没有因公出国（境）费支出</w:t>
      </w:r>
      <w:bookmarkEnd w:id="0"/>
      <w:r>
        <w:rPr>
          <w:rFonts w:hint="eastAsia" w:ascii="仿宋_GB2312" w:hAnsi="仿宋_GB2312" w:eastAsia="仿宋_GB2312" w:cs="仿宋_GB2312"/>
          <w:sz w:val="32"/>
          <w:szCs w:val="32"/>
          <w:lang w:eastAsia="zh-CN"/>
        </w:rPr>
        <w:t>。</w:t>
      </w:r>
    </w:p>
    <w:p w14:paraId="06ECAF7F">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万元，全年共接待来访团组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个、来宾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主要是2022年</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rPr>
        <w:t>单位没有公务接待费支出。</w:t>
      </w:r>
    </w:p>
    <w:p w14:paraId="0E5AD609">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bCs/>
          <w:i/>
          <w:color w:val="auto"/>
          <w:kern w:val="0"/>
          <w:sz w:val="32"/>
          <w:szCs w:val="32"/>
          <w:lang w:val="en-US" w:eastAsia="zh-CN" w:bidi="ar-SA"/>
        </w:rPr>
      </w:pPr>
      <w:r>
        <w:rPr>
          <w:rFonts w:hint="eastAsia" w:ascii="仿宋_GB2312" w:hAnsi="仿宋_GB2312" w:eastAsia="仿宋_GB2312" w:cs="仿宋_GB2312"/>
          <w:sz w:val="32"/>
          <w:szCs w:val="32"/>
        </w:rPr>
        <w:t>3、公务用车购置费及运行维护费支出决算为0万元，其中：公务用车购置费0万元，更新公务用车0辆。公务用车运行维护费0万元，主要是2022年</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rPr>
        <w:t>单位无公务用车购置及维护费支出，截止2022年12月31日，我单位开支财政拨款的公务用车保有量为0辆。</w:t>
      </w:r>
    </w:p>
    <w:p w14:paraId="50B85F46">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rPr>
        <w:t>八、政府性基金预算收入支出决算情况</w:t>
      </w:r>
      <w:r>
        <w:rPr>
          <w:rFonts w:hint="eastAsia" w:ascii="仿宋_GB2312" w:hAnsi="仿宋_GB2312" w:eastAsia="仿宋_GB2312" w:cs="仿宋_GB2312"/>
          <w:b w:val="0"/>
          <w:bCs/>
          <w:sz w:val="32"/>
          <w:szCs w:val="32"/>
          <w:lang w:val="en-US" w:eastAsia="zh-CN"/>
        </w:rPr>
        <w:t>说明</w:t>
      </w:r>
    </w:p>
    <w:p w14:paraId="71B3C747">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bCs/>
          <w:i/>
          <w:color w:val="auto"/>
          <w:kern w:val="0"/>
          <w:sz w:val="32"/>
          <w:szCs w:val="32"/>
          <w:lang w:val="en-US" w:eastAsia="zh-CN" w:bidi="ar-SA"/>
        </w:rPr>
      </w:pPr>
      <w:r>
        <w:rPr>
          <w:rFonts w:hint="eastAsia" w:ascii="仿宋_GB2312" w:hAnsi="仿宋_GB2312" w:eastAsia="仿宋_GB2312" w:cs="仿宋_GB2312"/>
          <w:sz w:val="32"/>
          <w:szCs w:val="32"/>
          <w:lang w:val="en-US" w:eastAsia="zh-CN"/>
        </w:rPr>
        <w:t>2022年度本单位无政府性基金收支。</w:t>
      </w:r>
    </w:p>
    <w:p w14:paraId="74A44BFD">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sz w:val="32"/>
          <w:szCs w:val="32"/>
          <w:lang w:val="en-US"/>
        </w:rPr>
      </w:pPr>
      <w:r>
        <w:rPr>
          <w:rFonts w:hint="eastAsia" w:ascii="仿宋_GB2312" w:hAnsi="仿宋_GB2312" w:eastAsia="仿宋_GB2312" w:cs="仿宋_GB2312"/>
          <w:b w:val="0"/>
          <w:bCs/>
          <w:sz w:val="32"/>
          <w:szCs w:val="32"/>
          <w:lang w:val="en-US" w:eastAsia="zh-CN"/>
        </w:rPr>
        <w:t>九</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eastAsia="zh-CN"/>
        </w:rPr>
        <w:t>国有资本经营预算</w:t>
      </w:r>
      <w:r>
        <w:rPr>
          <w:rFonts w:hint="eastAsia" w:ascii="仿宋_GB2312" w:hAnsi="仿宋_GB2312" w:eastAsia="仿宋_GB2312" w:cs="仿宋_GB2312"/>
          <w:b w:val="0"/>
          <w:bCs/>
          <w:sz w:val="32"/>
          <w:szCs w:val="32"/>
          <w:lang w:val="en-US" w:eastAsia="zh-CN"/>
        </w:rPr>
        <w:t>财政拨款</w:t>
      </w:r>
      <w:r>
        <w:rPr>
          <w:rFonts w:hint="eastAsia" w:ascii="仿宋_GB2312" w:hAnsi="仿宋_GB2312" w:eastAsia="仿宋_GB2312" w:cs="仿宋_GB2312"/>
          <w:b w:val="0"/>
          <w:bCs/>
          <w:sz w:val="32"/>
          <w:szCs w:val="32"/>
          <w:lang w:eastAsia="zh-CN"/>
        </w:rPr>
        <w:t>支出决算情况</w:t>
      </w:r>
      <w:r>
        <w:rPr>
          <w:rFonts w:hint="eastAsia" w:ascii="仿宋_GB2312" w:hAnsi="仿宋_GB2312" w:eastAsia="仿宋_GB2312" w:cs="仿宋_GB2312"/>
          <w:b w:val="0"/>
          <w:bCs/>
          <w:sz w:val="32"/>
          <w:szCs w:val="32"/>
          <w:lang w:val="en-US" w:eastAsia="zh-CN"/>
        </w:rPr>
        <w:t>说明</w:t>
      </w:r>
    </w:p>
    <w:p w14:paraId="54ED7D78">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2022年度本单位无国</w:t>
      </w:r>
      <w:bookmarkStart w:id="1" w:name="_GoBack"/>
      <w:bookmarkEnd w:id="1"/>
      <w:r>
        <w:rPr>
          <w:rFonts w:hint="eastAsia" w:ascii="仿宋_GB2312" w:hAnsi="仿宋_GB2312" w:eastAsia="仿宋_GB2312" w:cs="仿宋_GB2312"/>
          <w:sz w:val="32"/>
          <w:szCs w:val="32"/>
          <w:lang w:val="en-US" w:eastAsia="zh-CN"/>
        </w:rPr>
        <w:t>有资本经营预算财政拨款支出。</w:t>
      </w:r>
    </w:p>
    <w:p w14:paraId="4E520809">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rPr>
        <w:t>十、</w:t>
      </w:r>
      <w:r>
        <w:rPr>
          <w:rFonts w:hint="eastAsia" w:ascii="仿宋_GB2312" w:hAnsi="仿宋_GB2312" w:eastAsia="仿宋_GB2312" w:cs="仿宋_GB2312"/>
          <w:b w:val="0"/>
          <w:bCs/>
          <w:sz w:val="32"/>
          <w:szCs w:val="32"/>
          <w:lang w:val="en-US" w:eastAsia="zh-CN"/>
        </w:rPr>
        <w:t>关于机关运行经费支出说明</w:t>
      </w:r>
    </w:p>
    <w:p w14:paraId="7A39579B">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机关运行经费是为保障行政单位（包括参照公务员法管理的事业单位）运行，用一般公共预算拨款安排用于购买货物和服务的各项资金。</w:t>
      </w:r>
      <w:r>
        <w:rPr>
          <w:rFonts w:hint="eastAsia" w:ascii="仿宋_GB2312" w:hAnsi="仿宋_GB2312" w:eastAsia="仿宋_GB2312" w:cs="仿宋_GB2312"/>
          <w:b w:val="0"/>
          <w:bCs/>
          <w:sz w:val="32"/>
          <w:szCs w:val="32"/>
          <w:lang w:val="en-US" w:eastAsia="zh-CN"/>
        </w:rPr>
        <w:t>本</w:t>
      </w:r>
      <w:r>
        <w:rPr>
          <w:rFonts w:hint="eastAsia" w:ascii="仿宋_GB2312" w:hAnsi="仿宋_GB2312" w:eastAsia="仿宋_GB2312" w:cs="仿宋_GB2312"/>
          <w:b w:val="0"/>
          <w:bCs/>
          <w:sz w:val="32"/>
          <w:szCs w:val="32"/>
          <w:lang w:eastAsia="zh-CN"/>
        </w:rPr>
        <w:t>单位为</w:t>
      </w:r>
      <w:r>
        <w:rPr>
          <w:rFonts w:hint="eastAsia" w:ascii="仿宋_GB2312" w:hAnsi="仿宋_GB2312" w:eastAsia="仿宋_GB2312" w:cs="仿宋_GB2312"/>
          <w:b w:val="0"/>
          <w:bCs/>
          <w:sz w:val="32"/>
          <w:szCs w:val="32"/>
          <w:lang w:val="en-US" w:eastAsia="zh-CN"/>
        </w:rPr>
        <w:t>全额拨款</w:t>
      </w:r>
      <w:r>
        <w:rPr>
          <w:rFonts w:hint="eastAsia" w:ascii="仿宋_GB2312" w:hAnsi="仿宋_GB2312" w:eastAsia="仿宋_GB2312" w:cs="仿宋_GB2312"/>
          <w:b w:val="0"/>
          <w:bCs/>
          <w:sz w:val="32"/>
          <w:szCs w:val="32"/>
          <w:lang w:eastAsia="zh-CN"/>
        </w:rPr>
        <w:t>事业单位，用于购买货物和服务的各项资金不属于机关运行经费</w:t>
      </w:r>
      <w:r>
        <w:rPr>
          <w:rFonts w:hint="eastAsia" w:ascii="仿宋_GB2312" w:hAnsi="仿宋_GB2312" w:eastAsia="仿宋_GB2312" w:cs="仿宋_GB2312"/>
          <w:b w:val="0"/>
          <w:bCs/>
          <w:sz w:val="32"/>
          <w:szCs w:val="32"/>
          <w:lang w:val="en-US" w:eastAsia="zh-CN"/>
        </w:rPr>
        <w:t>。</w:t>
      </w:r>
    </w:p>
    <w:p w14:paraId="22753A1D">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十一、一般性支出情况说明</w:t>
      </w:r>
    </w:p>
    <w:p w14:paraId="1B4E5FDA">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年本部门开支会议费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万元；开支培训费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未</w:t>
      </w:r>
      <w:r>
        <w:rPr>
          <w:rFonts w:hint="eastAsia" w:ascii="仿宋_GB2312" w:hAnsi="仿宋_GB2312" w:eastAsia="仿宋_GB2312" w:cs="仿宋_GB2312"/>
          <w:sz w:val="32"/>
          <w:szCs w:val="32"/>
        </w:rPr>
        <w:t>举办节庆、晚会、论坛、赛事活动</w:t>
      </w:r>
      <w:r>
        <w:rPr>
          <w:rFonts w:hint="eastAsia" w:ascii="仿宋_GB2312" w:hAnsi="仿宋_GB2312" w:eastAsia="仿宋_GB2312" w:cs="仿宋_GB2312"/>
          <w:sz w:val="32"/>
          <w:szCs w:val="32"/>
          <w:lang w:eastAsia="zh-CN"/>
        </w:rPr>
        <w:t>。</w:t>
      </w:r>
    </w:p>
    <w:p w14:paraId="537D3F57">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十</w:t>
      </w:r>
      <w:r>
        <w:rPr>
          <w:rFonts w:hint="eastAsia" w:ascii="仿宋_GB2312" w:hAnsi="仿宋_GB2312" w:eastAsia="仿宋_GB2312" w:cs="仿宋_GB2312"/>
          <w:b w:val="0"/>
          <w:bCs/>
          <w:sz w:val="32"/>
          <w:szCs w:val="32"/>
          <w:lang w:val="en-US" w:eastAsia="zh-CN"/>
        </w:rPr>
        <w:t>二</w:t>
      </w:r>
      <w:r>
        <w:rPr>
          <w:rFonts w:hint="eastAsia" w:ascii="仿宋_GB2312" w:hAnsi="仿宋_GB2312" w:eastAsia="仿宋_GB2312" w:cs="仿宋_GB2312"/>
          <w:b w:val="0"/>
          <w:bCs/>
          <w:sz w:val="32"/>
          <w:szCs w:val="32"/>
        </w:rPr>
        <w:t>、关于政府采购支出说明</w:t>
      </w:r>
    </w:p>
    <w:p w14:paraId="3B6BE783">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bCs/>
          <w:i/>
          <w:color w:val="auto"/>
          <w:kern w:val="0"/>
          <w:sz w:val="32"/>
          <w:szCs w:val="32"/>
          <w:lang w:val="en-US" w:eastAsia="zh-CN" w:bidi="ar-SA"/>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98.50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66.50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98.50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98.50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%。货物采购授予中小企业合同金额占货物支出金额的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工程采购授予中小企业合同金额占工程支出金额的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由于服务支出金额为0万元，无法计算服务采购授予中小企业合同金额占服务支出金额的百分比。</w:t>
      </w:r>
    </w:p>
    <w:p w14:paraId="7B8F4D68">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十</w:t>
      </w:r>
      <w:r>
        <w:rPr>
          <w:rFonts w:hint="eastAsia" w:ascii="仿宋_GB2312" w:hAnsi="仿宋_GB2312" w:eastAsia="仿宋_GB2312" w:cs="仿宋_GB2312"/>
          <w:b w:val="0"/>
          <w:bCs/>
          <w:sz w:val="32"/>
          <w:szCs w:val="32"/>
          <w:lang w:val="en-US" w:eastAsia="zh-CN"/>
        </w:rPr>
        <w:t>三</w:t>
      </w:r>
      <w:r>
        <w:rPr>
          <w:rFonts w:hint="eastAsia" w:ascii="仿宋_GB2312" w:hAnsi="仿宋_GB2312" w:eastAsia="仿宋_GB2312" w:cs="仿宋_GB2312"/>
          <w:b w:val="0"/>
          <w:bCs/>
          <w:sz w:val="32"/>
          <w:szCs w:val="32"/>
        </w:rPr>
        <w:t>、关于国有资产占用情况说明</w:t>
      </w:r>
    </w:p>
    <w:p w14:paraId="3E510BE3">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截至2022年12月31日，本单位共有车辆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辆，其中，主要领导干部用车0辆，机要通信用车0辆、应急保障用车0辆、执法执勤用车0辆、特种专业技术用车0辆、其他用车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val="en-US" w:eastAsia="zh-CN"/>
        </w:rPr>
        <w:t>无其他用车</w:t>
      </w:r>
      <w:r>
        <w:rPr>
          <w:rFonts w:hint="eastAsia" w:ascii="仿宋_GB2312" w:hAnsi="仿宋_GB2312" w:eastAsia="仿宋_GB2312" w:cs="仿宋_GB2312"/>
          <w:sz w:val="32"/>
          <w:szCs w:val="32"/>
        </w:rPr>
        <w:t>；单位价值50万元以上通用设备</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台（套）；单位价值100万元以上专用设备0台（套）。</w:t>
      </w:r>
    </w:p>
    <w:p w14:paraId="51E073D3">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val="0"/>
          <w:bCs/>
          <w:sz w:val="32"/>
          <w:szCs w:val="32"/>
        </w:rPr>
        <w:t>十</w:t>
      </w:r>
      <w:r>
        <w:rPr>
          <w:rFonts w:hint="eastAsia" w:ascii="仿宋_GB2312" w:hAnsi="仿宋_GB2312" w:eastAsia="仿宋_GB2312" w:cs="仿宋_GB2312"/>
          <w:b w:val="0"/>
          <w:bCs/>
          <w:sz w:val="32"/>
          <w:szCs w:val="32"/>
          <w:lang w:val="en-US" w:eastAsia="zh-CN"/>
        </w:rPr>
        <w:t>四</w:t>
      </w:r>
      <w:r>
        <w:rPr>
          <w:rFonts w:hint="eastAsia" w:ascii="仿宋_GB2312" w:hAnsi="仿宋_GB2312" w:eastAsia="仿宋_GB2312" w:cs="仿宋_GB2312"/>
          <w:b w:val="0"/>
          <w:bCs/>
          <w:sz w:val="32"/>
          <w:szCs w:val="32"/>
        </w:rPr>
        <w:t>、关于</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sz w:val="32"/>
          <w:szCs w:val="32"/>
        </w:rPr>
        <w:t>年度预算绩效情况的说明</w:t>
      </w:r>
    </w:p>
    <w:p w14:paraId="37CDB66B">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年按财政局要求认真开展落实绩效管理工作，切实完成年度绩效目标和绩效评价工作。自评报告见附件。</w:t>
      </w:r>
    </w:p>
    <w:p w14:paraId="223559A4">
      <w:pPr>
        <w:pStyle w:val="9"/>
        <w:jc w:val="center"/>
        <w:rPr>
          <w:sz w:val="72"/>
          <w:szCs w:val="72"/>
        </w:rPr>
      </w:pPr>
    </w:p>
    <w:p w14:paraId="13909346">
      <w:pPr>
        <w:pStyle w:val="9"/>
        <w:jc w:val="center"/>
        <w:rPr>
          <w:sz w:val="72"/>
          <w:szCs w:val="72"/>
        </w:rPr>
      </w:pPr>
    </w:p>
    <w:p w14:paraId="69CEC0B7">
      <w:pPr>
        <w:pStyle w:val="9"/>
        <w:jc w:val="center"/>
        <w:rPr>
          <w:sz w:val="72"/>
          <w:szCs w:val="72"/>
        </w:rPr>
      </w:pPr>
    </w:p>
    <w:p w14:paraId="393D83EC">
      <w:pPr>
        <w:pStyle w:val="9"/>
        <w:jc w:val="center"/>
        <w:rPr>
          <w:sz w:val="72"/>
          <w:szCs w:val="72"/>
        </w:rPr>
      </w:pPr>
    </w:p>
    <w:p w14:paraId="6B97B020">
      <w:pPr>
        <w:pStyle w:val="9"/>
        <w:jc w:val="center"/>
        <w:rPr>
          <w:sz w:val="72"/>
          <w:szCs w:val="72"/>
        </w:rPr>
      </w:pPr>
    </w:p>
    <w:p w14:paraId="5A62542D">
      <w:pPr>
        <w:pStyle w:val="9"/>
        <w:jc w:val="center"/>
        <w:rPr>
          <w:sz w:val="72"/>
          <w:szCs w:val="72"/>
        </w:rPr>
      </w:pPr>
    </w:p>
    <w:p w14:paraId="1E4CA77A">
      <w:pPr>
        <w:pStyle w:val="9"/>
        <w:jc w:val="center"/>
        <w:rPr>
          <w:sz w:val="72"/>
          <w:szCs w:val="72"/>
        </w:rPr>
      </w:pPr>
    </w:p>
    <w:p w14:paraId="2F8E2103">
      <w:pPr>
        <w:pStyle w:val="9"/>
        <w:jc w:val="center"/>
        <w:rPr>
          <w:sz w:val="72"/>
          <w:szCs w:val="72"/>
        </w:rPr>
      </w:pPr>
    </w:p>
    <w:p w14:paraId="041CB1D6">
      <w:pPr>
        <w:pStyle w:val="9"/>
        <w:jc w:val="center"/>
        <w:rPr>
          <w:sz w:val="72"/>
          <w:szCs w:val="72"/>
        </w:rPr>
      </w:pPr>
    </w:p>
    <w:p w14:paraId="15B3B0B0">
      <w:pPr>
        <w:pStyle w:val="9"/>
        <w:jc w:val="both"/>
        <w:rPr>
          <w:rFonts w:hint="eastAsia" w:ascii="方正小标宋_GBK" w:hAnsi="方正小标宋_GBK" w:eastAsia="方正小标宋_GBK" w:cs="方正小标宋_GBK"/>
          <w:sz w:val="72"/>
          <w:szCs w:val="72"/>
        </w:rPr>
      </w:pPr>
    </w:p>
    <w:p w14:paraId="0ADE288C">
      <w:pPr>
        <w:pStyle w:val="9"/>
        <w:jc w:val="center"/>
        <w:rPr>
          <w:rFonts w:hint="eastAsia" w:ascii="方正小标宋_GBK" w:hAnsi="方正小标宋_GBK" w:eastAsia="方正小标宋_GBK" w:cs="方正小标宋_GBK"/>
          <w:sz w:val="72"/>
          <w:szCs w:val="72"/>
        </w:rPr>
      </w:pPr>
    </w:p>
    <w:p w14:paraId="4E46F074">
      <w:pPr>
        <w:pStyle w:val="9"/>
        <w:jc w:val="both"/>
        <w:rPr>
          <w:rFonts w:hint="eastAsia" w:ascii="方正小标宋_GBK" w:hAnsi="方正小标宋_GBK" w:eastAsia="方正小标宋_GBK" w:cs="方正小标宋_GBK"/>
          <w:sz w:val="72"/>
          <w:szCs w:val="72"/>
        </w:rPr>
      </w:pPr>
    </w:p>
    <w:p w14:paraId="4B4E8EF2">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CC50E87">
      <w:pPr>
        <w:jc w:val="center"/>
        <w:rPr>
          <w:rFonts w:hint="eastAsia" w:ascii="方正小标宋_GBK" w:hAnsi="方正小标宋_GBK" w:eastAsia="方正小标宋_GBK" w:cs="方正小标宋_GBK"/>
          <w:color w:val="000000"/>
          <w:kern w:val="0"/>
          <w:sz w:val="70"/>
          <w:szCs w:val="70"/>
        </w:rPr>
      </w:pPr>
    </w:p>
    <w:p w14:paraId="21B9074D">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5C7DB1E">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2450E61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cs="黑体" w:asciiTheme="minorEastAsia" w:hAnsiTheme="minorEastAsia"/>
          <w:color w:val="000000"/>
          <w:kern w:val="0"/>
          <w:sz w:val="32"/>
          <w:szCs w:val="32"/>
        </w:rPr>
      </w:pPr>
      <w:r>
        <w:rPr>
          <w:rFonts w:hint="eastAsia" w:ascii="Times New Roman" w:hAnsi="Times New Roman" w:eastAsia="仿宋_GB2312" w:cs="黑体"/>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1DC19AE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sz w:val="72"/>
          <w:szCs w:val="72"/>
        </w:rPr>
      </w:pPr>
      <w:r>
        <w:rPr>
          <w:rFonts w:hint="eastAsia" w:ascii="Times New Roman" w:hAnsi="Times New Roman" w:eastAsia="仿宋_GB2312" w:cs="黑体"/>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C155478">
      <w:pPr>
        <w:pStyle w:val="9"/>
        <w:jc w:val="center"/>
        <w:rPr>
          <w:sz w:val="72"/>
          <w:szCs w:val="72"/>
        </w:rPr>
      </w:pPr>
    </w:p>
    <w:p w14:paraId="75871AF1">
      <w:pPr>
        <w:pStyle w:val="9"/>
        <w:jc w:val="center"/>
        <w:rPr>
          <w:sz w:val="72"/>
          <w:szCs w:val="72"/>
        </w:rPr>
      </w:pPr>
    </w:p>
    <w:p w14:paraId="7F744112">
      <w:pPr>
        <w:pStyle w:val="9"/>
        <w:jc w:val="center"/>
        <w:rPr>
          <w:sz w:val="72"/>
          <w:szCs w:val="72"/>
        </w:rPr>
      </w:pPr>
    </w:p>
    <w:p w14:paraId="59FAD5E5">
      <w:pPr>
        <w:pStyle w:val="9"/>
        <w:jc w:val="center"/>
        <w:rPr>
          <w:sz w:val="72"/>
          <w:szCs w:val="72"/>
        </w:rPr>
      </w:pPr>
    </w:p>
    <w:p w14:paraId="4AF3D98A">
      <w:pPr>
        <w:pStyle w:val="9"/>
        <w:jc w:val="center"/>
        <w:rPr>
          <w:sz w:val="72"/>
          <w:szCs w:val="72"/>
        </w:rPr>
      </w:pPr>
    </w:p>
    <w:p w14:paraId="66AFB8C2">
      <w:pPr>
        <w:pStyle w:val="9"/>
        <w:jc w:val="center"/>
        <w:rPr>
          <w:sz w:val="72"/>
          <w:szCs w:val="72"/>
        </w:rPr>
      </w:pPr>
    </w:p>
    <w:p w14:paraId="11792C86">
      <w:pPr>
        <w:pStyle w:val="9"/>
        <w:jc w:val="center"/>
        <w:rPr>
          <w:sz w:val="72"/>
          <w:szCs w:val="72"/>
        </w:rPr>
      </w:pPr>
    </w:p>
    <w:p w14:paraId="5C00DDD7">
      <w:pPr>
        <w:pStyle w:val="9"/>
        <w:jc w:val="center"/>
        <w:rPr>
          <w:sz w:val="72"/>
          <w:szCs w:val="72"/>
        </w:rPr>
      </w:pPr>
    </w:p>
    <w:p w14:paraId="677B77B5">
      <w:pPr>
        <w:pStyle w:val="9"/>
        <w:jc w:val="center"/>
        <w:rPr>
          <w:sz w:val="72"/>
          <w:szCs w:val="72"/>
        </w:rPr>
      </w:pPr>
    </w:p>
    <w:p w14:paraId="4BFDA6FF">
      <w:pPr>
        <w:pStyle w:val="9"/>
        <w:jc w:val="center"/>
        <w:rPr>
          <w:sz w:val="72"/>
          <w:szCs w:val="72"/>
        </w:rPr>
      </w:pPr>
    </w:p>
    <w:p w14:paraId="59935BF7">
      <w:pPr>
        <w:pStyle w:val="9"/>
        <w:jc w:val="both"/>
        <w:rPr>
          <w:rFonts w:hint="eastAsia" w:ascii="方正小标宋_GBK" w:hAnsi="方正小标宋_GBK" w:eastAsia="方正小标宋_GBK" w:cs="方正小标宋_GBK"/>
          <w:sz w:val="72"/>
          <w:szCs w:val="72"/>
        </w:rPr>
      </w:pPr>
    </w:p>
    <w:p w14:paraId="30BAC1A2">
      <w:pPr>
        <w:pStyle w:val="9"/>
        <w:jc w:val="center"/>
        <w:rPr>
          <w:rFonts w:hint="eastAsia" w:ascii="方正小标宋_GBK" w:hAnsi="方正小标宋_GBK" w:eastAsia="方正小标宋_GBK" w:cs="方正小标宋_GBK"/>
          <w:sz w:val="72"/>
          <w:szCs w:val="72"/>
        </w:rPr>
      </w:pPr>
    </w:p>
    <w:p w14:paraId="5DA24591">
      <w:pPr>
        <w:pStyle w:val="9"/>
        <w:jc w:val="center"/>
        <w:rPr>
          <w:rFonts w:hint="eastAsia" w:ascii="方正小标宋_GBK" w:hAnsi="方正小标宋_GBK" w:eastAsia="方正小标宋_GBK" w:cs="方正小标宋_GBK"/>
          <w:sz w:val="72"/>
          <w:szCs w:val="72"/>
        </w:rPr>
      </w:pPr>
    </w:p>
    <w:p w14:paraId="1B8C224D">
      <w:pPr>
        <w:pStyle w:val="9"/>
        <w:jc w:val="center"/>
        <w:rPr>
          <w:rFonts w:hint="eastAsia" w:ascii="方正小标宋_GBK" w:hAnsi="方正小标宋_GBK" w:eastAsia="方正小标宋_GBK" w:cs="方正小标宋_GBK"/>
          <w:sz w:val="72"/>
          <w:szCs w:val="72"/>
        </w:rPr>
      </w:pPr>
    </w:p>
    <w:p w14:paraId="1B233FA8">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val="en-US" w:eastAsia="zh-CN"/>
        </w:rPr>
        <w:t>五</w:t>
      </w:r>
      <w:r>
        <w:rPr>
          <w:rFonts w:hint="eastAsia" w:ascii="方正小标宋_GBK" w:hAnsi="方正小标宋_GBK" w:eastAsia="方正小标宋_GBK" w:cs="方正小标宋_GBK"/>
          <w:sz w:val="72"/>
          <w:szCs w:val="72"/>
        </w:rPr>
        <w:t>部分</w:t>
      </w:r>
    </w:p>
    <w:p w14:paraId="5D456D45">
      <w:pPr>
        <w:jc w:val="center"/>
        <w:rPr>
          <w:rFonts w:hint="eastAsia" w:ascii="方正小标宋_GBK" w:hAnsi="方正小标宋_GBK" w:eastAsia="方正小标宋_GBK" w:cs="方正小标宋_GBK"/>
          <w:color w:val="000000"/>
          <w:kern w:val="0"/>
          <w:sz w:val="70"/>
          <w:szCs w:val="70"/>
        </w:rPr>
      </w:pPr>
    </w:p>
    <w:p w14:paraId="6EA4E1B3">
      <w:pPr>
        <w:jc w:val="center"/>
        <w:rPr>
          <w:rFonts w:hint="eastAsia" w:ascii="方正小标宋_GBK" w:hAnsi="方正小标宋_GBK" w:eastAsia="方正小标宋_GBK" w:cs="方正小标宋_GBK"/>
          <w:color w:val="000000"/>
          <w:kern w:val="0"/>
          <w:sz w:val="70"/>
          <w:szCs w:val="70"/>
          <w:lang w:eastAsia="zh-CN"/>
        </w:rPr>
      </w:pPr>
      <w:r>
        <w:rPr>
          <w:rFonts w:hint="eastAsia" w:ascii="方正小标宋_GBK" w:hAnsi="方正小标宋_GBK" w:eastAsia="方正小标宋_GBK" w:cs="方正小标宋_GBK"/>
          <w:color w:val="000000"/>
          <w:kern w:val="0"/>
          <w:sz w:val="70"/>
          <w:szCs w:val="70"/>
          <w:lang w:val="en-US" w:eastAsia="zh-CN"/>
        </w:rPr>
        <w:t>附件</w:t>
      </w:r>
    </w:p>
    <w:p w14:paraId="3B3D2727">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7224F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1、2022年度部门决算</w:t>
      </w:r>
      <w:r>
        <w:rPr>
          <w:rFonts w:hint="eastAsia" w:ascii="仿宋_GB2312" w:hAnsi="仿宋_GB2312" w:eastAsia="仿宋_GB2312" w:cs="仿宋_GB2312"/>
          <w:sz w:val="32"/>
          <w:szCs w:val="32"/>
          <w:lang w:val="en-US" w:eastAsia="zh-CN"/>
        </w:rPr>
        <w:t>公开</w:t>
      </w:r>
      <w:r>
        <w:rPr>
          <w:rFonts w:hint="eastAsia" w:ascii="仿宋_GB2312" w:hAnsi="仿宋_GB2312" w:eastAsia="仿宋_GB2312" w:cs="仿宋_GB2312"/>
          <w:sz w:val="32"/>
          <w:szCs w:val="32"/>
        </w:rPr>
        <w:t>表</w:t>
      </w:r>
    </w:p>
    <w:p w14:paraId="622C8F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2、2022年度部门整体支出绩效评价报告</w:t>
      </w:r>
    </w:p>
    <w:p w14:paraId="1B04A1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3、2022年度部门专项资金绩效评价报告</w:t>
      </w:r>
    </w:p>
    <w:p w14:paraId="0EF9A2BD">
      <w:pPr>
        <w:pStyle w:val="9"/>
        <w:jc w:val="both"/>
        <w:rPr>
          <w:sz w:val="72"/>
          <w:szCs w:val="72"/>
        </w:rPr>
      </w:pPr>
    </w:p>
    <w:p w14:paraId="2BC67C7A">
      <w:pPr>
        <w:pStyle w:val="9"/>
        <w:jc w:val="center"/>
        <w:rPr>
          <w:sz w:val="72"/>
          <w:szCs w:val="72"/>
        </w:rPr>
      </w:pPr>
    </w:p>
    <w:p w14:paraId="640CC7C3">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1OGM2NmVhNjg0NmI0OTQ1YjhkODMwOTkwYWQyNj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538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6F6D6B"/>
    <w:rsid w:val="0292396F"/>
    <w:rsid w:val="02C51FAA"/>
    <w:rsid w:val="03D92099"/>
    <w:rsid w:val="04874BED"/>
    <w:rsid w:val="04EE5B08"/>
    <w:rsid w:val="058C3680"/>
    <w:rsid w:val="05904691"/>
    <w:rsid w:val="06A64649"/>
    <w:rsid w:val="0937257E"/>
    <w:rsid w:val="09894084"/>
    <w:rsid w:val="0B82610E"/>
    <w:rsid w:val="0BE67D80"/>
    <w:rsid w:val="0C5D482A"/>
    <w:rsid w:val="0D8E6ED3"/>
    <w:rsid w:val="0DDC017B"/>
    <w:rsid w:val="0E696EB6"/>
    <w:rsid w:val="0EB6557E"/>
    <w:rsid w:val="0F4F0300"/>
    <w:rsid w:val="111507A4"/>
    <w:rsid w:val="142B59BD"/>
    <w:rsid w:val="145E01A2"/>
    <w:rsid w:val="164F5370"/>
    <w:rsid w:val="186D03CB"/>
    <w:rsid w:val="18E405A6"/>
    <w:rsid w:val="197C42A8"/>
    <w:rsid w:val="1B223646"/>
    <w:rsid w:val="1B32664B"/>
    <w:rsid w:val="1B744C4C"/>
    <w:rsid w:val="1BA619A5"/>
    <w:rsid w:val="1BC43817"/>
    <w:rsid w:val="1BE40CBD"/>
    <w:rsid w:val="1DCF6566"/>
    <w:rsid w:val="1E1E7434"/>
    <w:rsid w:val="1E873FD2"/>
    <w:rsid w:val="1F2B3ABA"/>
    <w:rsid w:val="22EB3DAE"/>
    <w:rsid w:val="22F6449B"/>
    <w:rsid w:val="235479DC"/>
    <w:rsid w:val="23D15A22"/>
    <w:rsid w:val="23F534CA"/>
    <w:rsid w:val="23F728DF"/>
    <w:rsid w:val="2508722D"/>
    <w:rsid w:val="257253A0"/>
    <w:rsid w:val="266B7F87"/>
    <w:rsid w:val="268B16B8"/>
    <w:rsid w:val="2BAB2C2D"/>
    <w:rsid w:val="2BB331A5"/>
    <w:rsid w:val="2C64502C"/>
    <w:rsid w:val="2E00316A"/>
    <w:rsid w:val="31042F9E"/>
    <w:rsid w:val="31160953"/>
    <w:rsid w:val="32A836C4"/>
    <w:rsid w:val="338B4A07"/>
    <w:rsid w:val="37013C6C"/>
    <w:rsid w:val="3744047A"/>
    <w:rsid w:val="37826121"/>
    <w:rsid w:val="3BBC6F57"/>
    <w:rsid w:val="3C793F97"/>
    <w:rsid w:val="3CC53C69"/>
    <w:rsid w:val="3E281284"/>
    <w:rsid w:val="3F2C61E0"/>
    <w:rsid w:val="41EF72C8"/>
    <w:rsid w:val="423A41C8"/>
    <w:rsid w:val="42423926"/>
    <w:rsid w:val="434D1CD3"/>
    <w:rsid w:val="43963F29"/>
    <w:rsid w:val="46126253"/>
    <w:rsid w:val="46187A05"/>
    <w:rsid w:val="46CB21B7"/>
    <w:rsid w:val="498E6BA8"/>
    <w:rsid w:val="4A7E121E"/>
    <w:rsid w:val="4AFD31EA"/>
    <w:rsid w:val="4B4669D9"/>
    <w:rsid w:val="4B7A32A0"/>
    <w:rsid w:val="4BF6358E"/>
    <w:rsid w:val="4C090181"/>
    <w:rsid w:val="4C2B6ADA"/>
    <w:rsid w:val="4CE8134B"/>
    <w:rsid w:val="4FE66374"/>
    <w:rsid w:val="504F3F5D"/>
    <w:rsid w:val="50C73E21"/>
    <w:rsid w:val="50D71F67"/>
    <w:rsid w:val="5116753A"/>
    <w:rsid w:val="514E7348"/>
    <w:rsid w:val="51BF0AEF"/>
    <w:rsid w:val="52A95229"/>
    <w:rsid w:val="52D65847"/>
    <w:rsid w:val="52FC560B"/>
    <w:rsid w:val="547F0A35"/>
    <w:rsid w:val="54F9213F"/>
    <w:rsid w:val="57483335"/>
    <w:rsid w:val="5777D4F5"/>
    <w:rsid w:val="58B507D8"/>
    <w:rsid w:val="5B043C96"/>
    <w:rsid w:val="5B175A1F"/>
    <w:rsid w:val="5D3C6514"/>
    <w:rsid w:val="5D417D61"/>
    <w:rsid w:val="5D4D6878"/>
    <w:rsid w:val="5DA16A52"/>
    <w:rsid w:val="5E9A5958"/>
    <w:rsid w:val="5EC56770"/>
    <w:rsid w:val="5EDA6F68"/>
    <w:rsid w:val="5FC6BB1E"/>
    <w:rsid w:val="5FF720F1"/>
    <w:rsid w:val="60C32CF1"/>
    <w:rsid w:val="60F02A09"/>
    <w:rsid w:val="62A124AB"/>
    <w:rsid w:val="651F45A7"/>
    <w:rsid w:val="673F4B0E"/>
    <w:rsid w:val="67AB1522"/>
    <w:rsid w:val="68495EE8"/>
    <w:rsid w:val="68E60F39"/>
    <w:rsid w:val="6994240A"/>
    <w:rsid w:val="6A581844"/>
    <w:rsid w:val="6BCC7041"/>
    <w:rsid w:val="6EA350F5"/>
    <w:rsid w:val="70BC65E3"/>
    <w:rsid w:val="70CA22F0"/>
    <w:rsid w:val="733416B3"/>
    <w:rsid w:val="737D59BA"/>
    <w:rsid w:val="752163E6"/>
    <w:rsid w:val="75894DED"/>
    <w:rsid w:val="759B6F7F"/>
    <w:rsid w:val="75F83993"/>
    <w:rsid w:val="768B5EDC"/>
    <w:rsid w:val="772B5AA2"/>
    <w:rsid w:val="77812150"/>
    <w:rsid w:val="77C37683"/>
    <w:rsid w:val="77CE6D3F"/>
    <w:rsid w:val="79FF515B"/>
    <w:rsid w:val="7B3B18C8"/>
    <w:rsid w:val="7BC736B0"/>
    <w:rsid w:val="7C7C6B4F"/>
    <w:rsid w:val="7D12220B"/>
    <w:rsid w:val="7D1B127F"/>
    <w:rsid w:val="7D652A01"/>
    <w:rsid w:val="7DA523B7"/>
    <w:rsid w:val="7E9F11B4"/>
    <w:rsid w:val="7F3B2B37"/>
    <w:rsid w:val="7F591AAC"/>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4102</Words>
  <Characters>4512</Characters>
  <Lines>63</Lines>
  <Paragraphs>18</Paragraphs>
  <TotalTime>2</TotalTime>
  <ScaleCrop>false</ScaleCrop>
  <LinksUpToDate>false</LinksUpToDate>
  <CharactersWithSpaces>4522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C＇estbon</cp:lastModifiedBy>
  <cp:lastPrinted>2023-08-15T09:28:00Z</cp:lastPrinted>
  <dcterms:modified xsi:type="dcterms:W3CDTF">2024-10-15T13:09:17Z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6F7A000E0D4042CEA18FE4834201DC0C_13</vt:lpwstr>
  </property>
</Properties>
</file>