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5C5085">
      <w:pPr>
        <w:pStyle w:val="12"/>
        <w:jc w:val="center"/>
        <w:rPr>
          <w:sz w:val="56"/>
          <w:szCs w:val="56"/>
        </w:rPr>
      </w:pPr>
    </w:p>
    <w:p w14:paraId="33DDE47E">
      <w:pPr>
        <w:pStyle w:val="12"/>
        <w:jc w:val="center"/>
        <w:rPr>
          <w:sz w:val="56"/>
          <w:szCs w:val="56"/>
        </w:rPr>
      </w:pPr>
    </w:p>
    <w:p w14:paraId="55C924AE">
      <w:pPr>
        <w:pStyle w:val="12"/>
        <w:jc w:val="center"/>
        <w:rPr>
          <w:sz w:val="84"/>
          <w:szCs w:val="84"/>
        </w:rPr>
      </w:pPr>
    </w:p>
    <w:p w14:paraId="443A80BE">
      <w:pPr>
        <w:pStyle w:val="12"/>
        <w:jc w:val="center"/>
        <w:rPr>
          <w:sz w:val="84"/>
          <w:szCs w:val="84"/>
        </w:rPr>
      </w:pPr>
    </w:p>
    <w:p w14:paraId="6195BA6F">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5C2E12DC">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怀化市宏宇小学</w:t>
      </w:r>
      <w:r>
        <w:rPr>
          <w:rFonts w:hint="eastAsia" w:ascii="方正小标宋_GBK" w:hAnsi="方正小标宋_GBK" w:eastAsia="方正小标宋_GBK" w:cs="方正小标宋_GBK"/>
          <w:sz w:val="84"/>
          <w:szCs w:val="84"/>
        </w:rPr>
        <w:t>部门决算</w:t>
      </w:r>
    </w:p>
    <w:p w14:paraId="3362E08B">
      <w:pPr>
        <w:pStyle w:val="12"/>
        <w:jc w:val="center"/>
        <w:rPr>
          <w:rFonts w:hint="eastAsia" w:ascii="方正小标宋_GBK" w:hAnsi="方正小标宋_GBK" w:eastAsia="方正小标宋_GBK" w:cs="方正小标宋_GBK"/>
          <w:sz w:val="56"/>
          <w:szCs w:val="56"/>
        </w:rPr>
      </w:pPr>
    </w:p>
    <w:p w14:paraId="44CA6886">
      <w:pPr>
        <w:pStyle w:val="12"/>
        <w:jc w:val="center"/>
        <w:rPr>
          <w:sz w:val="56"/>
          <w:szCs w:val="56"/>
        </w:rPr>
      </w:pPr>
    </w:p>
    <w:p w14:paraId="41669378">
      <w:pPr>
        <w:pStyle w:val="12"/>
        <w:jc w:val="center"/>
        <w:rPr>
          <w:sz w:val="56"/>
          <w:szCs w:val="56"/>
        </w:rPr>
      </w:pPr>
    </w:p>
    <w:p w14:paraId="5477E4EE">
      <w:pPr>
        <w:pStyle w:val="12"/>
        <w:jc w:val="center"/>
        <w:rPr>
          <w:sz w:val="56"/>
          <w:szCs w:val="56"/>
        </w:rPr>
      </w:pPr>
    </w:p>
    <w:p w14:paraId="01DFAEDA">
      <w:pPr>
        <w:pStyle w:val="12"/>
        <w:jc w:val="center"/>
        <w:rPr>
          <w:sz w:val="32"/>
          <w:szCs w:val="32"/>
        </w:rPr>
      </w:pPr>
    </w:p>
    <w:p w14:paraId="0AA914C4">
      <w:pPr>
        <w:pStyle w:val="12"/>
        <w:jc w:val="center"/>
        <w:rPr>
          <w:sz w:val="32"/>
          <w:szCs w:val="32"/>
        </w:rPr>
      </w:pPr>
    </w:p>
    <w:p w14:paraId="3B50A8DC">
      <w:pPr>
        <w:pStyle w:val="12"/>
        <w:jc w:val="center"/>
        <w:rPr>
          <w:sz w:val="32"/>
          <w:szCs w:val="32"/>
        </w:rPr>
      </w:pPr>
    </w:p>
    <w:p w14:paraId="6D8902B2">
      <w:pPr>
        <w:pStyle w:val="12"/>
        <w:jc w:val="center"/>
        <w:rPr>
          <w:sz w:val="32"/>
          <w:szCs w:val="32"/>
        </w:rPr>
      </w:pPr>
    </w:p>
    <w:p w14:paraId="16ABC1B8">
      <w:pPr>
        <w:pStyle w:val="12"/>
        <w:jc w:val="center"/>
        <w:rPr>
          <w:sz w:val="32"/>
          <w:szCs w:val="32"/>
        </w:rPr>
      </w:pPr>
    </w:p>
    <w:p w14:paraId="02E565C0">
      <w:pPr>
        <w:pStyle w:val="12"/>
        <w:spacing w:line="540" w:lineRule="exact"/>
        <w:jc w:val="center"/>
        <w:rPr>
          <w:sz w:val="56"/>
          <w:szCs w:val="56"/>
        </w:rPr>
      </w:pPr>
    </w:p>
    <w:p w14:paraId="29198480">
      <w:pPr>
        <w:pStyle w:val="12"/>
        <w:spacing w:line="500" w:lineRule="exact"/>
        <w:jc w:val="both"/>
        <w:rPr>
          <w:b/>
          <w:sz w:val="36"/>
          <w:szCs w:val="28"/>
        </w:rPr>
      </w:pPr>
    </w:p>
    <w:p w14:paraId="0A65AF61">
      <w:pPr>
        <w:pStyle w:val="12"/>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b/>
          <w:sz w:val="36"/>
          <w:szCs w:val="28"/>
        </w:rPr>
      </w:pPr>
      <w:r>
        <w:rPr>
          <w:rFonts w:hint="eastAsia"/>
          <w:b/>
          <w:sz w:val="36"/>
          <w:szCs w:val="28"/>
        </w:rPr>
        <w:t>目录</w:t>
      </w:r>
    </w:p>
    <w:p w14:paraId="14C3EF9C">
      <w:pPr>
        <w:pStyle w:val="12"/>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怀化市宏宇小学</w:t>
      </w:r>
      <w:r>
        <w:rPr>
          <w:rFonts w:hint="eastAsia" w:ascii="黑体" w:hAnsi="黑体" w:eastAsia="黑体" w:cs="黑体"/>
          <w:b w:val="0"/>
          <w:bCs/>
          <w:sz w:val="28"/>
          <w:szCs w:val="28"/>
        </w:rPr>
        <w:t>概况</w:t>
      </w:r>
    </w:p>
    <w:p w14:paraId="26A2BF45">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B3AC8AC">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C0B44DB">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609F649A">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C5FA0B0">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2EA96506">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4A982F7A">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7A62859">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CDA3397">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602A6895">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BDC68E6">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73AE1DE">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03F1E042">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2508C75D">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DE4125D">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D98BD9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69B180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593D458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A2DD5A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4D02D01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2ED4DB3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八、政府性基金预算收入支出决算情况</w:t>
      </w:r>
      <w:r>
        <w:rPr>
          <w:rFonts w:hint="eastAsia" w:ascii="仿宋_GB2312" w:hAnsi="仿宋_GB2312" w:eastAsia="仿宋_GB2312" w:cs="仿宋_GB2312"/>
          <w:color w:val="000000"/>
          <w:kern w:val="0"/>
          <w:sz w:val="28"/>
          <w:szCs w:val="28"/>
          <w:lang w:val="en-US" w:eastAsia="zh-CN"/>
        </w:rPr>
        <w:t>说明</w:t>
      </w:r>
    </w:p>
    <w:p w14:paraId="2518B51F">
      <w:pPr>
        <w:autoSpaceDE w:val="0"/>
        <w:autoSpaceDN w:val="0"/>
        <w:adjustRightInd w:val="0"/>
        <w:spacing w:line="500" w:lineRule="exact"/>
        <w:ind w:firstLine="700" w:firstLineChars="25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color w:val="000000"/>
          <w:kern w:val="0"/>
          <w:sz w:val="28"/>
          <w:szCs w:val="28"/>
          <w:lang w:eastAsia="zh-CN"/>
        </w:rPr>
        <w:t>国有资本经营预算</w:t>
      </w:r>
      <w:r>
        <w:rPr>
          <w:rFonts w:hint="eastAsia" w:ascii="仿宋_GB2312" w:hAnsi="仿宋_GB2312" w:eastAsia="仿宋_GB2312" w:cs="仿宋_GB2312"/>
          <w:color w:val="000000"/>
          <w:kern w:val="0"/>
          <w:sz w:val="28"/>
          <w:szCs w:val="28"/>
          <w:lang w:val="en-US" w:eastAsia="zh-CN"/>
        </w:rPr>
        <w:t>收入</w:t>
      </w:r>
      <w:r>
        <w:rPr>
          <w:rFonts w:hint="eastAsia" w:ascii="仿宋_GB2312" w:hAnsi="仿宋_GB2312" w:eastAsia="仿宋_GB2312" w:cs="仿宋_GB2312"/>
          <w:color w:val="000000"/>
          <w:kern w:val="0"/>
          <w:sz w:val="28"/>
          <w:szCs w:val="28"/>
          <w:lang w:eastAsia="zh-CN"/>
        </w:rPr>
        <w:t>支出决算情况说明</w:t>
      </w:r>
    </w:p>
    <w:p w14:paraId="4707890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66F492B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7511B36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276A6638">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426B5784">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1598D3D8">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04CFC72B">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7550DE46">
      <w:pPr>
        <w:jc w:val="center"/>
        <w:rPr>
          <w:sz w:val="72"/>
          <w:szCs w:val="72"/>
        </w:rPr>
      </w:pPr>
    </w:p>
    <w:p w14:paraId="4128368E">
      <w:pPr>
        <w:jc w:val="center"/>
        <w:rPr>
          <w:sz w:val="72"/>
          <w:szCs w:val="72"/>
        </w:rPr>
      </w:pPr>
    </w:p>
    <w:p w14:paraId="7FD63F83">
      <w:pPr>
        <w:jc w:val="center"/>
        <w:rPr>
          <w:sz w:val="72"/>
          <w:szCs w:val="72"/>
        </w:rPr>
      </w:pPr>
    </w:p>
    <w:p w14:paraId="06C23E9D">
      <w:pPr>
        <w:jc w:val="center"/>
        <w:rPr>
          <w:sz w:val="72"/>
          <w:szCs w:val="72"/>
        </w:rPr>
      </w:pPr>
    </w:p>
    <w:p w14:paraId="1F063019">
      <w:pPr>
        <w:rPr>
          <w:rFonts w:hint="eastAsia" w:ascii="方正小标宋_GBK" w:hAnsi="方正小标宋_GBK" w:eastAsia="方正小标宋_GBK" w:cs="方正小标宋_GBK"/>
          <w:sz w:val="72"/>
          <w:szCs w:val="72"/>
        </w:rPr>
      </w:pPr>
    </w:p>
    <w:p w14:paraId="0D046F1F">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5153F7AE">
      <w:pPr>
        <w:pStyle w:val="12"/>
        <w:jc w:val="center"/>
        <w:rPr>
          <w:rFonts w:hint="eastAsia" w:ascii="方正小标宋_GBK" w:hAnsi="方正小标宋_GBK" w:eastAsia="方正小标宋_GBK" w:cs="方正小标宋_GBK"/>
          <w:sz w:val="84"/>
          <w:szCs w:val="84"/>
        </w:rPr>
      </w:pPr>
    </w:p>
    <w:p w14:paraId="1878BED0">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怀化宏宇小学</w:t>
      </w:r>
      <w:r>
        <w:rPr>
          <w:rFonts w:hint="eastAsia" w:ascii="方正小标宋_GBK" w:hAnsi="方正小标宋_GBK" w:eastAsia="方正小标宋_GBK" w:cs="方正小标宋_GBK"/>
          <w:sz w:val="84"/>
          <w:szCs w:val="84"/>
        </w:rPr>
        <w:t>概况</w:t>
      </w:r>
    </w:p>
    <w:p w14:paraId="3A4520C9">
      <w:pPr>
        <w:jc w:val="center"/>
        <w:rPr>
          <w:rFonts w:hint="eastAsia" w:ascii="方正小标宋_GBK" w:hAnsi="方正小标宋_GBK" w:eastAsia="方正小标宋_GBK" w:cs="方正小标宋_GBK"/>
          <w:sz w:val="72"/>
          <w:szCs w:val="72"/>
        </w:rPr>
      </w:pPr>
    </w:p>
    <w:p w14:paraId="0FF7A4E5">
      <w:pPr>
        <w:jc w:val="center"/>
        <w:rPr>
          <w:rFonts w:hint="eastAsia" w:ascii="方正小标宋_GBK" w:hAnsi="方正小标宋_GBK" w:eastAsia="方正小标宋_GBK" w:cs="方正小标宋_GBK"/>
          <w:sz w:val="72"/>
          <w:szCs w:val="72"/>
        </w:rPr>
      </w:pPr>
    </w:p>
    <w:p w14:paraId="4CC2CD25">
      <w:pPr>
        <w:jc w:val="center"/>
        <w:rPr>
          <w:sz w:val="72"/>
          <w:szCs w:val="72"/>
        </w:rPr>
      </w:pPr>
    </w:p>
    <w:p w14:paraId="08079799">
      <w:pPr>
        <w:jc w:val="center"/>
        <w:rPr>
          <w:sz w:val="72"/>
          <w:szCs w:val="72"/>
        </w:rPr>
      </w:pPr>
    </w:p>
    <w:p w14:paraId="3748FFAB">
      <w:pPr>
        <w:jc w:val="center"/>
        <w:rPr>
          <w:sz w:val="72"/>
          <w:szCs w:val="72"/>
        </w:rPr>
      </w:pPr>
    </w:p>
    <w:p w14:paraId="66B8A05F">
      <w:pPr>
        <w:pStyle w:val="13"/>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0CD9F40C">
      <w:pPr>
        <w:ind w:firstLine="640" w:firstLineChars="200"/>
        <w:jc w:val="left"/>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怀化市宏宇小学是一所公办的全日制小学,学制六年,属怀化市教育局直管</w:t>
      </w:r>
      <w:r>
        <w:rPr>
          <w:rFonts w:hint="eastAsia" w:ascii="Times New Roman" w:hAnsi="Times New Roman" w:eastAsia="仿宋_GB2312" w:cs="仿宋_GB2312"/>
          <w:sz w:val="32"/>
          <w:szCs w:val="32"/>
          <w:lang w:eastAsia="zh-CN"/>
        </w:rPr>
        <w:t>。</w:t>
      </w:r>
    </w:p>
    <w:p w14:paraId="4EA0FD29">
      <w:pPr>
        <w:ind w:firstLine="640" w:firstLineChars="200"/>
        <w:jc w:val="left"/>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（一）根据党的方针、政策和教育章程，全面实施小学义务教育，促进基础教育发展，保障辖区内适龄儿童入学及相关社会服务。培养德、智、体、美等方面全面发展的社会主义事业的建设者和接班人</w:t>
      </w:r>
      <w:r>
        <w:rPr>
          <w:rFonts w:hint="eastAsia" w:ascii="Times New Roman" w:hAnsi="Times New Roman" w:eastAsia="仿宋_GB2312" w:cs="仿宋_GB2312"/>
          <w:sz w:val="32"/>
          <w:szCs w:val="32"/>
          <w:lang w:eastAsia="zh-CN"/>
        </w:rPr>
        <w:t>。</w:t>
      </w:r>
    </w:p>
    <w:p w14:paraId="565B175E">
      <w:pPr>
        <w:ind w:firstLine="640" w:firstLineChars="20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（二）根据教育规律、社会要求和学校实际，组织制定学校发展的远景规划、近期目标、学年和学期各项工作计划以及各项工作指标并组织实施</w:t>
      </w:r>
      <w:r>
        <w:rPr>
          <w:rFonts w:hint="eastAsia" w:ascii="Times New Roman" w:hAnsi="Times New Roman" w:eastAsia="仿宋_GB2312" w:cs="仿宋_GB2312"/>
          <w:sz w:val="32"/>
          <w:szCs w:val="32"/>
          <w:lang w:eastAsia="zh-CN"/>
        </w:rPr>
        <w:t>。</w:t>
      </w:r>
    </w:p>
    <w:p w14:paraId="473BF1AD">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12937C0A">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306ADE94">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sz w:val="32"/>
          <w:szCs w:val="32"/>
          <w:lang w:val="en-US" w:eastAsia="zh-CN"/>
        </w:rPr>
        <w:t>怀化市宏宇小学作为一级部门预算单位，机构设置情况如下：校长室、书记室、副校长室、党办、办公室、工会、纪检办、教务室、教科室、德育室、督导室、后勤总务室、校安办、财务室等。</w:t>
      </w:r>
    </w:p>
    <w:p w14:paraId="760895A7">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17BF03B5">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val="en-US" w:eastAsia="zh-CN"/>
        </w:rPr>
        <w:t>怀化市宏宇小学</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怀化市宏宇小学</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w:t>
      </w:r>
    </w:p>
    <w:p w14:paraId="3C1CE10F">
      <w:pPr>
        <w:jc w:val="left"/>
        <w:rPr>
          <w:rFonts w:ascii="仿宋_GB2312" w:eastAsia="仿宋_GB2312" w:hAnsiTheme="minorEastAsia"/>
          <w:sz w:val="28"/>
          <w:szCs w:val="32"/>
        </w:rPr>
      </w:pPr>
    </w:p>
    <w:p w14:paraId="54A3305D">
      <w:pPr>
        <w:jc w:val="center"/>
        <w:rPr>
          <w:rFonts w:ascii="黑体" w:hAnsi="黑体" w:eastAsia="黑体"/>
          <w:sz w:val="28"/>
          <w:szCs w:val="28"/>
        </w:rPr>
      </w:pPr>
    </w:p>
    <w:p w14:paraId="21C73386">
      <w:pPr>
        <w:jc w:val="center"/>
        <w:rPr>
          <w:rFonts w:ascii="黑体" w:hAnsi="黑体" w:eastAsia="黑体"/>
          <w:sz w:val="28"/>
          <w:szCs w:val="28"/>
        </w:rPr>
      </w:pPr>
    </w:p>
    <w:p w14:paraId="1B57C2E5">
      <w:pPr>
        <w:jc w:val="center"/>
        <w:rPr>
          <w:rFonts w:ascii="黑体" w:hAnsi="黑体" w:eastAsia="黑体"/>
          <w:sz w:val="28"/>
          <w:szCs w:val="28"/>
        </w:rPr>
      </w:pPr>
    </w:p>
    <w:p w14:paraId="7ABCC70D">
      <w:pPr>
        <w:jc w:val="center"/>
        <w:rPr>
          <w:rFonts w:ascii="黑体" w:hAnsi="黑体" w:eastAsia="黑体"/>
          <w:sz w:val="28"/>
          <w:szCs w:val="28"/>
        </w:rPr>
      </w:pPr>
    </w:p>
    <w:p w14:paraId="210EA9DA">
      <w:pPr>
        <w:jc w:val="center"/>
        <w:rPr>
          <w:rFonts w:ascii="黑体" w:hAnsi="黑体" w:eastAsia="黑体"/>
          <w:sz w:val="28"/>
          <w:szCs w:val="28"/>
        </w:rPr>
      </w:pPr>
    </w:p>
    <w:p w14:paraId="615A91F8">
      <w:pPr>
        <w:jc w:val="center"/>
        <w:rPr>
          <w:rFonts w:ascii="黑体" w:hAnsi="黑体" w:eastAsia="黑体"/>
          <w:sz w:val="28"/>
          <w:szCs w:val="28"/>
        </w:rPr>
      </w:pPr>
    </w:p>
    <w:p w14:paraId="23DAC7A7">
      <w:pPr>
        <w:jc w:val="center"/>
        <w:rPr>
          <w:rFonts w:ascii="黑体" w:hAnsi="黑体" w:eastAsia="黑体"/>
          <w:sz w:val="28"/>
          <w:szCs w:val="28"/>
        </w:rPr>
      </w:pPr>
    </w:p>
    <w:p w14:paraId="437AA10F">
      <w:pPr>
        <w:jc w:val="center"/>
        <w:rPr>
          <w:rFonts w:ascii="黑体" w:hAnsi="黑体" w:eastAsia="黑体"/>
          <w:sz w:val="28"/>
          <w:szCs w:val="28"/>
        </w:rPr>
      </w:pPr>
    </w:p>
    <w:p w14:paraId="72F8FBE7">
      <w:pPr>
        <w:jc w:val="center"/>
        <w:rPr>
          <w:rFonts w:ascii="黑体" w:hAnsi="黑体" w:eastAsia="黑体"/>
          <w:sz w:val="28"/>
          <w:szCs w:val="28"/>
        </w:rPr>
      </w:pPr>
    </w:p>
    <w:p w14:paraId="315A481D">
      <w:pPr>
        <w:jc w:val="center"/>
        <w:rPr>
          <w:rFonts w:ascii="黑体" w:hAnsi="黑体" w:eastAsia="黑体"/>
          <w:sz w:val="28"/>
          <w:szCs w:val="28"/>
        </w:rPr>
      </w:pPr>
    </w:p>
    <w:p w14:paraId="40D222FB">
      <w:pPr>
        <w:jc w:val="both"/>
        <w:rPr>
          <w:sz w:val="72"/>
          <w:szCs w:val="72"/>
        </w:rPr>
      </w:pPr>
    </w:p>
    <w:p w14:paraId="24C1A689">
      <w:pPr>
        <w:jc w:val="center"/>
        <w:rPr>
          <w:sz w:val="72"/>
          <w:szCs w:val="72"/>
        </w:rPr>
      </w:pPr>
    </w:p>
    <w:p w14:paraId="26DDA5FF">
      <w:pPr>
        <w:pStyle w:val="12"/>
        <w:jc w:val="center"/>
        <w:rPr>
          <w:rFonts w:hint="eastAsia" w:ascii="方正小标宋_GBK" w:hAnsi="方正小标宋_GBK" w:eastAsia="方正小标宋_GBK" w:cs="方正小标宋_GBK"/>
          <w:sz w:val="84"/>
          <w:szCs w:val="84"/>
        </w:rPr>
      </w:pPr>
    </w:p>
    <w:p w14:paraId="45D65C29">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7476F45">
      <w:pPr>
        <w:pStyle w:val="12"/>
        <w:jc w:val="center"/>
        <w:rPr>
          <w:rFonts w:hint="eastAsia" w:ascii="方正小标宋_GBK" w:hAnsi="方正小标宋_GBK" w:eastAsia="方正小标宋_GBK" w:cs="方正小标宋_GBK"/>
          <w:sz w:val="84"/>
          <w:szCs w:val="84"/>
        </w:rPr>
      </w:pPr>
    </w:p>
    <w:p w14:paraId="3D01089F">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7CA9F3C1">
      <w:pPr>
        <w:widowControl/>
        <w:spacing w:line="600" w:lineRule="exact"/>
        <w:ind w:firstLine="4160" w:firstLineChars="1300"/>
        <w:jc w:val="both"/>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（详情见附件）</w:t>
      </w:r>
    </w:p>
    <w:p w14:paraId="42D90586">
      <w:pPr>
        <w:jc w:val="center"/>
        <w:rPr>
          <w:sz w:val="72"/>
          <w:szCs w:val="72"/>
        </w:rPr>
      </w:pPr>
    </w:p>
    <w:p w14:paraId="68EED7B2">
      <w:pPr>
        <w:jc w:val="center"/>
        <w:rPr>
          <w:sz w:val="72"/>
          <w:szCs w:val="72"/>
        </w:rPr>
      </w:pPr>
    </w:p>
    <w:p w14:paraId="1B1EA8E4">
      <w:pPr>
        <w:jc w:val="center"/>
        <w:rPr>
          <w:sz w:val="72"/>
          <w:szCs w:val="72"/>
        </w:rPr>
      </w:pPr>
    </w:p>
    <w:p w14:paraId="7EBBA187">
      <w:pPr>
        <w:jc w:val="center"/>
        <w:rPr>
          <w:sz w:val="72"/>
          <w:szCs w:val="72"/>
        </w:rPr>
      </w:pPr>
    </w:p>
    <w:p w14:paraId="48C5357B">
      <w:pPr>
        <w:jc w:val="center"/>
        <w:rPr>
          <w:sz w:val="72"/>
          <w:szCs w:val="72"/>
        </w:rPr>
      </w:pPr>
    </w:p>
    <w:p w14:paraId="05879A64">
      <w:pPr>
        <w:pStyle w:val="2"/>
      </w:pPr>
    </w:p>
    <w:p w14:paraId="76650331">
      <w:pPr>
        <w:widowControl/>
        <w:numPr>
          <w:ilvl w:val="0"/>
          <w:numId w:val="0"/>
        </w:numPr>
        <w:spacing w:line="600" w:lineRule="exact"/>
        <w:rPr>
          <w:rFonts w:asciiTheme="minorEastAsia" w:hAnsiTheme="minorEastAsia"/>
          <w:sz w:val="32"/>
          <w:szCs w:val="32"/>
        </w:rPr>
      </w:pPr>
      <w:r>
        <w:rPr>
          <w:rFonts w:hint="eastAsia" w:ascii="黑体" w:hAnsi="黑体" w:eastAsia="黑体" w:cs="黑体"/>
          <w:b w:val="0"/>
          <w:bCs/>
          <w:kern w:val="0"/>
          <w:sz w:val="32"/>
          <w:szCs w:val="32"/>
          <w:lang w:val="en-US" w:eastAsia="zh-CN"/>
        </w:rPr>
        <w:t>一、公开表格</w:t>
      </w:r>
    </w:p>
    <w:p w14:paraId="37F223B9">
      <w:pPr>
        <w:widowControl/>
        <w:spacing w:line="600" w:lineRule="exact"/>
        <w:ind w:firstLine="640" w:firstLineChars="200"/>
        <w:sectPr>
          <w:pgSz w:w="11906" w:h="16838"/>
          <w:pgMar w:top="720" w:right="720" w:bottom="720" w:left="720" w:header="851" w:footer="992" w:gutter="0"/>
          <w:cols w:space="425" w:num="1"/>
          <w:docGrid w:type="lines" w:linePitch="312" w:charSpace="0"/>
        </w:sectPr>
      </w:pPr>
      <w:r>
        <w:rPr>
          <w:rFonts w:hint="eastAsia" w:ascii="Times New Roman" w:hAnsi="Times New Roman" w:eastAsia="仿宋_GB2312" w:cs="仿宋_GB2312"/>
          <w:sz w:val="32"/>
          <w:szCs w:val="32"/>
          <w:lang w:val="en-US" w:eastAsia="zh-CN"/>
        </w:rPr>
        <w:t>部门决算公开表格共9张，包括：《收入支出决算总表》、《收入决算表》、《支出决算表》、《财政拨款收入支出决算总表》、《一般公共预算财政拨款支出决算表》、《一般公共预算财政拨款基本支出决算明细表》、《政府性基金预算财政拨款收入支出决算表》、《国有资本经营预算财政拨款支出决算表》和《财政拨款“三公”经费支出决算表》。（公开表格见附件，由于本单位2023年度无政府性基金收入，也没有使用政府性基金安排的支出；无国有资本经营预算财政拨款支出；无三公经费预算支出和决算支出。故07、08、09表无数据）</w:t>
      </w:r>
    </w:p>
    <w:p w14:paraId="703010FC">
      <w:pPr>
        <w:widowControl/>
        <w:jc w:val="both"/>
        <w:rPr>
          <w:sz w:val="72"/>
          <w:szCs w:val="72"/>
        </w:rPr>
      </w:pPr>
      <w:bookmarkStart w:id="0" w:name="RANGE!A1:I22"/>
      <w:bookmarkEnd w:id="0"/>
    </w:p>
    <w:p w14:paraId="72685502">
      <w:pPr>
        <w:pStyle w:val="12"/>
        <w:rPr>
          <w:sz w:val="72"/>
          <w:szCs w:val="72"/>
        </w:rPr>
      </w:pPr>
    </w:p>
    <w:p w14:paraId="4F44C724">
      <w:pPr>
        <w:pStyle w:val="12"/>
        <w:rPr>
          <w:sz w:val="72"/>
          <w:szCs w:val="72"/>
        </w:rPr>
      </w:pPr>
    </w:p>
    <w:p w14:paraId="3F946B5C">
      <w:pPr>
        <w:pStyle w:val="12"/>
        <w:rPr>
          <w:sz w:val="72"/>
          <w:szCs w:val="72"/>
        </w:rPr>
      </w:pPr>
    </w:p>
    <w:p w14:paraId="5CFE53D0">
      <w:pPr>
        <w:pStyle w:val="12"/>
        <w:jc w:val="both"/>
        <w:rPr>
          <w:rFonts w:hint="eastAsia" w:ascii="方正小标宋_GBK" w:hAnsi="方正小标宋_GBK" w:eastAsia="方正小标宋_GBK" w:cs="方正小标宋_GBK"/>
          <w:sz w:val="72"/>
          <w:szCs w:val="72"/>
        </w:rPr>
      </w:pPr>
    </w:p>
    <w:p w14:paraId="2086CED7">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47E31FE6">
      <w:pPr>
        <w:pStyle w:val="12"/>
        <w:jc w:val="center"/>
        <w:rPr>
          <w:rFonts w:hint="eastAsia" w:ascii="方正小标宋_GBK" w:hAnsi="方正小标宋_GBK" w:eastAsia="方正小标宋_GBK" w:cs="方正小标宋_GBK"/>
          <w:sz w:val="70"/>
          <w:szCs w:val="70"/>
        </w:rPr>
      </w:pPr>
    </w:p>
    <w:p w14:paraId="4A324AE9">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50B811CD">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4A1744E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5F8CFFA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4889.24</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266.19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5.16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2023年下半年锦宏小学独立分校，各项经费减少。</w:t>
      </w:r>
    </w:p>
    <w:p w14:paraId="3695D6A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899426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4889.24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4428.54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90.58</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460.7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9.42</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52E11A8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0A379C7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4889.24</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3688.66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75.44</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1200.58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24.56</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DE5953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1CCCB0E5">
      <w:pPr>
        <w:pStyle w:val="12"/>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4428.54</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80.88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w:t>
      </w:r>
      <w:r>
        <w:rPr>
          <w:rFonts w:hint="eastAsia" w:ascii="Times New Roman" w:hAnsi="Times New Roman" w:eastAsia="仿宋_GB2312"/>
          <w:sz w:val="32"/>
          <w:szCs w:val="32"/>
          <w:lang w:val="en-US" w:eastAsia="zh-CN"/>
        </w:rPr>
        <w:t>1.79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2023年下半年锦宏小学独立分校，各项经费减少。</w:t>
      </w:r>
    </w:p>
    <w:p w14:paraId="0319A3D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734757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169B911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4428.54</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90.58</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80.88</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1.79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2023年下半年锦宏小学独立分校，各项经费减少。</w:t>
      </w:r>
    </w:p>
    <w:p w14:paraId="24310A06">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5046656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4428.54</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14.99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0.34</w:t>
      </w:r>
      <w:r>
        <w:rPr>
          <w:rFonts w:hint="eastAsia" w:ascii="Times New Roman" w:hAnsi="Times New Roman" w:eastAsia="仿宋_GB2312"/>
          <w:sz w:val="32"/>
          <w:szCs w:val="32"/>
        </w:rPr>
        <w:t>%；教育（类）支出</w:t>
      </w:r>
      <w:r>
        <w:rPr>
          <w:rFonts w:hint="eastAsia" w:ascii="Times New Roman" w:hAnsi="Times New Roman" w:eastAsia="仿宋_GB2312"/>
          <w:sz w:val="32"/>
          <w:szCs w:val="32"/>
          <w:lang w:val="en-US" w:eastAsia="zh-CN"/>
        </w:rPr>
        <w:t>3701.08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83.57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；社会保障和就业（类）支出</w:t>
      </w:r>
      <w:r>
        <w:rPr>
          <w:rFonts w:hint="eastAsia" w:ascii="Times New Roman" w:hAnsi="Times New Roman" w:eastAsia="仿宋_GB2312"/>
          <w:sz w:val="32"/>
          <w:szCs w:val="32"/>
          <w:lang w:val="en-US" w:eastAsia="zh-CN"/>
        </w:rPr>
        <w:t>512.46万元，占11.57%；卫生健康（类）支出200.01万元，占4.52%。</w:t>
      </w:r>
    </w:p>
    <w:p w14:paraId="3D95F47E">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7D7200A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4310.41</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4428.54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102.74</w:t>
      </w:r>
      <w:r>
        <w:rPr>
          <w:rFonts w:hint="eastAsia" w:ascii="Times New Roman" w:hAnsi="Times New Roman" w:eastAsia="仿宋_GB2312"/>
          <w:sz w:val="32"/>
          <w:szCs w:val="32"/>
        </w:rPr>
        <w:t>%，其中：</w:t>
      </w:r>
    </w:p>
    <w:p w14:paraId="5C2BD47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val="en-US" w:eastAsia="zh-CN"/>
        </w:rPr>
        <w:t>组织事务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其他组织事务支出</w:t>
      </w:r>
      <w:r>
        <w:rPr>
          <w:rFonts w:hint="eastAsia" w:ascii="Times New Roman" w:hAnsi="Times New Roman" w:eastAsia="仿宋_GB2312"/>
          <w:sz w:val="32"/>
          <w:szCs w:val="32"/>
        </w:rPr>
        <w:t>（项）。</w:t>
      </w:r>
    </w:p>
    <w:p w14:paraId="089FDA8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14.99</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年初预算未包括名校工作室及人才引进补贴相关支出。</w:t>
      </w:r>
    </w:p>
    <w:p w14:paraId="6B2F861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教育支出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普通教育</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学前教育</w:t>
      </w:r>
      <w:r>
        <w:rPr>
          <w:rFonts w:hint="eastAsia" w:ascii="Times New Roman" w:hAnsi="Times New Roman" w:eastAsia="仿宋_GB2312"/>
          <w:sz w:val="32"/>
          <w:szCs w:val="32"/>
        </w:rPr>
        <w:t>（项）。</w:t>
      </w:r>
    </w:p>
    <w:p w14:paraId="4A7A43F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年初预算未包括西校区食堂设备资金款。</w:t>
      </w:r>
    </w:p>
    <w:p w14:paraId="2B121AE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教育支出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普通教育</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小学教育</w:t>
      </w:r>
      <w:r>
        <w:rPr>
          <w:rFonts w:hint="eastAsia" w:ascii="Times New Roman" w:hAnsi="Times New Roman" w:eastAsia="仿宋_GB2312"/>
          <w:sz w:val="32"/>
          <w:szCs w:val="32"/>
        </w:rPr>
        <w:t>（项）。</w:t>
      </w:r>
    </w:p>
    <w:p w14:paraId="5D6FCAF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4310.41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3643.09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84.52</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val="en-US" w:eastAsia="zh-CN"/>
        </w:rPr>
        <w:t>2023年下半年锦宏小学独立分校，各项经费减少。</w:t>
      </w:r>
    </w:p>
    <w:p w14:paraId="73FFE8D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4、教育支出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普通教育</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其他普通教育支出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5F5B120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年初预算未包括国培支出。</w:t>
      </w:r>
    </w:p>
    <w:p w14:paraId="44D151B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5、社会保障和就业支出（类）行政事业单位养老支出（款）机关事业单位基本养老保险缴费支出（项）。</w:t>
      </w:r>
    </w:p>
    <w:p w14:paraId="2A6043D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395.15</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年初预算中养老保险相关支出在“教育支出-普通教育-小学教育”科目内。</w:t>
      </w:r>
    </w:p>
    <w:p w14:paraId="2A795D8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6、社会保障和就业支出（类）行政事业单位养老支出（款）其他行政事业单位养老支出（项）。</w:t>
      </w:r>
    </w:p>
    <w:p w14:paraId="0E5A74C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117.3</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年初预算未包括退休人员春节一次性补助相关支出。</w:t>
      </w:r>
    </w:p>
    <w:p w14:paraId="408988F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7、卫生健康支出（类）行政事业单位医疗（款）行政单位医疗（项）。</w:t>
      </w:r>
    </w:p>
    <w:p w14:paraId="0BEC55E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200.01</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年初预算种医疗保险相关支出在“教育支出-普通教育-小学教育”科目内。</w:t>
      </w:r>
    </w:p>
    <w:p w14:paraId="15AB1B2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64F3550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3688.66</w:t>
      </w:r>
      <w:r>
        <w:rPr>
          <w:rFonts w:hint="eastAsia" w:ascii="Times New Roman" w:hAnsi="Times New Roman" w:eastAsia="仿宋_GB2312"/>
          <w:sz w:val="32"/>
          <w:szCs w:val="32"/>
        </w:rPr>
        <w:t>万元，其中：</w:t>
      </w:r>
    </w:p>
    <w:p w14:paraId="3071C0E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3647.23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98.88</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绩效工资、机关事业单位基本养老保险缴费、职工基本医疗缴费、其他社会保障缴费、其他工资福利支出、抚恤金、生活补助、其他对个人和家庭的补助</w:t>
      </w:r>
      <w:r>
        <w:rPr>
          <w:rFonts w:hint="eastAsia" w:ascii="Times New Roman" w:hAnsi="Times New Roman" w:eastAsia="仿宋_GB2312"/>
          <w:sz w:val="32"/>
          <w:szCs w:val="32"/>
          <w:lang w:eastAsia="zh-CN"/>
        </w:rPr>
        <w:t>。</w:t>
      </w:r>
    </w:p>
    <w:p w14:paraId="43A273C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b w:val="0"/>
          <w:bCs w:val="0"/>
          <w:sz w:val="32"/>
          <w:szCs w:val="32"/>
          <w:lang w:val="en-US" w:eastAsia="zh-CN"/>
        </w:rPr>
        <w:t>41.43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1.12</w:t>
      </w:r>
      <w:r>
        <w:rPr>
          <w:rFonts w:hint="eastAsia" w:ascii="Times New Roman" w:hAnsi="Times New Roman" w:eastAsia="仿宋_GB2312"/>
          <w:sz w:val="32"/>
          <w:szCs w:val="32"/>
        </w:rPr>
        <w:t>%，主要包括</w:t>
      </w:r>
      <w:r>
        <w:rPr>
          <w:rFonts w:hint="eastAsia" w:ascii="Times New Roman" w:hAnsi="Times New Roman" w:eastAsia="仿宋_GB2312"/>
          <w:sz w:val="32"/>
          <w:szCs w:val="32"/>
          <w:lang w:val="en-US" w:eastAsia="zh-CN"/>
        </w:rPr>
        <w:t>工会经费</w:t>
      </w:r>
      <w:r>
        <w:rPr>
          <w:rFonts w:hint="eastAsia" w:ascii="Times New Roman" w:hAnsi="Times New Roman" w:eastAsia="仿宋_GB2312"/>
          <w:sz w:val="32"/>
          <w:szCs w:val="32"/>
        </w:rPr>
        <w:t>。</w:t>
      </w:r>
    </w:p>
    <w:p w14:paraId="2B68BFD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2EF094D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27B5BCB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按预算执行</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w:t>
      </w:r>
      <w:r>
        <w:rPr>
          <w:rFonts w:hint="eastAsia" w:ascii="Times New Roman" w:hAnsi="Times New Roman" w:eastAsia="仿宋_GB2312"/>
          <w:sz w:val="32"/>
          <w:szCs w:val="32"/>
          <w:lang w:val="en-US" w:eastAsia="zh-CN"/>
        </w:rPr>
        <w:t>相比无变化，</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厉行节约，严控“三公”开支</w:t>
      </w:r>
      <w:r>
        <w:rPr>
          <w:rFonts w:hint="eastAsia" w:ascii="Times New Roman" w:hAnsi="Times New Roman" w:eastAsia="仿宋_GB2312"/>
          <w:sz w:val="32"/>
          <w:szCs w:val="32"/>
        </w:rPr>
        <w:t>。其中：</w:t>
      </w:r>
    </w:p>
    <w:p w14:paraId="4D9A7FA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按预算执行</w:t>
      </w:r>
      <w:r>
        <w:rPr>
          <w:rFonts w:hint="eastAsia" w:ascii="Times New Roman" w:hAnsi="Times New Roman" w:eastAsia="仿宋_GB2312"/>
          <w:sz w:val="32"/>
          <w:szCs w:val="32"/>
        </w:rPr>
        <w:t>，与上年</w:t>
      </w:r>
      <w:r>
        <w:rPr>
          <w:rFonts w:hint="eastAsia" w:ascii="Times New Roman" w:hAnsi="Times New Roman" w:eastAsia="仿宋_GB2312"/>
          <w:sz w:val="32"/>
          <w:szCs w:val="32"/>
          <w:lang w:val="en-US" w:eastAsia="zh-CN"/>
        </w:rPr>
        <w:t>相比无变化</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本年度未安排因公出国（境）</w:t>
      </w:r>
      <w:r>
        <w:rPr>
          <w:rFonts w:hint="eastAsia" w:ascii="Times New Roman" w:hAnsi="Times New Roman" w:eastAsia="仿宋_GB2312"/>
          <w:sz w:val="32"/>
          <w:szCs w:val="32"/>
        </w:rPr>
        <w:t>。</w:t>
      </w:r>
    </w:p>
    <w:p w14:paraId="389C7BE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按预算执行</w:t>
      </w:r>
      <w:r>
        <w:rPr>
          <w:rFonts w:hint="eastAsia" w:ascii="Times New Roman" w:hAnsi="Times New Roman" w:eastAsia="仿宋_GB2312"/>
          <w:sz w:val="32"/>
          <w:szCs w:val="32"/>
        </w:rPr>
        <w:t>，与上年</w:t>
      </w:r>
      <w:r>
        <w:rPr>
          <w:rFonts w:hint="eastAsia" w:ascii="Times New Roman" w:hAnsi="Times New Roman" w:eastAsia="仿宋_GB2312"/>
          <w:sz w:val="32"/>
          <w:szCs w:val="32"/>
          <w:lang w:val="en-US" w:eastAsia="zh-CN"/>
        </w:rPr>
        <w:t>相比无变化，主要原因是本年度未安排公务接待</w:t>
      </w:r>
      <w:r>
        <w:rPr>
          <w:rFonts w:hint="eastAsia" w:ascii="Times New Roman" w:hAnsi="Times New Roman" w:eastAsia="仿宋_GB2312"/>
          <w:sz w:val="32"/>
          <w:szCs w:val="32"/>
        </w:rPr>
        <w:t>。</w:t>
      </w:r>
    </w:p>
    <w:p w14:paraId="0B5734C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按预算执行</w:t>
      </w:r>
      <w:r>
        <w:rPr>
          <w:rFonts w:hint="eastAsia" w:ascii="Times New Roman" w:hAnsi="Times New Roman" w:eastAsia="仿宋_GB2312"/>
          <w:sz w:val="32"/>
          <w:szCs w:val="32"/>
        </w:rPr>
        <w:t>，与上年</w:t>
      </w:r>
      <w:r>
        <w:rPr>
          <w:rFonts w:hint="eastAsia" w:ascii="Times New Roman" w:hAnsi="Times New Roman" w:eastAsia="仿宋_GB2312"/>
          <w:sz w:val="32"/>
          <w:szCs w:val="32"/>
          <w:lang w:val="en-US" w:eastAsia="zh-CN"/>
        </w:rPr>
        <w:t>相比无变化，主要原因是本单位无公务用车</w:t>
      </w:r>
      <w:r>
        <w:rPr>
          <w:rFonts w:hint="eastAsia" w:ascii="Times New Roman" w:hAnsi="Times New Roman" w:eastAsia="仿宋_GB2312"/>
          <w:sz w:val="32"/>
          <w:szCs w:val="32"/>
        </w:rPr>
        <w:t>。</w:t>
      </w:r>
    </w:p>
    <w:p w14:paraId="2FEDB9A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按预算执行</w:t>
      </w:r>
      <w:r>
        <w:rPr>
          <w:rFonts w:hint="eastAsia" w:ascii="Times New Roman" w:hAnsi="Times New Roman" w:eastAsia="仿宋_GB2312"/>
          <w:sz w:val="32"/>
          <w:szCs w:val="32"/>
        </w:rPr>
        <w:t>，与上年</w:t>
      </w:r>
      <w:r>
        <w:rPr>
          <w:rFonts w:hint="eastAsia" w:ascii="Times New Roman" w:hAnsi="Times New Roman" w:eastAsia="仿宋_GB2312"/>
          <w:sz w:val="32"/>
          <w:szCs w:val="32"/>
          <w:lang w:val="en-US" w:eastAsia="zh-CN"/>
        </w:rPr>
        <w:t>相比无变化，主要原因是本单位无公务用车</w:t>
      </w:r>
      <w:r>
        <w:rPr>
          <w:rFonts w:hint="eastAsia" w:ascii="Times New Roman" w:hAnsi="Times New Roman" w:eastAsia="仿宋_GB2312"/>
          <w:sz w:val="32"/>
          <w:szCs w:val="32"/>
        </w:rPr>
        <w:t>。</w:t>
      </w:r>
    </w:p>
    <w:p w14:paraId="00758B6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64C6EA3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w:t>
      </w:r>
    </w:p>
    <w:p w14:paraId="3488BB1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61ED44B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2FA8B457">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197ACBB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rPr>
        <w:t>八、政府性基金预算收入支出决算情况</w:t>
      </w:r>
      <w:r>
        <w:rPr>
          <w:rFonts w:hint="eastAsia" w:hAnsi="黑体" w:cs="黑体"/>
          <w:b w:val="0"/>
          <w:bCs/>
          <w:sz w:val="32"/>
          <w:szCs w:val="32"/>
          <w:lang w:val="en-US" w:eastAsia="zh-CN"/>
        </w:rPr>
        <w:t>说明</w:t>
      </w:r>
    </w:p>
    <w:p w14:paraId="3EC927A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本单位无政府性基金收支。</w:t>
      </w:r>
    </w:p>
    <w:p w14:paraId="0FD8597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hAnsi="黑体" w:cs="黑体"/>
          <w:b w:val="0"/>
          <w:bCs/>
          <w:sz w:val="32"/>
          <w:szCs w:val="32"/>
          <w:lang w:val="en-US" w:eastAsia="zh-CN"/>
        </w:rPr>
        <w:t>九</w:t>
      </w:r>
      <w:r>
        <w:rPr>
          <w:rFonts w:hint="eastAsia" w:ascii="黑体" w:hAnsi="黑体" w:eastAsia="黑体" w:cs="黑体"/>
          <w:b w:val="0"/>
          <w:bCs/>
          <w:sz w:val="32"/>
          <w:szCs w:val="32"/>
        </w:rPr>
        <w:t>、</w:t>
      </w:r>
      <w:r>
        <w:rPr>
          <w:rFonts w:hint="eastAsia" w:ascii="黑体" w:hAnsi="黑体" w:eastAsia="黑体" w:cs="黑体"/>
          <w:b w:val="0"/>
          <w:bCs/>
          <w:sz w:val="32"/>
          <w:szCs w:val="32"/>
          <w:lang w:eastAsia="zh-CN"/>
        </w:rPr>
        <w:t>国有资本经营预算</w:t>
      </w:r>
      <w:r>
        <w:rPr>
          <w:rFonts w:hint="eastAsia" w:hAnsi="黑体" w:cs="黑体"/>
          <w:b w:val="0"/>
          <w:bCs/>
          <w:sz w:val="32"/>
          <w:szCs w:val="32"/>
          <w:lang w:val="en-US" w:eastAsia="zh-CN"/>
        </w:rPr>
        <w:t>收入</w:t>
      </w:r>
      <w:r>
        <w:rPr>
          <w:rFonts w:hint="eastAsia" w:ascii="黑体" w:hAnsi="黑体" w:eastAsia="黑体" w:cs="黑体"/>
          <w:b w:val="0"/>
          <w:bCs/>
          <w:sz w:val="32"/>
          <w:szCs w:val="32"/>
          <w:lang w:eastAsia="zh-CN"/>
        </w:rPr>
        <w:t>支出决算情况</w:t>
      </w:r>
      <w:r>
        <w:rPr>
          <w:rFonts w:hint="eastAsia" w:hAnsi="黑体" w:cs="黑体"/>
          <w:b w:val="0"/>
          <w:bCs/>
          <w:sz w:val="32"/>
          <w:szCs w:val="32"/>
          <w:lang w:val="en-US" w:eastAsia="zh-CN"/>
        </w:rPr>
        <w:t>说明</w:t>
      </w:r>
    </w:p>
    <w:p w14:paraId="26CFFBD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2023年度本单位无国有资本经营预算收支。</w:t>
      </w:r>
    </w:p>
    <w:p w14:paraId="0E80380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val="en-US" w:eastAsia="zh-CN"/>
        </w:rPr>
        <w:t>十</w:t>
      </w:r>
      <w:r>
        <w:rPr>
          <w:rFonts w:hint="eastAsia" w:ascii="黑体" w:hAnsi="黑体" w:eastAsia="黑体" w:cs="黑体"/>
          <w:b w:val="0"/>
          <w:bCs/>
          <w:sz w:val="32"/>
          <w:szCs w:val="32"/>
          <w:lang w:eastAsia="zh-CN"/>
        </w:rPr>
        <w:t>、关于机关运行经费支出说明</w:t>
      </w:r>
    </w:p>
    <w:p w14:paraId="1F71E53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本单位不属于行政单位和参照公务员法管理的事业单位，无机关运行经费支出</w:t>
      </w:r>
      <w:r>
        <w:rPr>
          <w:rFonts w:hint="eastAsia" w:ascii="Times New Roman" w:hAnsi="Times New Roman" w:eastAsia="仿宋_GB2312"/>
          <w:sz w:val="32"/>
          <w:szCs w:val="32"/>
        </w:rPr>
        <w:t>。</w:t>
      </w:r>
    </w:p>
    <w:p w14:paraId="738A9EE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7FAC5FC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未</w:t>
      </w:r>
      <w:r>
        <w:rPr>
          <w:rFonts w:hint="eastAsia" w:ascii="Times New Roman" w:hAnsi="Times New Roman" w:eastAsia="仿宋_GB2312"/>
          <w:sz w:val="32"/>
          <w:szCs w:val="32"/>
        </w:rPr>
        <w:t>举办节庆、晚会、论坛、赛事活动。</w:t>
      </w:r>
    </w:p>
    <w:p w14:paraId="1AA6A50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0EA0291A">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93.18</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93.18</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93.18</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93.18</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无政府采购</w:t>
      </w:r>
      <w:r>
        <w:rPr>
          <w:rFonts w:hint="eastAsia" w:ascii="Times New Roman" w:hAnsi="Times New Roman" w:eastAsia="仿宋_GB2312"/>
          <w:color w:val="auto"/>
          <w:sz w:val="32"/>
          <w:szCs w:val="32"/>
        </w:rPr>
        <w:t>工程</w:t>
      </w:r>
      <w:r>
        <w:rPr>
          <w:rFonts w:hint="eastAsia" w:ascii="Times New Roman" w:hAnsi="Times New Roman" w:eastAsia="仿宋_GB2312"/>
          <w:color w:val="auto"/>
          <w:sz w:val="32"/>
          <w:szCs w:val="32"/>
          <w:lang w:val="en-US" w:eastAsia="zh-CN"/>
        </w:rPr>
        <w:t>及服务支出</w:t>
      </w:r>
      <w:r>
        <w:rPr>
          <w:rFonts w:hint="eastAsia" w:ascii="Times New Roman" w:hAnsi="Times New Roman" w:eastAsia="仿宋_GB2312"/>
          <w:color w:val="auto"/>
          <w:sz w:val="32"/>
          <w:szCs w:val="32"/>
        </w:rPr>
        <w:t>。</w:t>
      </w:r>
    </w:p>
    <w:p w14:paraId="32176B69">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10835662">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val="en-US" w:eastAsia="zh-CN"/>
        </w:rPr>
        <w:t>本</w:t>
      </w:r>
      <w:r>
        <w:rPr>
          <w:rFonts w:hint="eastAsia" w:ascii="Times New Roman" w:hAnsi="Times New Roman" w:eastAsia="仿宋_GB2312"/>
          <w:color w:val="auto"/>
          <w:sz w:val="32"/>
          <w:szCs w:val="32"/>
          <w:lang w:eastAsia="zh-CN"/>
        </w:rPr>
        <w:t>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72F9225A">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10215584">
      <w:pPr>
        <w:pStyle w:val="12"/>
        <w:ind w:firstLine="640" w:firstLineChars="200"/>
        <w:jc w:val="both"/>
        <w:rPr>
          <w:rFonts w:hint="eastAsia" w:eastAsia="仿宋_GB2312"/>
          <w:sz w:val="72"/>
          <w:szCs w:val="72"/>
          <w:lang w:eastAsia="zh-CN"/>
        </w:rPr>
      </w:pPr>
      <w:r>
        <w:rPr>
          <w:rFonts w:hint="eastAsia" w:ascii="Times New Roman" w:hAnsi="Times New Roman" w:eastAsia="仿宋_GB2312"/>
          <w:sz w:val="32"/>
          <w:szCs w:val="32"/>
        </w:rPr>
        <w:t>本</w:t>
      </w:r>
      <w:r>
        <w:rPr>
          <w:rFonts w:hint="eastAsia" w:ascii="Times New Roman" w:hAnsi="Times New Roman" w:eastAsia="仿宋_GB2312"/>
          <w:sz w:val="32"/>
          <w:szCs w:val="32"/>
          <w:lang w:val="en-US" w:eastAsia="zh-CN"/>
        </w:rPr>
        <w:t>单位</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年按财政局要求认真开展落实绩效管理工作，切实完成年度绩效目标和绩效评价工作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自评报告见附件</w:t>
      </w:r>
      <w:r>
        <w:rPr>
          <w:rFonts w:hint="eastAsia" w:ascii="Times New Roman" w:hAnsi="Times New Roman" w:eastAsia="仿宋_GB2312"/>
          <w:sz w:val="32"/>
          <w:szCs w:val="32"/>
          <w:lang w:eastAsia="zh-CN"/>
        </w:rPr>
        <w:t>。</w:t>
      </w:r>
    </w:p>
    <w:p w14:paraId="731C4A93">
      <w:pPr>
        <w:pStyle w:val="12"/>
        <w:jc w:val="center"/>
        <w:rPr>
          <w:sz w:val="72"/>
          <w:szCs w:val="72"/>
        </w:rPr>
      </w:pPr>
    </w:p>
    <w:p w14:paraId="56887520">
      <w:pPr>
        <w:pStyle w:val="12"/>
        <w:jc w:val="center"/>
        <w:rPr>
          <w:sz w:val="72"/>
          <w:szCs w:val="72"/>
        </w:rPr>
      </w:pPr>
    </w:p>
    <w:p w14:paraId="0120ECDD">
      <w:pPr>
        <w:pStyle w:val="12"/>
        <w:jc w:val="both"/>
        <w:rPr>
          <w:rFonts w:hint="eastAsia" w:ascii="方正小标宋_GBK" w:hAnsi="方正小标宋_GBK" w:eastAsia="方正小标宋_GBK" w:cs="方正小标宋_GBK"/>
          <w:sz w:val="72"/>
          <w:szCs w:val="72"/>
        </w:rPr>
      </w:pPr>
    </w:p>
    <w:p w14:paraId="15C2F029">
      <w:pPr>
        <w:pStyle w:val="12"/>
        <w:jc w:val="center"/>
        <w:rPr>
          <w:rFonts w:hint="eastAsia" w:ascii="方正小标宋_GBK" w:hAnsi="方正小标宋_GBK" w:eastAsia="方正小标宋_GBK" w:cs="方正小标宋_GBK"/>
          <w:sz w:val="72"/>
          <w:szCs w:val="72"/>
        </w:rPr>
      </w:pPr>
    </w:p>
    <w:p w14:paraId="7B9207AE">
      <w:pPr>
        <w:pStyle w:val="12"/>
        <w:jc w:val="center"/>
        <w:rPr>
          <w:rFonts w:hint="eastAsia" w:ascii="方正小标宋_GBK" w:hAnsi="方正小标宋_GBK" w:eastAsia="方正小标宋_GBK" w:cs="方正小标宋_GBK"/>
          <w:sz w:val="72"/>
          <w:szCs w:val="72"/>
        </w:rPr>
      </w:pPr>
    </w:p>
    <w:p w14:paraId="3CECD0C5">
      <w:pPr>
        <w:pStyle w:val="12"/>
        <w:jc w:val="center"/>
        <w:rPr>
          <w:rFonts w:hint="eastAsia" w:ascii="方正小标宋_GBK" w:hAnsi="方正小标宋_GBK" w:eastAsia="方正小标宋_GBK" w:cs="方正小标宋_GBK"/>
          <w:sz w:val="72"/>
          <w:szCs w:val="72"/>
        </w:rPr>
      </w:pPr>
    </w:p>
    <w:p w14:paraId="7950011E">
      <w:pPr>
        <w:pStyle w:val="12"/>
        <w:jc w:val="center"/>
        <w:rPr>
          <w:rFonts w:hint="eastAsia" w:ascii="方正小标宋_GBK" w:hAnsi="方正小标宋_GBK" w:eastAsia="方正小标宋_GBK" w:cs="方正小标宋_GBK"/>
          <w:sz w:val="72"/>
          <w:szCs w:val="72"/>
        </w:rPr>
      </w:pPr>
    </w:p>
    <w:p w14:paraId="4D2471A4">
      <w:pPr>
        <w:pStyle w:val="12"/>
        <w:jc w:val="center"/>
        <w:rPr>
          <w:rFonts w:hint="eastAsia" w:ascii="方正小标宋_GBK" w:hAnsi="方正小标宋_GBK" w:eastAsia="方正小标宋_GBK" w:cs="方正小标宋_GBK"/>
          <w:sz w:val="72"/>
          <w:szCs w:val="72"/>
        </w:rPr>
      </w:pPr>
    </w:p>
    <w:p w14:paraId="78B12508">
      <w:pPr>
        <w:pStyle w:val="12"/>
        <w:jc w:val="center"/>
        <w:rPr>
          <w:rFonts w:hint="eastAsia" w:ascii="方正小标宋_GBK" w:hAnsi="方正小标宋_GBK" w:eastAsia="方正小标宋_GBK" w:cs="方正小标宋_GBK"/>
          <w:sz w:val="72"/>
          <w:szCs w:val="72"/>
        </w:rPr>
      </w:pPr>
    </w:p>
    <w:p w14:paraId="6DD27D5B">
      <w:pPr>
        <w:pStyle w:val="12"/>
        <w:jc w:val="center"/>
        <w:rPr>
          <w:rFonts w:hint="eastAsia" w:ascii="方正小标宋_GBK" w:hAnsi="方正小标宋_GBK" w:eastAsia="方正小标宋_GBK" w:cs="方正小标宋_GBK"/>
          <w:sz w:val="72"/>
          <w:szCs w:val="72"/>
        </w:rPr>
      </w:pPr>
    </w:p>
    <w:p w14:paraId="6DC5B85A">
      <w:pPr>
        <w:pStyle w:val="12"/>
        <w:jc w:val="center"/>
        <w:rPr>
          <w:rFonts w:hint="eastAsia" w:ascii="方正小标宋_GBK" w:hAnsi="方正小标宋_GBK" w:eastAsia="方正小标宋_GBK" w:cs="方正小标宋_GBK"/>
          <w:sz w:val="72"/>
          <w:szCs w:val="72"/>
        </w:rPr>
      </w:pPr>
    </w:p>
    <w:p w14:paraId="30EF24B4">
      <w:pPr>
        <w:pStyle w:val="12"/>
        <w:jc w:val="center"/>
        <w:rPr>
          <w:rFonts w:hint="eastAsia" w:ascii="方正小标宋_GBK" w:hAnsi="方正小标宋_GBK" w:eastAsia="方正小标宋_GBK" w:cs="方正小标宋_GBK"/>
          <w:sz w:val="72"/>
          <w:szCs w:val="72"/>
        </w:rPr>
      </w:pPr>
    </w:p>
    <w:p w14:paraId="13BC0811">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71233489">
      <w:pPr>
        <w:jc w:val="center"/>
        <w:rPr>
          <w:rFonts w:hint="eastAsia" w:ascii="方正小标宋_GBK" w:hAnsi="方正小标宋_GBK" w:eastAsia="方正小标宋_GBK" w:cs="方正小标宋_GBK"/>
          <w:color w:val="000000"/>
          <w:kern w:val="0"/>
          <w:sz w:val="70"/>
          <w:szCs w:val="70"/>
        </w:rPr>
      </w:pPr>
    </w:p>
    <w:p w14:paraId="47D725EA">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60A1EAB4">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463171AB">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一、</w:t>
      </w:r>
      <w:r>
        <w:rPr>
          <w:rFonts w:hint="eastAsia" w:ascii="Times New Roman" w:hAnsi="Times New Roman" w:eastAsia="仿宋_GB2312" w:cs="黑体"/>
          <w:color w:val="000000"/>
          <w:kern w:val="0"/>
          <w:sz w:val="32"/>
          <w:szCs w:val="32"/>
          <w:lang w:val="en-US" w:eastAsia="zh-CN" w:bidi="ar-SA"/>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657AED14">
      <w:pPr>
        <w:ind w:firstLine="640" w:firstLineChars="200"/>
        <w:jc w:val="left"/>
        <w:rPr>
          <w:rFonts w:hint="eastAsia" w:ascii="楷体" w:hAnsi="楷体" w:eastAsia="楷体" w:cs="楷体"/>
          <w:b/>
          <w:bCs/>
          <w:i/>
          <w:color w:val="auto"/>
          <w:kern w:val="0"/>
          <w:sz w:val="32"/>
          <w:szCs w:val="32"/>
          <w:lang w:val="en-US" w:eastAsia="zh-CN" w:bidi="ar-SA"/>
        </w:rPr>
      </w:pPr>
      <w:r>
        <w:rPr>
          <w:rFonts w:hint="eastAsia" w:cs="黑体" w:asciiTheme="minorEastAsia" w:hAnsiTheme="minorEastAsia"/>
          <w:color w:val="000000"/>
          <w:kern w:val="0"/>
          <w:sz w:val="32"/>
          <w:szCs w:val="32"/>
        </w:rPr>
        <w:t>二、</w:t>
      </w:r>
      <w:r>
        <w:rPr>
          <w:rFonts w:hint="eastAsia" w:ascii="Times New Roman" w:hAnsi="Times New Roman" w:eastAsia="仿宋_GB2312" w:cs="黑体"/>
          <w:color w:val="000000"/>
          <w:kern w:val="0"/>
          <w:sz w:val="32"/>
          <w:szCs w:val="32"/>
          <w:lang w:val="en-US" w:eastAsia="zh-CN" w:bidi="ar-SA"/>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FB0A205">
      <w:pPr>
        <w:pStyle w:val="12"/>
        <w:jc w:val="center"/>
        <w:rPr>
          <w:sz w:val="72"/>
          <w:szCs w:val="72"/>
        </w:rPr>
      </w:pPr>
    </w:p>
    <w:p w14:paraId="7A7BFD01">
      <w:pPr>
        <w:pStyle w:val="12"/>
        <w:jc w:val="center"/>
        <w:rPr>
          <w:sz w:val="72"/>
          <w:szCs w:val="72"/>
        </w:rPr>
      </w:pPr>
    </w:p>
    <w:p w14:paraId="5DBCBA90">
      <w:pPr>
        <w:pStyle w:val="12"/>
        <w:jc w:val="center"/>
        <w:rPr>
          <w:sz w:val="72"/>
          <w:szCs w:val="72"/>
        </w:rPr>
      </w:pPr>
    </w:p>
    <w:p w14:paraId="44C05F17">
      <w:pPr>
        <w:pStyle w:val="12"/>
        <w:jc w:val="center"/>
        <w:rPr>
          <w:sz w:val="72"/>
          <w:szCs w:val="72"/>
        </w:rPr>
      </w:pPr>
    </w:p>
    <w:p w14:paraId="4052B8D6">
      <w:pPr>
        <w:pStyle w:val="12"/>
        <w:jc w:val="center"/>
        <w:rPr>
          <w:sz w:val="72"/>
          <w:szCs w:val="72"/>
        </w:rPr>
      </w:pPr>
    </w:p>
    <w:p w14:paraId="7C53D6F3">
      <w:pPr>
        <w:pStyle w:val="12"/>
        <w:jc w:val="center"/>
        <w:rPr>
          <w:sz w:val="72"/>
          <w:szCs w:val="72"/>
        </w:rPr>
      </w:pPr>
    </w:p>
    <w:p w14:paraId="5943F071">
      <w:pPr>
        <w:pStyle w:val="12"/>
        <w:jc w:val="center"/>
        <w:rPr>
          <w:sz w:val="72"/>
          <w:szCs w:val="72"/>
        </w:rPr>
      </w:pPr>
    </w:p>
    <w:p w14:paraId="126C801E">
      <w:pPr>
        <w:pStyle w:val="12"/>
        <w:jc w:val="center"/>
        <w:rPr>
          <w:sz w:val="72"/>
          <w:szCs w:val="72"/>
        </w:rPr>
      </w:pPr>
    </w:p>
    <w:p w14:paraId="3165DD56">
      <w:pPr>
        <w:rPr>
          <w:sz w:val="72"/>
          <w:szCs w:val="72"/>
        </w:rPr>
      </w:pPr>
      <w:r>
        <w:rPr>
          <w:sz w:val="72"/>
          <w:szCs w:val="72"/>
        </w:rPr>
        <w:br w:type="page"/>
      </w:r>
    </w:p>
    <w:p w14:paraId="7697CB8E">
      <w:pPr>
        <w:pStyle w:val="12"/>
        <w:jc w:val="center"/>
        <w:rPr>
          <w:rFonts w:hint="eastAsia" w:ascii="方正小标宋_GBK" w:hAnsi="方正小标宋_GBK" w:eastAsia="方正小标宋_GBK" w:cs="方正小标宋_GBK"/>
          <w:sz w:val="72"/>
          <w:szCs w:val="72"/>
        </w:rPr>
      </w:pPr>
    </w:p>
    <w:p w14:paraId="35F3F327">
      <w:pPr>
        <w:pStyle w:val="12"/>
        <w:jc w:val="center"/>
        <w:rPr>
          <w:rFonts w:hint="eastAsia" w:ascii="方正小标宋_GBK" w:hAnsi="方正小标宋_GBK" w:eastAsia="方正小标宋_GBK" w:cs="方正小标宋_GBK"/>
          <w:sz w:val="72"/>
          <w:szCs w:val="72"/>
        </w:rPr>
      </w:pPr>
    </w:p>
    <w:p w14:paraId="55491752">
      <w:pPr>
        <w:pStyle w:val="12"/>
        <w:jc w:val="center"/>
        <w:rPr>
          <w:rFonts w:hint="eastAsia" w:ascii="方正小标宋_GBK" w:hAnsi="方正小标宋_GBK" w:eastAsia="方正小标宋_GBK" w:cs="方正小标宋_GBK"/>
          <w:sz w:val="72"/>
          <w:szCs w:val="72"/>
        </w:rPr>
      </w:pPr>
    </w:p>
    <w:p w14:paraId="7B83FD41">
      <w:pPr>
        <w:pStyle w:val="12"/>
        <w:jc w:val="both"/>
        <w:rPr>
          <w:rFonts w:hint="eastAsia" w:ascii="方正小标宋_GBK" w:hAnsi="方正小标宋_GBK" w:eastAsia="方正小标宋_GBK" w:cs="方正小标宋_GBK"/>
          <w:sz w:val="72"/>
          <w:szCs w:val="72"/>
        </w:rPr>
      </w:pPr>
      <w:bookmarkStart w:id="1" w:name="_GoBack"/>
      <w:bookmarkEnd w:id="1"/>
    </w:p>
    <w:p w14:paraId="55E9CBC8">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4A622721">
      <w:pPr>
        <w:pStyle w:val="12"/>
        <w:jc w:val="center"/>
        <w:rPr>
          <w:rFonts w:hint="eastAsia" w:ascii="方正小标宋_GBK" w:hAnsi="方正小标宋_GBK" w:eastAsia="方正小标宋_GBK" w:cs="方正小标宋_GBK"/>
          <w:sz w:val="70"/>
          <w:szCs w:val="70"/>
        </w:rPr>
      </w:pPr>
    </w:p>
    <w:p w14:paraId="3589BE36">
      <w:pPr>
        <w:pStyle w:val="12"/>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672AF53A">
      <w:pPr>
        <w:rPr>
          <w:sz w:val="72"/>
          <w:szCs w:val="72"/>
        </w:rPr>
      </w:pPr>
      <w:r>
        <w:rPr>
          <w:sz w:val="72"/>
          <w:szCs w:val="72"/>
        </w:rPr>
        <w:br w:type="page"/>
      </w:r>
    </w:p>
    <w:p w14:paraId="23067162">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val="en-US" w:eastAsia="zh-CN"/>
        </w:rPr>
        <w:t>附件</w:t>
      </w: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怀化市宏宇小学2023年决算公开表</w:t>
      </w:r>
    </w:p>
    <w:p w14:paraId="3D11A5BC">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val="en-US" w:eastAsia="zh-CN"/>
        </w:rPr>
        <w:t>附件二</w:t>
      </w:r>
      <w:r>
        <w:rPr>
          <w:rFonts w:hint="eastAsia" w:ascii="楷体" w:hAnsi="楷体" w:eastAsia="楷体" w:cs="楷体"/>
          <w:b/>
          <w:bCs/>
          <w:sz w:val="32"/>
          <w:szCs w:val="32"/>
          <w:lang w:eastAsia="zh-CN"/>
        </w:rPr>
        <w:t>、</w:t>
      </w:r>
      <w:r>
        <w:rPr>
          <w:rFonts w:hint="eastAsia" w:ascii="Times New Roman" w:hAnsi="Times New Roman" w:eastAsia="仿宋_GB2312"/>
          <w:sz w:val="32"/>
          <w:szCs w:val="32"/>
          <w:lang w:val="en-US" w:eastAsia="zh-CN"/>
        </w:rPr>
        <w:t>怀化市宏宇小学2023年整体支出绩效自评报告</w:t>
      </w:r>
    </w:p>
    <w:p w14:paraId="756A82ED">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cs="黑体" w:asciiTheme="minorEastAsia" w:hAnsiTheme="minorEastAsia" w:eastAsiaTheme="minorEastAsia"/>
          <w:color w:val="000000"/>
          <w:kern w:val="0"/>
          <w:sz w:val="32"/>
          <w:szCs w:val="32"/>
          <w:lang w:val="en-US" w:eastAsia="zh-CN" w:bidi="ar-SA"/>
        </w:rPr>
      </w:pPr>
      <w:r>
        <w:rPr>
          <w:rFonts w:hint="eastAsia" w:ascii="楷体" w:hAnsi="楷体" w:eastAsia="楷体" w:cs="楷体"/>
          <w:b/>
          <w:bCs/>
          <w:sz w:val="32"/>
          <w:szCs w:val="32"/>
          <w:lang w:val="en-US" w:eastAsia="zh-CN"/>
        </w:rPr>
        <w:t>附件三</w:t>
      </w:r>
      <w:r>
        <w:rPr>
          <w:rFonts w:hint="eastAsia" w:ascii="楷体" w:hAnsi="楷体" w:eastAsia="楷体" w:cs="楷体"/>
          <w:b/>
          <w:bCs/>
          <w:sz w:val="32"/>
          <w:szCs w:val="32"/>
          <w:lang w:eastAsia="zh-CN"/>
        </w:rPr>
        <w:t>、</w:t>
      </w:r>
      <w:r>
        <w:rPr>
          <w:rFonts w:hint="eastAsia" w:ascii="Times New Roman" w:hAnsi="Times New Roman" w:eastAsia="仿宋_GB2312"/>
          <w:sz w:val="32"/>
          <w:szCs w:val="32"/>
          <w:lang w:val="en-US" w:eastAsia="zh-CN"/>
        </w:rPr>
        <w:t>怀化市宏宇小学2023年项目支出绩效自评报告</w:t>
      </w:r>
    </w:p>
    <w:p w14:paraId="6C217DA1">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729340F9">
      <w:pPr>
        <w:pStyle w:val="12"/>
        <w:jc w:val="center"/>
        <w:rPr>
          <w:sz w:val="72"/>
          <w:szCs w:val="72"/>
        </w:rPr>
      </w:pPr>
    </w:p>
    <w:p w14:paraId="3C7CD014">
      <w:pPr>
        <w:pStyle w:val="12"/>
        <w:jc w:val="center"/>
        <w:rPr>
          <w:sz w:val="72"/>
          <w:szCs w:val="72"/>
        </w:rPr>
      </w:pPr>
    </w:p>
    <w:p w14:paraId="7C68A89C">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4MGY3NWU5ZmMyOWUwZmJhNTNiNTc1NDcyMDI1YTA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41261B9"/>
    <w:rsid w:val="046A1CE8"/>
    <w:rsid w:val="04877EA0"/>
    <w:rsid w:val="07064092"/>
    <w:rsid w:val="072341CA"/>
    <w:rsid w:val="0C0C16EC"/>
    <w:rsid w:val="0CB332FB"/>
    <w:rsid w:val="0F2C2E79"/>
    <w:rsid w:val="0F2D3EA9"/>
    <w:rsid w:val="0F9858F0"/>
    <w:rsid w:val="10D1196F"/>
    <w:rsid w:val="124B5489"/>
    <w:rsid w:val="136E5816"/>
    <w:rsid w:val="1554481B"/>
    <w:rsid w:val="17DB70A1"/>
    <w:rsid w:val="18EF3825"/>
    <w:rsid w:val="1AEE4DCF"/>
    <w:rsid w:val="1BC042F5"/>
    <w:rsid w:val="1BE62335"/>
    <w:rsid w:val="1C7E40EC"/>
    <w:rsid w:val="1D97DEFF"/>
    <w:rsid w:val="1DB10D14"/>
    <w:rsid w:val="1DB659B0"/>
    <w:rsid w:val="1DE55F0B"/>
    <w:rsid w:val="1DFF72E5"/>
    <w:rsid w:val="1E4B0F80"/>
    <w:rsid w:val="1E6C68E5"/>
    <w:rsid w:val="1EFC6F07"/>
    <w:rsid w:val="21027A53"/>
    <w:rsid w:val="222D21D2"/>
    <w:rsid w:val="24922304"/>
    <w:rsid w:val="24DA1C20"/>
    <w:rsid w:val="250A0399"/>
    <w:rsid w:val="2848050C"/>
    <w:rsid w:val="28BB4440"/>
    <w:rsid w:val="28FB4BBF"/>
    <w:rsid w:val="2A3466D6"/>
    <w:rsid w:val="2FDF85B8"/>
    <w:rsid w:val="2FFFEE04"/>
    <w:rsid w:val="30DE29C7"/>
    <w:rsid w:val="32181F32"/>
    <w:rsid w:val="32B7019B"/>
    <w:rsid w:val="33971988"/>
    <w:rsid w:val="34DF85B0"/>
    <w:rsid w:val="36CA64AC"/>
    <w:rsid w:val="36D60A11"/>
    <w:rsid w:val="3B3D0315"/>
    <w:rsid w:val="3B8F36BC"/>
    <w:rsid w:val="3C253F2D"/>
    <w:rsid w:val="411D29D3"/>
    <w:rsid w:val="41631B14"/>
    <w:rsid w:val="421B6A2F"/>
    <w:rsid w:val="44633AA8"/>
    <w:rsid w:val="44EE1D31"/>
    <w:rsid w:val="45692766"/>
    <w:rsid w:val="460B409F"/>
    <w:rsid w:val="46412444"/>
    <w:rsid w:val="491FF225"/>
    <w:rsid w:val="4FAB400F"/>
    <w:rsid w:val="4FFD214C"/>
    <w:rsid w:val="572778B1"/>
    <w:rsid w:val="576944E8"/>
    <w:rsid w:val="5777D4F5"/>
    <w:rsid w:val="59DD8326"/>
    <w:rsid w:val="5DEF592A"/>
    <w:rsid w:val="5DF21354"/>
    <w:rsid w:val="5FC6BB1E"/>
    <w:rsid w:val="5FF720F1"/>
    <w:rsid w:val="61A35D78"/>
    <w:rsid w:val="627172DD"/>
    <w:rsid w:val="66340BF5"/>
    <w:rsid w:val="67FF5C0B"/>
    <w:rsid w:val="6D4E3947"/>
    <w:rsid w:val="6D7B13F7"/>
    <w:rsid w:val="6EFC0924"/>
    <w:rsid w:val="6FB74722"/>
    <w:rsid w:val="6FEF8B7E"/>
    <w:rsid w:val="7103559F"/>
    <w:rsid w:val="71A6591B"/>
    <w:rsid w:val="72200254"/>
    <w:rsid w:val="737D59BA"/>
    <w:rsid w:val="7535244A"/>
    <w:rsid w:val="76751BF2"/>
    <w:rsid w:val="77931781"/>
    <w:rsid w:val="77C37683"/>
    <w:rsid w:val="79EE3104"/>
    <w:rsid w:val="79FF515B"/>
    <w:rsid w:val="7B5D0106"/>
    <w:rsid w:val="7B8812E4"/>
    <w:rsid w:val="7E0A62C3"/>
    <w:rsid w:val="7E972A1E"/>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4060</Words>
  <Characters>4414</Characters>
  <Lines>63</Lines>
  <Paragraphs>18</Paragraphs>
  <TotalTime>4</TotalTime>
  <ScaleCrop>false</ScaleCrop>
  <LinksUpToDate>false</LinksUpToDate>
  <CharactersWithSpaces>4425</CharactersWithSpaces>
  <Application>WPS Office_12.1.0.18196_F1E327BC-269C-435d-A152-05C5408002CA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Lenovo</cp:lastModifiedBy>
  <cp:lastPrinted>2024-08-08T10:20:00Z</cp:lastPrinted>
  <dcterms:modified xsi:type="dcterms:W3CDTF">2024-09-23T03:36:03Z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2052-12.1.0.18196</vt:lpwstr>
  </property>
  <property fmtid="{D5CDD505-2E9C-101B-9397-08002B2CF9AE}" pid="3" name="ICV">
    <vt:lpwstr>C5A9BF6ECA744411B7C45F3B5E8E2B55_13</vt:lpwstr>
  </property>
</Properties>
</file>