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sz w:val="56"/>
          <w:szCs w:val="56"/>
        </w:rPr>
      </w:pPr>
    </w:p>
    <w:p>
      <w:pPr>
        <w:pStyle w:val="10"/>
        <w:jc w:val="center"/>
        <w:rPr>
          <w:sz w:val="56"/>
          <w:szCs w:val="56"/>
        </w:rPr>
      </w:pPr>
    </w:p>
    <w:p>
      <w:pPr>
        <w:pStyle w:val="10"/>
        <w:jc w:val="center"/>
        <w:rPr>
          <w:sz w:val="84"/>
          <w:szCs w:val="84"/>
        </w:rPr>
      </w:pPr>
    </w:p>
    <w:p>
      <w:pPr>
        <w:pStyle w:val="10"/>
        <w:jc w:val="center"/>
        <w:rPr>
          <w:sz w:val="84"/>
          <w:szCs w:val="84"/>
        </w:rPr>
      </w:pPr>
    </w:p>
    <w:p>
      <w:pPr>
        <w:pStyle w:val="10"/>
        <w:jc w:val="center"/>
        <w:rPr>
          <w:sz w:val="84"/>
          <w:szCs w:val="84"/>
        </w:rPr>
      </w:pPr>
      <w:r>
        <w:rPr>
          <w:rFonts w:hint="eastAsia"/>
          <w:sz w:val="84"/>
          <w:szCs w:val="84"/>
        </w:rPr>
        <w:t>2021年度</w:t>
      </w:r>
    </w:p>
    <w:p>
      <w:pPr>
        <w:pStyle w:val="10"/>
        <w:jc w:val="center"/>
        <w:rPr>
          <w:sz w:val="84"/>
          <w:szCs w:val="84"/>
        </w:rPr>
      </w:pPr>
      <w:r>
        <w:rPr>
          <w:rFonts w:hint="eastAsia"/>
          <w:sz w:val="84"/>
          <w:szCs w:val="84"/>
        </w:rPr>
        <w:t>怀化市锦溪小学</w:t>
      </w:r>
    </w:p>
    <w:p>
      <w:pPr>
        <w:pStyle w:val="10"/>
        <w:jc w:val="center"/>
        <w:rPr>
          <w:sz w:val="84"/>
          <w:szCs w:val="84"/>
        </w:rPr>
      </w:pPr>
      <w:r>
        <w:rPr>
          <w:rFonts w:hint="eastAsia"/>
          <w:sz w:val="84"/>
          <w:szCs w:val="84"/>
        </w:rPr>
        <w:t>部门决算</w:t>
      </w:r>
    </w:p>
    <w:p>
      <w:pPr>
        <w:pStyle w:val="10"/>
        <w:jc w:val="center"/>
        <w:rPr>
          <w:sz w:val="56"/>
          <w:szCs w:val="56"/>
        </w:rPr>
      </w:pPr>
    </w:p>
    <w:p>
      <w:pPr>
        <w:pStyle w:val="10"/>
        <w:jc w:val="center"/>
        <w:rPr>
          <w:sz w:val="56"/>
          <w:szCs w:val="56"/>
        </w:rPr>
      </w:pPr>
    </w:p>
    <w:p>
      <w:pPr>
        <w:pStyle w:val="10"/>
        <w:jc w:val="center"/>
        <w:rPr>
          <w:sz w:val="56"/>
          <w:szCs w:val="56"/>
        </w:rPr>
      </w:pPr>
    </w:p>
    <w:p>
      <w:pPr>
        <w:pStyle w:val="10"/>
        <w:jc w:val="center"/>
        <w:rPr>
          <w:sz w:val="56"/>
          <w:szCs w:val="56"/>
        </w:rPr>
      </w:pPr>
    </w:p>
    <w:p>
      <w:pPr>
        <w:pStyle w:val="10"/>
        <w:jc w:val="center"/>
        <w:rPr>
          <w:sz w:val="32"/>
          <w:szCs w:val="32"/>
        </w:rPr>
      </w:pPr>
    </w:p>
    <w:p>
      <w:pPr>
        <w:pStyle w:val="10"/>
        <w:jc w:val="center"/>
        <w:rPr>
          <w:sz w:val="32"/>
          <w:szCs w:val="32"/>
        </w:rPr>
      </w:pPr>
    </w:p>
    <w:p>
      <w:pPr>
        <w:pStyle w:val="10"/>
        <w:jc w:val="center"/>
        <w:rPr>
          <w:sz w:val="32"/>
          <w:szCs w:val="32"/>
        </w:rPr>
      </w:pPr>
    </w:p>
    <w:p>
      <w:pPr>
        <w:pStyle w:val="10"/>
        <w:spacing w:line="540" w:lineRule="exact"/>
        <w:jc w:val="center"/>
        <w:rPr>
          <w:sz w:val="56"/>
          <w:szCs w:val="56"/>
        </w:rPr>
      </w:pPr>
    </w:p>
    <w:p>
      <w:pPr>
        <w:pStyle w:val="10"/>
        <w:spacing w:line="500" w:lineRule="exact"/>
        <w:jc w:val="center"/>
        <w:rPr>
          <w:b/>
          <w:sz w:val="36"/>
          <w:szCs w:val="28"/>
        </w:rPr>
      </w:pPr>
    </w:p>
    <w:p>
      <w:pPr>
        <w:pStyle w:val="10"/>
        <w:spacing w:line="500" w:lineRule="exact"/>
        <w:jc w:val="center"/>
        <w:rPr>
          <w:b/>
          <w:sz w:val="36"/>
          <w:szCs w:val="28"/>
        </w:rPr>
      </w:pPr>
    </w:p>
    <w:p>
      <w:pPr>
        <w:pStyle w:val="10"/>
        <w:spacing w:line="500" w:lineRule="exact"/>
        <w:jc w:val="center"/>
        <w:rPr>
          <w:b/>
          <w:sz w:val="36"/>
          <w:szCs w:val="28"/>
        </w:rPr>
      </w:pPr>
      <w:r>
        <w:rPr>
          <w:rFonts w:hint="eastAsia"/>
          <w:b/>
          <w:sz w:val="36"/>
          <w:szCs w:val="28"/>
        </w:rPr>
        <w:t>目录</w:t>
      </w:r>
    </w:p>
    <w:p>
      <w:pPr>
        <w:pStyle w:val="10"/>
        <w:spacing w:line="500" w:lineRule="exact"/>
        <w:rPr>
          <w:rFonts w:ascii="仿宋_GB2312" w:hAnsi="仿宋_GB2312" w:cs="仿宋_GB2312"/>
          <w:b/>
          <w:sz w:val="28"/>
          <w:szCs w:val="28"/>
        </w:rPr>
      </w:pPr>
      <w:r>
        <w:rPr>
          <w:rFonts w:hint="eastAsia"/>
          <w:b/>
          <w:sz w:val="28"/>
          <w:szCs w:val="28"/>
        </w:rPr>
        <w:t>第一部分怀化市锦溪小学概况</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pPr>
        <w:pStyle w:val="10"/>
        <w:spacing w:line="500" w:lineRule="exact"/>
        <w:rPr>
          <w:rFonts w:ascii="仿宋_GB2312" w:hAnsi="仿宋_GB2312" w:cs="仿宋_GB2312"/>
          <w:b/>
          <w:sz w:val="28"/>
          <w:szCs w:val="28"/>
        </w:rPr>
      </w:pPr>
      <w:r>
        <w:rPr>
          <w:rFonts w:hint="eastAsia" w:hAnsi="仿宋_GB2312"/>
          <w:b/>
          <w:sz w:val="28"/>
          <w:szCs w:val="28"/>
        </w:rPr>
        <w:t>第二部分</w:t>
      </w:r>
      <w:r>
        <w:rPr>
          <w:rFonts w:hAnsi="仿宋_GB2312"/>
          <w:b/>
          <w:sz w:val="28"/>
          <w:szCs w:val="28"/>
        </w:rPr>
        <w:t>20</w:t>
      </w:r>
      <w:r>
        <w:rPr>
          <w:rFonts w:hint="eastAsia" w:hAnsi="仿宋_GB2312"/>
          <w:b/>
          <w:sz w:val="28"/>
          <w:szCs w:val="28"/>
        </w:rPr>
        <w:t>21年度部门决算表</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w:t>
      </w:r>
      <w:r>
        <w:rPr>
          <w:rFonts w:hint="eastAsia" w:cs="仿宋_GB2312" w:asciiTheme="minorEastAsia" w:hAnsiTheme="minorEastAsia" w:eastAsiaTheme="minorEastAsia"/>
          <w:sz w:val="28"/>
          <w:szCs w:val="28"/>
        </w:rPr>
        <w:t>明细</w:t>
      </w:r>
      <w:r>
        <w:rPr>
          <w:rFonts w:cs="仿宋_GB2312" w:asciiTheme="minorEastAsia" w:hAnsiTheme="minorEastAsia" w:eastAsiaTheme="minorEastAsia"/>
          <w:sz w:val="28"/>
          <w:szCs w:val="28"/>
        </w:rPr>
        <w:t>表</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pPr>
        <w:pStyle w:val="10"/>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pPr>
        <w:pStyle w:val="10"/>
        <w:spacing w:line="500" w:lineRule="exact"/>
        <w:rPr>
          <w:rFonts w:ascii="仿宋_GB2312" w:hAnsi="仿宋_GB2312" w:cs="仿宋_GB2312"/>
          <w:b/>
          <w:sz w:val="28"/>
          <w:szCs w:val="28"/>
        </w:rPr>
      </w:pPr>
      <w:r>
        <w:rPr>
          <w:rFonts w:hint="eastAsia" w:hAnsi="仿宋_GB2312"/>
          <w:b/>
          <w:sz w:val="28"/>
          <w:szCs w:val="28"/>
        </w:rPr>
        <w:t>第三部分</w:t>
      </w:r>
      <w:r>
        <w:rPr>
          <w:rFonts w:hAnsi="仿宋_GB2312"/>
          <w:b/>
          <w:sz w:val="28"/>
          <w:szCs w:val="28"/>
        </w:rPr>
        <w:t>20</w:t>
      </w:r>
      <w:r>
        <w:rPr>
          <w:rFonts w:hint="eastAsia" w:hAnsi="仿宋_GB2312"/>
          <w:b/>
          <w:sz w:val="28"/>
          <w:szCs w:val="28"/>
        </w:rPr>
        <w:t>21年度部门决算情况说明</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三公</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经费支出决算情况说明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国有资本经营预算财政拨款支出决算情况说明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十、机关运行经费支出说明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十一、一般性支出情况说明</w:t>
      </w:r>
    </w:p>
    <w:p>
      <w:pPr>
        <w:pStyle w:val="10"/>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十二、政府采购支出说明</w:t>
      </w:r>
    </w:p>
    <w:p>
      <w:pPr>
        <w:pStyle w:val="10"/>
        <w:spacing w:line="500" w:lineRule="exact"/>
        <w:ind w:firstLine="700" w:firstLineChars="250"/>
        <w:rPr>
          <w:rFonts w:hint="eastAsia" w:ascii="仿宋_GB2312" w:hAnsi="仿宋_GB2312" w:cs="仿宋_GB2312" w:eastAsiaTheme="minorEastAsia"/>
          <w:sz w:val="28"/>
          <w:szCs w:val="28"/>
        </w:rPr>
      </w:pPr>
      <w:r>
        <w:rPr>
          <w:rFonts w:hint="eastAsia" w:ascii="仿宋_GB2312" w:hAnsi="仿宋_GB2312" w:cs="仿宋_GB2312" w:eastAsiaTheme="minorEastAsia"/>
          <w:sz w:val="28"/>
          <w:szCs w:val="28"/>
        </w:rPr>
        <w:t>十三、国有资产占用情况说明</w:t>
      </w:r>
    </w:p>
    <w:p>
      <w:pPr>
        <w:pStyle w:val="10"/>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十四、</w:t>
      </w:r>
      <w:r>
        <w:rPr>
          <w:rFonts w:hint="eastAsia" w:cs="仿宋_GB2312" w:asciiTheme="minorEastAsia" w:hAnsiTheme="minorEastAsia" w:eastAsiaTheme="minorEastAsia"/>
          <w:sz w:val="28"/>
          <w:szCs w:val="28"/>
        </w:rPr>
        <w:t>2021年</w:t>
      </w:r>
      <w:r>
        <w:rPr>
          <w:rFonts w:hint="eastAsia" w:ascii="仿宋_GB2312" w:hAnsi="仿宋_GB2312" w:cs="仿宋_GB2312" w:eastAsiaTheme="minorEastAsia"/>
          <w:sz w:val="28"/>
          <w:szCs w:val="28"/>
        </w:rPr>
        <w:t>度预算绩效情况说明</w:t>
      </w:r>
    </w:p>
    <w:p>
      <w:pP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第四部分名词解释</w:t>
      </w:r>
    </w:p>
    <w:p>
      <w:pP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第五部分附件</w:t>
      </w:r>
    </w:p>
    <w:p>
      <w:pPr>
        <w:jc w:val="center"/>
        <w:rPr>
          <w:sz w:val="72"/>
          <w:szCs w:val="72"/>
        </w:rPr>
      </w:pPr>
    </w:p>
    <w:p>
      <w:pPr>
        <w:jc w:val="center"/>
        <w:rPr>
          <w:sz w:val="72"/>
          <w:szCs w:val="72"/>
        </w:rPr>
      </w:pPr>
    </w:p>
    <w:p>
      <w:pPr>
        <w:jc w:val="center"/>
        <w:rPr>
          <w:sz w:val="72"/>
          <w:szCs w:val="72"/>
        </w:rPr>
      </w:pPr>
    </w:p>
    <w:p>
      <w:pPr>
        <w:jc w:val="center"/>
        <w:rPr>
          <w:sz w:val="72"/>
          <w:szCs w:val="72"/>
        </w:rPr>
      </w:pPr>
    </w:p>
    <w:p>
      <w:pPr>
        <w:rPr>
          <w:sz w:val="72"/>
          <w:szCs w:val="72"/>
        </w:rPr>
      </w:pPr>
    </w:p>
    <w:p>
      <w:pPr>
        <w:pStyle w:val="10"/>
        <w:jc w:val="center"/>
        <w:rPr>
          <w:sz w:val="84"/>
          <w:szCs w:val="84"/>
        </w:rPr>
      </w:pPr>
      <w:r>
        <w:rPr>
          <w:rFonts w:hint="eastAsia"/>
          <w:sz w:val="84"/>
          <w:szCs w:val="84"/>
        </w:rPr>
        <w:t>第一部分</w:t>
      </w:r>
    </w:p>
    <w:p>
      <w:pPr>
        <w:pStyle w:val="10"/>
        <w:jc w:val="center"/>
        <w:rPr>
          <w:sz w:val="84"/>
          <w:szCs w:val="84"/>
        </w:rPr>
      </w:pPr>
    </w:p>
    <w:p>
      <w:pPr>
        <w:pStyle w:val="10"/>
        <w:jc w:val="center"/>
        <w:rPr>
          <w:sz w:val="84"/>
          <w:szCs w:val="84"/>
        </w:rPr>
      </w:pPr>
      <w:r>
        <w:rPr>
          <w:rFonts w:hint="eastAsia"/>
          <w:sz w:val="84"/>
          <w:szCs w:val="84"/>
        </w:rPr>
        <w:t>怀化市锦溪小学概况</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11"/>
        <w:ind w:left="720" w:firstLine="0" w:firstLineChars="0"/>
        <w:jc w:val="left"/>
        <w:rPr>
          <w:rFonts w:ascii="黑体" w:hAnsi="黑体" w:eastAsia="黑体"/>
          <w:sz w:val="32"/>
          <w:szCs w:val="32"/>
        </w:rPr>
      </w:pPr>
    </w:p>
    <w:p>
      <w:pPr>
        <w:pStyle w:val="11"/>
        <w:ind w:left="720" w:firstLine="0" w:firstLineChars="0"/>
        <w:jc w:val="left"/>
        <w:rPr>
          <w:rFonts w:ascii="黑体" w:hAnsi="黑体" w:eastAsia="黑体"/>
          <w:sz w:val="32"/>
          <w:szCs w:val="32"/>
        </w:rPr>
      </w:pPr>
    </w:p>
    <w:p>
      <w:pPr>
        <w:pStyle w:val="11"/>
        <w:ind w:left="720" w:firstLine="0" w:firstLineChars="0"/>
        <w:jc w:val="left"/>
        <w:rPr>
          <w:rFonts w:ascii="黑体" w:hAnsi="黑体" w:eastAsia="黑体"/>
          <w:sz w:val="32"/>
          <w:szCs w:val="32"/>
        </w:rPr>
      </w:pPr>
    </w:p>
    <w:p>
      <w:pPr>
        <w:pStyle w:val="11"/>
        <w:numPr>
          <w:ilvl w:val="0"/>
          <w:numId w:val="1"/>
        </w:numPr>
        <w:ind w:firstLineChars="0"/>
        <w:jc w:val="left"/>
        <w:rPr>
          <w:rFonts w:ascii="黑体" w:hAnsi="黑体" w:eastAsia="黑体"/>
          <w:sz w:val="32"/>
          <w:szCs w:val="32"/>
        </w:rPr>
      </w:pPr>
      <w:r>
        <w:rPr>
          <w:rFonts w:ascii="黑体" w:hAnsi="黑体" w:eastAsia="黑体"/>
          <w:sz w:val="32"/>
          <w:szCs w:val="32"/>
        </w:rPr>
        <w:t>部门职责</w:t>
      </w:r>
    </w:p>
    <w:p>
      <w:pPr>
        <w:widowControl/>
        <w:spacing w:line="600" w:lineRule="exact"/>
        <w:rPr>
          <w:rFonts w:asciiTheme="minorEastAsia" w:hAnsiTheme="minorEastAsia"/>
          <w:bCs/>
          <w:kern w:val="0"/>
          <w:sz w:val="32"/>
          <w:szCs w:val="32"/>
        </w:rPr>
      </w:pPr>
      <w:r>
        <w:rPr>
          <w:rFonts w:hint="eastAsia" w:asciiTheme="minorEastAsia" w:hAnsiTheme="minorEastAsia"/>
          <w:bCs/>
          <w:kern w:val="0"/>
          <w:sz w:val="32"/>
          <w:szCs w:val="32"/>
        </w:rPr>
        <w:t xml:space="preserve">    </w:t>
      </w:r>
      <w:r>
        <w:rPr>
          <w:rFonts w:asciiTheme="minorEastAsia" w:hAnsiTheme="minorEastAsia"/>
          <w:bCs/>
          <w:kern w:val="0"/>
          <w:sz w:val="32"/>
          <w:szCs w:val="32"/>
        </w:rPr>
        <w:t>怀化市锦溪小学隶属怀化市教育局直管，是一所公办的全日制完全小学，学制六年。学校使用汉语言文字教学，推广使用普通话和规范字。学校坚持以人为本，科研兴校，特色办学，全面贯彻执行国家教育方针，即“坚持教育为社会主义现代化建设服务、为人民服务，把立德树人作为教育的根本任务，全面实施素质教育，培养德智体美等方面全面发展的社会主义事业的建设者和接班人，努力办好人民满意的教育。”</w:t>
      </w:r>
    </w:p>
    <w:p>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pPr>
        <w:widowControl/>
        <w:spacing w:line="600" w:lineRule="exact"/>
        <w:rPr>
          <w:rFonts w:asciiTheme="minorEastAsia" w:hAnsiTheme="minorEastAsia"/>
          <w:bCs/>
          <w:kern w:val="0"/>
          <w:sz w:val="32"/>
          <w:szCs w:val="32"/>
        </w:rPr>
      </w:pPr>
      <w:r>
        <w:rPr>
          <w:rFonts w:hint="eastAsia" w:asciiTheme="minorEastAsia" w:hAnsiTheme="minorEastAsia"/>
          <w:bCs/>
          <w:kern w:val="0"/>
          <w:sz w:val="32"/>
          <w:szCs w:val="32"/>
        </w:rPr>
        <w:t>（一）内设机构设置。怀化市锦溪小学为一级部门预算单位，内设机构包括：办公室、德育处、教务处、教研室、督导室、总务处、信息办。</w:t>
      </w:r>
    </w:p>
    <w:p>
      <w:pPr>
        <w:widowControl/>
        <w:spacing w:line="600" w:lineRule="exact"/>
        <w:rPr>
          <w:rFonts w:asciiTheme="minorEastAsia" w:hAnsiTheme="minorEastAsia"/>
          <w:bCs/>
          <w:kern w:val="0"/>
          <w:sz w:val="32"/>
          <w:szCs w:val="32"/>
        </w:rPr>
      </w:pPr>
      <w:r>
        <w:rPr>
          <w:rFonts w:hint="eastAsia" w:asciiTheme="minorEastAsia" w:hAnsiTheme="minorEastAsia"/>
          <w:bCs/>
          <w:kern w:val="0"/>
          <w:sz w:val="32"/>
          <w:szCs w:val="32"/>
        </w:rPr>
        <w:t>（二）决算单位构成。怀化市锦溪小学</w:t>
      </w:r>
      <w:r>
        <w:rPr>
          <w:rFonts w:asciiTheme="minorEastAsia" w:hAnsiTheme="minorEastAsia"/>
          <w:bCs/>
          <w:kern w:val="0"/>
          <w:sz w:val="32"/>
          <w:szCs w:val="32"/>
        </w:rPr>
        <w:t>20</w:t>
      </w:r>
      <w:r>
        <w:rPr>
          <w:rFonts w:hint="eastAsia" w:asciiTheme="minorEastAsia" w:hAnsiTheme="minorEastAsia"/>
          <w:bCs/>
          <w:kern w:val="0"/>
          <w:sz w:val="32"/>
          <w:szCs w:val="32"/>
        </w:rPr>
        <w:t>21年部门决算汇总公开单位只包括怀化市锦溪小学本级。</w:t>
      </w:r>
    </w:p>
    <w:p>
      <w:pPr>
        <w:jc w:val="left"/>
        <w:rPr>
          <w:rFonts w:ascii="仿宋_GB2312" w:eastAsia="仿宋_GB2312" w:hAnsiTheme="minorEastAsia"/>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rFonts w:ascii="黑体" w:hAnsi="黑体" w:eastAsia="黑体"/>
          <w:sz w:val="72"/>
          <w:szCs w:val="72"/>
        </w:rPr>
      </w:pPr>
      <w:r>
        <w:rPr>
          <w:rFonts w:hint="eastAsia" w:ascii="黑体" w:hAnsi="黑体" w:eastAsia="黑体"/>
          <w:sz w:val="72"/>
          <w:szCs w:val="72"/>
        </w:rPr>
        <w:t>第二部分</w:t>
      </w:r>
    </w:p>
    <w:p>
      <w:pPr>
        <w:jc w:val="center"/>
        <w:rPr>
          <w:rFonts w:ascii="黑体" w:hAnsi="黑体" w:eastAsia="黑体"/>
          <w:sz w:val="72"/>
          <w:szCs w:val="72"/>
        </w:rPr>
      </w:pPr>
    </w:p>
    <w:p>
      <w:pPr>
        <w:jc w:val="center"/>
        <w:rPr>
          <w:rFonts w:ascii="黑体" w:hAnsi="黑体" w:eastAsia="黑体"/>
          <w:sz w:val="72"/>
          <w:szCs w:val="72"/>
        </w:rPr>
      </w:pPr>
      <w:r>
        <w:rPr>
          <w:rFonts w:hint="eastAsia" w:ascii="黑体" w:hAnsi="黑体" w:eastAsia="黑体"/>
          <w:sz w:val="72"/>
          <w:szCs w:val="72"/>
        </w:rPr>
        <w:t>部门决算表</w:t>
      </w:r>
    </w:p>
    <w:p>
      <w:pPr>
        <w:jc w:val="center"/>
        <w:rPr>
          <w:rFonts w:ascii="黑体" w:hAnsi="黑体" w:eastAsia="黑体"/>
          <w:sz w:val="72"/>
          <w:szCs w:val="72"/>
        </w:rPr>
      </w:pPr>
    </w:p>
    <w:p>
      <w:pPr>
        <w:jc w:val="center"/>
        <w:rPr>
          <w:rFonts w:ascii="黑体" w:hAnsi="黑体" w:eastAsia="黑体"/>
          <w:sz w:val="72"/>
          <w:szCs w:val="72"/>
        </w:rPr>
      </w:pPr>
    </w:p>
    <w:p>
      <w:pPr>
        <w:widowControl/>
        <w:jc w:val="center"/>
        <w:rPr>
          <w:rFonts w:ascii="黑体" w:hAnsi="黑体" w:eastAsia="黑体"/>
          <w:sz w:val="44"/>
          <w:szCs w:val="44"/>
        </w:rPr>
        <w:sectPr>
          <w:pgSz w:w="11906" w:h="16838"/>
          <w:pgMar w:top="720" w:right="720" w:bottom="720" w:left="720" w:header="851" w:footer="992" w:gutter="0"/>
          <w:cols w:space="425" w:num="1"/>
          <w:docGrid w:type="lines" w:linePitch="312" w:charSpace="0"/>
        </w:sectPr>
      </w:pPr>
      <w:r>
        <w:rPr>
          <w:rFonts w:hint="eastAsia" w:ascii="黑体" w:hAnsi="黑体" w:eastAsia="黑体"/>
          <w:sz w:val="44"/>
          <w:szCs w:val="44"/>
        </w:rPr>
        <w:t>见附件</w:t>
      </w:r>
    </w:p>
    <w:p>
      <w:pPr>
        <w:pStyle w:val="10"/>
        <w:jc w:val="both"/>
        <w:rPr>
          <w:sz w:val="72"/>
          <w:szCs w:val="72"/>
        </w:rPr>
      </w:pPr>
    </w:p>
    <w:p>
      <w:pPr>
        <w:pStyle w:val="10"/>
        <w:jc w:val="center"/>
        <w:rPr>
          <w:sz w:val="72"/>
          <w:szCs w:val="72"/>
        </w:rPr>
      </w:pPr>
    </w:p>
    <w:p>
      <w:pPr>
        <w:pStyle w:val="10"/>
        <w:jc w:val="center"/>
        <w:rPr>
          <w:sz w:val="72"/>
          <w:szCs w:val="72"/>
        </w:rPr>
      </w:pPr>
      <w:r>
        <w:rPr>
          <w:rFonts w:hint="eastAsia"/>
          <w:sz w:val="72"/>
          <w:szCs w:val="72"/>
        </w:rPr>
        <w:t>第三部分</w:t>
      </w:r>
    </w:p>
    <w:p>
      <w:pPr>
        <w:pStyle w:val="10"/>
        <w:jc w:val="center"/>
        <w:rPr>
          <w:sz w:val="70"/>
          <w:szCs w:val="70"/>
        </w:rPr>
      </w:pPr>
    </w:p>
    <w:p>
      <w:pPr>
        <w:pStyle w:val="10"/>
        <w:jc w:val="center"/>
        <w:rPr>
          <w:sz w:val="70"/>
          <w:szCs w:val="70"/>
        </w:rPr>
      </w:pPr>
      <w:r>
        <w:rPr>
          <w:sz w:val="70"/>
          <w:szCs w:val="70"/>
        </w:rPr>
        <w:t>20</w:t>
      </w:r>
      <w:r>
        <w:rPr>
          <w:rFonts w:hint="eastAsia"/>
          <w:sz w:val="70"/>
          <w:szCs w:val="70"/>
        </w:rPr>
        <w:t>21年度部门决算情况说明</w:t>
      </w:r>
    </w:p>
    <w:p>
      <w:pPr>
        <w:widowControl/>
        <w:jc w:val="left"/>
        <w:rPr>
          <w:rFonts w:ascii="黑体" w:eastAsia="黑体" w:cs="黑体"/>
          <w:color w:val="000000"/>
          <w:kern w:val="0"/>
          <w:sz w:val="70"/>
          <w:szCs w:val="70"/>
        </w:rPr>
      </w:pPr>
      <w:r>
        <w:rPr>
          <w:sz w:val="70"/>
          <w:szCs w:val="70"/>
        </w:rPr>
        <w:br w:type="page"/>
      </w:r>
    </w:p>
    <w:p>
      <w:pPr>
        <w:pStyle w:val="10"/>
        <w:rPr>
          <w:rFonts w:asciiTheme="minorEastAsia" w:hAnsiTheme="minorEastAsia" w:eastAsiaTheme="minorEastAsia"/>
          <w:sz w:val="32"/>
          <w:szCs w:val="32"/>
        </w:rPr>
      </w:pPr>
    </w:p>
    <w:p>
      <w:pPr>
        <w:pStyle w:val="10"/>
        <w:rPr>
          <w:rFonts w:hAnsi="黑体"/>
          <w:b/>
          <w:sz w:val="32"/>
          <w:szCs w:val="32"/>
        </w:rPr>
      </w:pPr>
      <w:r>
        <w:rPr>
          <w:rFonts w:hint="eastAsia" w:hAnsi="黑体"/>
          <w:b/>
          <w:sz w:val="32"/>
          <w:szCs w:val="32"/>
        </w:rPr>
        <w:t>一、收入支出决算总体情况说明</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2021年度收入总计3654.7万元。与上年相比，减少807.01万元，减少18.09%，主要是因为科教楼项目完工，项目收入减少。</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2021年度支出总计4340.25万元。与上年相比，减少28.99万元，减少0.66%，主要是因为科教楼项目完工，项目支出减少。</w:t>
      </w:r>
    </w:p>
    <w:p>
      <w:pPr>
        <w:pStyle w:val="10"/>
        <w:rPr>
          <w:rFonts w:hAnsi="黑体"/>
          <w:b/>
          <w:sz w:val="32"/>
          <w:szCs w:val="32"/>
        </w:rPr>
      </w:pPr>
      <w:r>
        <w:rPr>
          <w:rFonts w:hint="eastAsia" w:hAnsi="黑体"/>
          <w:b/>
          <w:sz w:val="32"/>
          <w:szCs w:val="32"/>
        </w:rPr>
        <w:t>二、收入决算情况说明</w:t>
      </w:r>
    </w:p>
    <w:p>
      <w:pPr>
        <w:pStyle w:val="10"/>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2021年度收入合计3654.7万元，其中：财政拨款收入3309.24万元，占90.55%；上级补助收入0万元，占0%；事业收入341.69万元，占9.35%；经营收入0万元，占0%；附属单位上缴收入0万元，占0%；其他收入3.76万元，占0.1%。</w:t>
      </w:r>
    </w:p>
    <w:p>
      <w:pPr>
        <w:pStyle w:val="10"/>
        <w:rPr>
          <w:rFonts w:hAnsi="黑体"/>
          <w:b/>
          <w:sz w:val="32"/>
          <w:szCs w:val="32"/>
        </w:rPr>
      </w:pPr>
      <w:r>
        <w:rPr>
          <w:rFonts w:hint="eastAsia" w:hAnsi="黑体"/>
          <w:b/>
          <w:sz w:val="32"/>
          <w:szCs w:val="32"/>
        </w:rPr>
        <w:t>三、支出决算情况说明</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2021年度支出合计4340.25万元，其中：基本支出2869.57万元，占66.12%；项目支出1470.68万元，占33.88%；上缴上级支出0万元，占0%；经营支出0万元，占0%；对附属单位补助支出0万元，占0%。</w:t>
      </w:r>
    </w:p>
    <w:p>
      <w:pPr>
        <w:pStyle w:val="10"/>
        <w:rPr>
          <w:rFonts w:hAnsi="黑体"/>
          <w:b/>
          <w:sz w:val="32"/>
          <w:szCs w:val="32"/>
        </w:rPr>
      </w:pPr>
      <w:r>
        <w:rPr>
          <w:rFonts w:hint="eastAsia" w:hAnsi="黑体"/>
          <w:b/>
          <w:sz w:val="32"/>
          <w:szCs w:val="32"/>
        </w:rPr>
        <w:t>四、财政拨款收入支出决算总体情况说明</w:t>
      </w:r>
    </w:p>
    <w:p>
      <w:pPr>
        <w:pStyle w:val="10"/>
        <w:ind w:firstLine="63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2021年度财政拨款收入总计3309.24万元，与上年相比，减少1010.33万元,减少23.39%，主要是因为科教楼项目完工，项目收入减少。</w:t>
      </w:r>
    </w:p>
    <w:p>
      <w:pPr>
        <w:pStyle w:val="10"/>
        <w:ind w:firstLine="63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2021年度财政拨款支出总计3994.79万元，与上年相比，减少229.5万元，减少5.43%，主要是因为科教楼项目完工，项目支出减少。</w:t>
      </w:r>
    </w:p>
    <w:p>
      <w:pPr>
        <w:pStyle w:val="10"/>
        <w:rPr>
          <w:rFonts w:hAnsi="黑体"/>
          <w:b/>
          <w:sz w:val="32"/>
          <w:szCs w:val="32"/>
        </w:rPr>
      </w:pPr>
      <w:r>
        <w:rPr>
          <w:rFonts w:hint="eastAsia" w:hAnsi="黑体"/>
          <w:b/>
          <w:sz w:val="32"/>
          <w:szCs w:val="32"/>
        </w:rPr>
        <w:t>五、一般公共预算财政拨款支出决算情况说明</w:t>
      </w:r>
    </w:p>
    <w:p>
      <w:pPr>
        <w:pStyle w:val="10"/>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2021年度财政拨款支出3967.41万元，占本年支出合计的91.41%，与上年相比，财政拨款支出减少256.88万元，减少6.08%，主要是因为科教楼项目完工，项目支出减少。</w:t>
      </w:r>
    </w:p>
    <w:p>
      <w:pPr>
        <w:pStyle w:val="10"/>
        <w:ind w:firstLine="480" w:firstLineChars="15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支出3967.41万元，主要用于以下方面：一般公共服务（类）支出11.03万元，占0.28%；教育（类）支出3452.44万元，占87.02%；社会保障和就业（类）支出399.64万元，占10.07%；卫生健康（类）支出104.3万元，占2.63%。</w:t>
      </w:r>
    </w:p>
    <w:p>
      <w:pPr>
        <w:pStyle w:val="10"/>
        <w:ind w:firstLine="800" w:firstLineChars="250"/>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2021年度财政拨款支出年初预算数为1476.43万元，支出决算数为3967.41万元，完成年初预算的268.72%，其中：</w:t>
      </w:r>
    </w:p>
    <w:p>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1、一般公共服务支出（类）财政事务（款）其他财政事务支出（项）。</w:t>
      </w:r>
    </w:p>
    <w:p>
      <w:pPr>
        <w:pStyle w:val="10"/>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年初预算为0万元，支出决算为1.95万元，决算数大于年初预算数的主要原因是：年初预算未包括资产管理工作相关支出。</w:t>
      </w:r>
    </w:p>
    <w:p>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2、一般公共服务支出（类）知识产权事务（款）知识产权战略和规划（项）。</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年初预算为0万元，支出决算为9.08万元，决算数大于年初预算数的主要原因是：年初预算未包括知识产权战略推进相关支出。</w:t>
      </w:r>
    </w:p>
    <w:p>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3、教育支出（类）普通教育（款）小学教育（项）。</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年初预算为1476.43万元，支出决算为2662.64万元，决算数大于年初预算数的主要原因是：年初预算未包括绩效奖等奖金支出，未包括教学楼外墙安全隐患改造、广场改造等项目支出。</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4、教育支出（类）普通教育（款）其他普通教育支出（项）。</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年初预算为0万元，支出决算为789.81万元，决算数大于年初预算数的主要原因是：年初预算未包括临聘教师工资支出和公用经费支出等。</w:t>
      </w:r>
    </w:p>
    <w:p>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5、社会保障和就业支出（类）行政事业单位养老支出（款）机关事业单位基本养老保险缴费支出（项）。</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年初预算为0万元，支出决算为214.83万元，决算数大于年初预算数的主要原因是：年初预算未包括基本养老保险缴费支出。</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6、社会保障和就业支出（类）行政事业单位养老支出（款）其他行政事业单位养老支出（项）。</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年初预算为0万元，支出决算为184.81万元，决算数大于年初预算数的主要原因是：年初预算未包括退休人员春节一次性生活补助。</w:t>
      </w:r>
    </w:p>
    <w:p>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7、卫生健康支出（类）行政事业单位医疗（款）行政单位医疗（项）。</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年初预算为0万元，支出决算为100.77万元，决算数大于年初预算数的主要原因是：年初预算未包括基本医疗保险缴费支出。</w:t>
      </w:r>
    </w:p>
    <w:p>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8、卫生健康支出（类）行政事业单位医疗（款）其他行政事业单位医疗支出（项）。</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年初预算为0万元，支出决算为2.53万元，决算数大于年初预算数的主要原因是：年初预算未包括基本医疗保险缴费支出。</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9、卫生健康支出（类）医疗救助（款）城乡医疗救助（项）。</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年初预算为0万元，支出决算为1万元，决算数大于年初预算数的主要原因是：年初预算未包括舒象旺医疗救助支出。</w:t>
      </w:r>
    </w:p>
    <w:p>
      <w:pPr>
        <w:pStyle w:val="10"/>
        <w:rPr>
          <w:rFonts w:hAnsi="黑体"/>
          <w:b/>
          <w:sz w:val="32"/>
          <w:szCs w:val="32"/>
        </w:rPr>
      </w:pPr>
      <w:r>
        <w:rPr>
          <w:rFonts w:hint="eastAsia" w:hAnsi="黑体"/>
          <w:b/>
          <w:sz w:val="32"/>
          <w:szCs w:val="32"/>
        </w:rPr>
        <w:t>六、一般公共预算财政拨款基本支出决算情况说明</w:t>
      </w:r>
    </w:p>
    <w:p>
      <w:pPr>
        <w:pStyle w:val="10"/>
        <w:ind w:firstLine="640" w:firstLineChars="200"/>
        <w:rPr>
          <w:rFonts w:asciiTheme="minorEastAsia" w:hAnsiTheme="minorEastAsia" w:eastAsiaTheme="minorEastAsia"/>
          <w:i/>
          <w:color w:val="FF0000"/>
          <w:sz w:val="32"/>
          <w:szCs w:val="32"/>
        </w:rPr>
      </w:pPr>
      <w:r>
        <w:rPr>
          <w:rFonts w:hint="eastAsia" w:asciiTheme="minorEastAsia" w:hAnsiTheme="minorEastAsia" w:eastAsiaTheme="minorEastAsia"/>
          <w:sz w:val="32"/>
          <w:szCs w:val="32"/>
        </w:rPr>
        <w:t>2021年度财政拨款基本支出2863.81万元，其中：人员经费2584.86万元，占基本支出的90.26%,主要包括基本工资、津贴补贴、奖金、伙食补助费、绩效工资、机关事业单位基本养老保险缴费、职工基本医疗保险缴费、其他工资福利支出、抚恤金、生活补助、其他对个人和家庭的补助等；公用经费278.95万元，占基本支出的9.74%，主要包括办公费、印刷费、水费、电费、邮电费、物业管理费、差旅费、维修费、培训费、专用材料费、工会经费、福利费、其他商品和服务支出、办公设备购置、其他资本性支出等。</w:t>
      </w:r>
    </w:p>
    <w:p>
      <w:pPr>
        <w:pStyle w:val="10"/>
        <w:rPr>
          <w:rFonts w:hAnsi="黑体"/>
          <w:b/>
          <w:sz w:val="32"/>
          <w:szCs w:val="32"/>
        </w:rPr>
      </w:pPr>
      <w:r>
        <w:rPr>
          <w:rFonts w:hint="eastAsia" w:hAnsi="黑体"/>
          <w:b/>
          <w:sz w:val="32"/>
          <w:szCs w:val="32"/>
        </w:rPr>
        <w:t>七、一般公共预算财政拨款“三公”经费支出决算情况说明</w:t>
      </w:r>
    </w:p>
    <w:p>
      <w:pPr>
        <w:pStyle w:val="10"/>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2021年度“三公”经费财政拨款支出预算为1.71万元，支出决算为0万元，完成预算的0%，其中：</w:t>
      </w:r>
    </w:p>
    <w:p>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因公出国（境）费支出预算为0元，支出决算为0万元。</w:t>
      </w:r>
    </w:p>
    <w:p>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公务接待费支出预算为1.71万元，支出决算为0万元，完成预算的0%，决算数小于预算数的主要原因是严格遵守中央“八项规定”以及省、市有关规定，加强公务接待费管理，减少公务接待费支出。与上年相比一致，支出决算均为0万元，没有发生支出。</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公务用车购置费支出预算为0万元，支出决算为0万元。</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公务用车运行维护费支出预算为0万元，支出决算为0万元。</w:t>
      </w:r>
    </w:p>
    <w:p>
      <w:pPr>
        <w:pStyle w:val="10"/>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2021年度“三公”经费财政拨款支出决算中，公务接待费支出决算0万元，因公出国（境）费支出决算0万元，公务用车购置费及运行维护费支出决算0万元。其中：</w:t>
      </w:r>
    </w:p>
    <w:p>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1、因公出国（境）费支出决算为0万元，全年安排因公出国（境）团组0个，累计0人次。</w:t>
      </w:r>
    </w:p>
    <w:p>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2、公务接待费支出决算为0万元，全年共接待来访团组0个、来宾0人次。</w:t>
      </w:r>
    </w:p>
    <w:p>
      <w:pPr>
        <w:ind w:firstLine="800" w:firstLineChars="250"/>
        <w:rPr>
          <w:rFonts w:cs="黑体" w:asciiTheme="minorEastAsia" w:hAnsiTheme="minorEastAsia"/>
          <w:color w:val="000000"/>
          <w:kern w:val="0"/>
          <w:sz w:val="32"/>
          <w:szCs w:val="32"/>
        </w:rPr>
      </w:pPr>
      <w:r>
        <w:rPr>
          <w:rFonts w:hint="eastAsia" w:asciiTheme="minorEastAsia" w:hAnsiTheme="minorEastAsia"/>
          <w:sz w:val="32"/>
          <w:szCs w:val="32"/>
        </w:rPr>
        <w:t>3、公务用车购置费及运行维护费支出决算为0万元，其中：公务用车购置费0万元，更新公务用车0辆</w:t>
      </w:r>
      <w:r>
        <w:rPr>
          <w:rFonts w:hint="eastAsia" w:asciiTheme="minorEastAsia" w:hAnsiTheme="minorEastAsia"/>
          <w:color w:val="000000" w:themeColor="text1"/>
          <w:sz w:val="32"/>
          <w:szCs w:val="32"/>
        </w:rPr>
        <w:t>。</w:t>
      </w:r>
      <w:r>
        <w:rPr>
          <w:rFonts w:hint="eastAsia" w:asciiTheme="minorEastAsia" w:hAnsiTheme="minorEastAsia"/>
          <w:sz w:val="32"/>
          <w:szCs w:val="32"/>
        </w:rPr>
        <w:t>公务用车运行维护费0万元，截止2021年12月31日，我单位开支财政拨款的公务用车保有量为0辆。</w:t>
      </w:r>
    </w:p>
    <w:p>
      <w:pPr>
        <w:pStyle w:val="10"/>
        <w:rPr>
          <w:rFonts w:hAnsi="黑体"/>
          <w:b/>
          <w:sz w:val="32"/>
          <w:szCs w:val="32"/>
        </w:rPr>
      </w:pPr>
      <w:r>
        <w:rPr>
          <w:rFonts w:hint="eastAsia" w:hAnsi="黑体"/>
          <w:b/>
          <w:sz w:val="32"/>
          <w:szCs w:val="32"/>
        </w:rPr>
        <w:t>八、政府性基金预算收入支出决算情况说明</w:t>
      </w:r>
    </w:p>
    <w:p>
      <w:pPr>
        <w:pStyle w:val="10"/>
        <w:rPr>
          <w:rFonts w:asciiTheme="minorEastAsia" w:hAnsiTheme="minorEastAsia" w:eastAsiaTheme="minorEastAsia"/>
          <w:i/>
          <w:color w:val="FF0000"/>
          <w:sz w:val="32"/>
          <w:szCs w:val="32"/>
        </w:rPr>
      </w:pPr>
      <w:r>
        <w:rPr>
          <w:rFonts w:hint="eastAsia" w:asciiTheme="minorEastAsia" w:hAnsiTheme="minorEastAsia" w:eastAsiaTheme="minorEastAsia"/>
          <w:sz w:val="32"/>
          <w:szCs w:val="32"/>
        </w:rPr>
        <w:t xml:space="preserve">     2021年度政府性基金预算财政拨款收入27.38万元；年初结转和结余0万元；支出27.38万元，其中基本支出0万元，项目支出27.38万元；年末结转和结余0万元。具体情况如下：</w:t>
      </w:r>
      <w:r>
        <w:rPr>
          <w:rFonts w:asciiTheme="minorEastAsia" w:hAnsiTheme="minorEastAsia" w:eastAsiaTheme="minorEastAsia"/>
          <w:i/>
          <w:color w:val="FF0000"/>
          <w:sz w:val="32"/>
          <w:szCs w:val="32"/>
        </w:rPr>
        <w:t xml:space="preserve"> </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1、城乡社区支出（类）国有土地使用权出让收入安排的支出（款）城市建设支出（项）。</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年初预算为0万元，支出决算为19.38万元，决算数大于年初预算数的主要原因是：年初预算未包括双拥模范城市建设项目支出。</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2、其他支出（类）彩票公益金安排的支出（款）用于体育事业的彩票公益金支出（项）。</w:t>
      </w:r>
    </w:p>
    <w:p>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年初预算为0万元，支出决算为8万元，决算数大于年初预算数的主要原因是：年初预算未包括体育器材购置项目支出。</w:t>
      </w:r>
    </w:p>
    <w:p>
      <w:pPr>
        <w:pStyle w:val="10"/>
        <w:rPr>
          <w:rFonts w:hint="eastAsia" w:asciiTheme="minorEastAsia" w:hAnsiTheme="minorEastAsia" w:eastAsiaTheme="minorEastAsia"/>
          <w:sz w:val="32"/>
          <w:szCs w:val="32"/>
        </w:rPr>
      </w:pPr>
      <w:r>
        <w:rPr>
          <w:rFonts w:hint="eastAsia" w:hAnsi="黑体"/>
          <w:b/>
          <w:sz w:val="32"/>
          <w:szCs w:val="32"/>
        </w:rPr>
        <w:t>九、国有资本经营预算财政拨款支出决算情况说明</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本单位无国有资本经营预算财政拨款支出。</w:t>
      </w:r>
    </w:p>
    <w:p>
      <w:pPr>
        <w:pStyle w:val="10"/>
        <w:rPr>
          <w:rFonts w:hAnsi="黑体"/>
          <w:b/>
          <w:sz w:val="32"/>
          <w:szCs w:val="32"/>
        </w:rPr>
      </w:pPr>
      <w:r>
        <w:rPr>
          <w:rFonts w:hint="eastAsia" w:hAnsi="黑体"/>
          <w:b/>
          <w:sz w:val="32"/>
          <w:szCs w:val="32"/>
        </w:rPr>
        <w:t>十、机关运行经费支出说明</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本单位不属于行政单位和参照公务员法管理的事业单位，无机关运行经费支出。</w:t>
      </w:r>
    </w:p>
    <w:p>
      <w:pPr>
        <w:pStyle w:val="10"/>
        <w:rPr>
          <w:rFonts w:hAnsi="黑体"/>
          <w:b/>
          <w:sz w:val="32"/>
          <w:szCs w:val="32"/>
        </w:rPr>
      </w:pPr>
      <w:r>
        <w:rPr>
          <w:rFonts w:hint="eastAsia" w:hAnsi="黑体"/>
          <w:b/>
          <w:sz w:val="32"/>
          <w:szCs w:val="32"/>
        </w:rPr>
        <w:t>十一、一般性支出情况说明</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本部门开支会议费0万元；开支培训费3万元，一是用于开展班主任培训，人数46人，内容为班主任专业化与现代班集体建设等，二是用于青年教师助力培训，人数100人，内容为小学语文教师相关业务培训；未举办节庆、晚会、论坛、赛事活动。</w:t>
      </w:r>
    </w:p>
    <w:p>
      <w:pPr>
        <w:pStyle w:val="10"/>
        <w:rPr>
          <w:rFonts w:hAnsi="黑体"/>
          <w:b/>
          <w:sz w:val="32"/>
          <w:szCs w:val="32"/>
        </w:rPr>
      </w:pPr>
      <w:r>
        <w:rPr>
          <w:rFonts w:hint="eastAsia" w:hAnsi="黑体"/>
          <w:b/>
          <w:sz w:val="32"/>
          <w:szCs w:val="32"/>
        </w:rPr>
        <w:t>十二、政府采购支出说明</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2021年度政府采购支出总额787.88万元，其中：政府采购货物支出150.13万元、政府采购工程支出637.75万元、政府采购服务支出0万元。授予中小企业合同金额787.88万元，占政府采购支出总额的100%，其中：授予小微企业合同金额787.88万元，占政府采购支出总额的100%。</w:t>
      </w:r>
    </w:p>
    <w:p>
      <w:pPr>
        <w:pStyle w:val="10"/>
        <w:rPr>
          <w:rFonts w:hAnsi="黑体"/>
          <w:b/>
          <w:sz w:val="32"/>
          <w:szCs w:val="32"/>
        </w:rPr>
      </w:pPr>
      <w:r>
        <w:rPr>
          <w:rFonts w:hint="eastAsia" w:hAnsi="黑体"/>
          <w:b/>
          <w:sz w:val="32"/>
          <w:szCs w:val="32"/>
        </w:rPr>
        <w:t>十三、国有资产占用情况说明</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截至2021年12月31日，单位共有车辆0辆，其中，主要领导干部用车0辆，机要通信用车0辆、应急保障用车0辆、执法执勤用车0辆、特种专业技术用车0辆、其他用车0辆；单位价值50万元以上通用设备3台（套）；单位价值100万元以上专用设备0台（套）。</w:t>
      </w:r>
    </w:p>
    <w:p>
      <w:pPr>
        <w:pStyle w:val="10"/>
        <w:rPr>
          <w:rFonts w:hAnsi="黑体"/>
          <w:b/>
          <w:sz w:val="32"/>
          <w:szCs w:val="32"/>
        </w:rPr>
      </w:pPr>
      <w:r>
        <w:rPr>
          <w:rFonts w:hint="eastAsia" w:hAnsi="黑体"/>
          <w:b/>
          <w:sz w:val="32"/>
          <w:szCs w:val="32"/>
        </w:rPr>
        <w:t>十四、2021年度预算绩效情况说明</w:t>
      </w:r>
    </w:p>
    <w:p>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（1）绩效管理评价工作开展情况</w:t>
      </w:r>
      <w:r>
        <w:rPr>
          <w:rFonts w:hint="eastAsia" w:cs="黑体" w:asciiTheme="minorEastAsia" w:hAnsiTheme="minorEastAsia"/>
          <w:color w:val="000000"/>
          <w:kern w:val="0"/>
          <w:sz w:val="32"/>
          <w:szCs w:val="32"/>
        </w:rPr>
        <w:t>。</w:t>
      </w:r>
    </w:p>
    <w:p>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根据预算绩效管理要求，我单位组织对</w:t>
      </w:r>
      <w:r>
        <w:rPr>
          <w:rFonts w:cs="黑体" w:asciiTheme="minorEastAsia" w:hAnsiTheme="minorEastAsia"/>
          <w:color w:val="000000"/>
          <w:kern w:val="0"/>
          <w:sz w:val="32"/>
          <w:szCs w:val="32"/>
        </w:rPr>
        <w:t xml:space="preserve">2021 </w:t>
      </w:r>
      <w:r>
        <w:rPr>
          <w:rFonts w:hint="eastAsia" w:cs="黑体" w:asciiTheme="minorEastAsia" w:hAnsiTheme="minorEastAsia"/>
          <w:color w:val="000000"/>
          <w:kern w:val="0"/>
          <w:sz w:val="32"/>
          <w:szCs w:val="32"/>
        </w:rPr>
        <w:t>年度一般公共预算项目支出全面开展绩效自评，其中，</w:t>
      </w:r>
      <w:r>
        <w:rPr>
          <w:rFonts w:hint="eastAsia" w:cs="黑体" w:asciiTheme="minorEastAsia" w:hAnsiTheme="minorEastAsia"/>
          <w:kern w:val="0"/>
          <w:sz w:val="32"/>
          <w:szCs w:val="32"/>
        </w:rPr>
        <w:t>一级项目9个，二级项目0个</w:t>
      </w:r>
      <w:r>
        <w:rPr>
          <w:rFonts w:hint="eastAsia" w:cs="黑体" w:asciiTheme="minorEastAsia" w:hAnsiTheme="minorEastAsia"/>
          <w:color w:val="000000"/>
          <w:kern w:val="0"/>
          <w:sz w:val="32"/>
          <w:szCs w:val="32"/>
        </w:rPr>
        <w:t>，共涉及资金</w:t>
      </w:r>
      <w:r>
        <w:rPr>
          <w:rFonts w:hint="eastAsia" w:cs="黑体" w:asciiTheme="minorEastAsia" w:hAnsiTheme="minorEastAsia"/>
          <w:kern w:val="0"/>
          <w:sz w:val="32"/>
          <w:szCs w:val="32"/>
        </w:rPr>
        <w:t>1103.61</w:t>
      </w:r>
      <w:r>
        <w:rPr>
          <w:rFonts w:hint="eastAsia" w:cs="黑体" w:asciiTheme="minorEastAsia" w:hAnsiTheme="minorEastAsia"/>
          <w:color w:val="000000"/>
          <w:kern w:val="0"/>
          <w:sz w:val="32"/>
          <w:szCs w:val="32"/>
        </w:rPr>
        <w:t>万元，占一般公共预算项目支出总额的100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。组织对</w:t>
      </w: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w:t>
      </w:r>
      <w:r>
        <w:rPr>
          <w:rFonts w:hint="eastAsia" w:ascii="宋体" w:hAnsi="宋体" w:eastAsia="宋体" w:cs="黑体"/>
          <w:color w:val="000000"/>
          <w:kern w:val="0"/>
          <w:sz w:val="32"/>
          <w:szCs w:val="32"/>
        </w:rPr>
        <w:t>双拥模范城市建设项目</w:t>
      </w:r>
      <w:r>
        <w:rPr>
          <w:rFonts w:hint="eastAsia" w:cs="黑体" w:asciiTheme="minorEastAsia" w:hAnsiTheme="minorEastAsia"/>
          <w:color w:val="000000"/>
          <w:kern w:val="0"/>
          <w:sz w:val="32"/>
          <w:szCs w:val="32"/>
        </w:rPr>
        <w:t>等2个政府性基金预算项目支出开展绩效自评，共涉及资金27.38万元，占政府性基金预算项目支出总额的100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w:t>
      </w:r>
      <w:r>
        <w:rPr>
          <w:rFonts w:cs="黑体" w:asciiTheme="minorEastAsia" w:hAnsiTheme="minorEastAsia"/>
          <w:color w:val="000000"/>
          <w:kern w:val="0"/>
          <w:sz w:val="32"/>
          <w:szCs w:val="32"/>
        </w:rPr>
        <w:t xml:space="preserve">2021 </w:t>
      </w:r>
      <w:r>
        <w:rPr>
          <w:rFonts w:hint="eastAsia" w:cs="黑体" w:asciiTheme="minorEastAsia" w:hAnsiTheme="minorEastAsia"/>
          <w:color w:val="000000"/>
          <w:kern w:val="0"/>
          <w:sz w:val="32"/>
          <w:szCs w:val="32"/>
        </w:rPr>
        <w:t>年度无国有资本经营预算项目支出。</w:t>
      </w:r>
    </w:p>
    <w:p>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组织对“科教楼项目”“双拥模范城市建设项目”等11个项目开展了部门评价，涉及一般公共预算支出1103.61万元，政府性基金预算支出27.38万元，国有资本经营预算支出0万元。从评价情况来看，</w:t>
      </w:r>
      <w:r>
        <w:rPr>
          <w:rFonts w:hint="eastAsia" w:asciiTheme="minorEastAsia" w:hAnsiTheme="minorEastAsia"/>
          <w:sz w:val="32"/>
          <w:szCs w:val="32"/>
        </w:rPr>
        <w:t>单位制度健全，</w:t>
      </w:r>
      <w:r>
        <w:rPr>
          <w:rFonts w:hint="eastAsia" w:ascii="宋体" w:hAnsi="宋体" w:eastAsia="宋体" w:cs="Times New Roman"/>
          <w:sz w:val="32"/>
          <w:szCs w:val="32"/>
        </w:rPr>
        <w:t>并能有效地执行</w:t>
      </w:r>
      <w:r>
        <w:rPr>
          <w:rFonts w:hint="eastAsia" w:asciiTheme="minorEastAsia" w:hAnsiTheme="minorEastAsia"/>
          <w:sz w:val="32"/>
          <w:szCs w:val="32"/>
        </w:rPr>
        <w:t>，项目专款专用，社会效益良好，达到预期绩效目标</w:t>
      </w:r>
      <w:r>
        <w:rPr>
          <w:rFonts w:hint="eastAsia" w:cs="黑体" w:asciiTheme="minorEastAsia" w:hAnsiTheme="minorEastAsia"/>
          <w:color w:val="000000"/>
          <w:kern w:val="0"/>
          <w:sz w:val="32"/>
          <w:szCs w:val="32"/>
        </w:rPr>
        <w:t>。</w:t>
      </w:r>
    </w:p>
    <w:p>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组织对“怀化市锦溪小学”1</w:t>
      </w:r>
      <w:r>
        <w:rPr>
          <w:rFonts w:cs="黑体" w:asciiTheme="minorEastAsia" w:hAnsiTheme="minorEastAsia"/>
          <w:color w:val="000000"/>
          <w:kern w:val="0"/>
          <w:sz w:val="32"/>
          <w:szCs w:val="32"/>
        </w:rPr>
        <w:t xml:space="preserve"> </w:t>
      </w:r>
      <w:r>
        <w:rPr>
          <w:rFonts w:hint="eastAsia" w:cs="黑体" w:asciiTheme="minorEastAsia" w:hAnsiTheme="minorEastAsia"/>
          <w:color w:val="000000"/>
          <w:kern w:val="0"/>
          <w:sz w:val="32"/>
          <w:szCs w:val="32"/>
        </w:rPr>
        <w:t>个单位开展整体支出绩效评价，涉及一般公共预算支出3967.41万元，政府性基金预算支出27.38万元。从评价情况来看，</w:t>
      </w:r>
      <w:r>
        <w:rPr>
          <w:rFonts w:hint="eastAsia" w:asciiTheme="minorEastAsia" w:hAnsiTheme="minorEastAsia"/>
          <w:sz w:val="32"/>
          <w:szCs w:val="32"/>
        </w:rPr>
        <w:t>单位制度健全，资金使用合法合规，履职效益情况较好</w:t>
      </w:r>
      <w:r>
        <w:rPr>
          <w:rFonts w:hint="eastAsia" w:cs="黑体" w:asciiTheme="minorEastAsia" w:hAnsiTheme="minorEastAsia"/>
          <w:color w:val="000000"/>
          <w:kern w:val="0"/>
          <w:sz w:val="32"/>
          <w:szCs w:val="32"/>
        </w:rPr>
        <w:t>。</w:t>
      </w:r>
      <w:r>
        <w:rPr>
          <w:rFonts w:hint="eastAsia" w:asciiTheme="minorEastAsia" w:hAnsiTheme="minorEastAsia"/>
          <w:sz w:val="32"/>
          <w:szCs w:val="32"/>
        </w:rPr>
        <w:t>(2021年度部门整体支出绩效评价报告见附件)</w:t>
      </w:r>
    </w:p>
    <w:p>
      <w:pPr>
        <w:autoSpaceDE w:val="0"/>
        <w:autoSpaceDN w:val="0"/>
        <w:adjustRightInd w:val="0"/>
        <w:ind w:firstLine="640" w:firstLineChars="200"/>
        <w:jc w:val="left"/>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（2）部门决算中项目绩效自评结果。（无）</w:t>
      </w:r>
    </w:p>
    <w:p>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（3）部门评价项目绩效评价结果。</w:t>
      </w:r>
    </w:p>
    <w:p>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2021年度部门项目绩效评价报告见附件。</w:t>
      </w:r>
    </w:p>
    <w:p>
      <w:pPr>
        <w:pStyle w:val="10"/>
        <w:jc w:val="center"/>
        <w:rPr>
          <w:sz w:val="72"/>
          <w:szCs w:val="72"/>
        </w:rPr>
      </w:pPr>
    </w:p>
    <w:p>
      <w:pPr>
        <w:pStyle w:val="10"/>
        <w:jc w:val="center"/>
        <w:rPr>
          <w:sz w:val="72"/>
          <w:szCs w:val="72"/>
        </w:rPr>
      </w:pPr>
    </w:p>
    <w:p>
      <w:pPr>
        <w:pStyle w:val="10"/>
        <w:rPr>
          <w:sz w:val="72"/>
          <w:szCs w:val="72"/>
        </w:rPr>
      </w:pPr>
    </w:p>
    <w:p>
      <w:pPr>
        <w:pStyle w:val="10"/>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r>
        <w:rPr>
          <w:rFonts w:hint="eastAsia"/>
          <w:sz w:val="72"/>
          <w:szCs w:val="72"/>
        </w:rPr>
        <w:t>第四部分</w:t>
      </w:r>
    </w:p>
    <w:p>
      <w:pPr>
        <w:jc w:val="center"/>
        <w:rPr>
          <w:rFonts w:ascii="黑体" w:eastAsia="黑体" w:cs="黑体"/>
          <w:color w:val="000000"/>
          <w:kern w:val="0"/>
          <w:sz w:val="70"/>
          <w:szCs w:val="70"/>
        </w:rPr>
      </w:pPr>
    </w:p>
    <w:p>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一、机关运行经费：</w:t>
      </w:r>
      <w:r>
        <w:rPr>
          <w:rFonts w:hint="eastAsia" w:cs="黑体" w:asciiTheme="minorEastAsia" w:hAnsiTheme="minorEastAsia"/>
          <w:color w:val="000000"/>
          <w:kern w:val="0"/>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的事业单位一般公共预算财政拨款基本支出中的公用经费支出。</w:t>
      </w:r>
    </w:p>
    <w:p>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二、“三公”经费：</w:t>
      </w:r>
      <w:r>
        <w:rPr>
          <w:rFonts w:hint="eastAsia" w:cs="黑体" w:asciiTheme="minorEastAsia" w:hAnsiTheme="minorEastAsia"/>
          <w:color w:val="000000"/>
          <w:kern w:val="0"/>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r>
        <w:rPr>
          <w:rFonts w:hint="eastAsia"/>
          <w:sz w:val="72"/>
          <w:szCs w:val="72"/>
        </w:rPr>
        <w:t>第五部分</w:t>
      </w:r>
    </w:p>
    <w:p>
      <w:pPr>
        <w:jc w:val="center"/>
        <w:rPr>
          <w:rFonts w:ascii="黑体" w:eastAsia="黑体" w:cs="黑体"/>
          <w:color w:val="000000"/>
          <w:kern w:val="0"/>
          <w:sz w:val="70"/>
          <w:szCs w:val="70"/>
        </w:rPr>
      </w:pPr>
    </w:p>
    <w:p>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pPr>
        <w:widowControl/>
        <w:jc w:val="left"/>
        <w:rPr>
          <w:rFonts w:cs="黑体" w:asciiTheme="minorEastAsia" w:hAnsiTheme="minorEastAsia"/>
          <w:color w:val="000000"/>
          <w:kern w:val="0"/>
          <w:sz w:val="32"/>
          <w:szCs w:val="32"/>
        </w:rPr>
      </w:pPr>
      <w:r>
        <w:rPr>
          <w:rFonts w:ascii="黑体" w:eastAsia="黑体" w:cs="黑体"/>
          <w:color w:val="000000"/>
          <w:kern w:val="0"/>
          <w:sz w:val="70"/>
          <w:szCs w:val="70"/>
        </w:rPr>
        <w:br w:type="page"/>
      </w:r>
      <w:bookmarkStart w:id="0" w:name="_GoBack"/>
      <w:bookmarkEnd w:id="0"/>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WI5MDgwOWE2ZGUyNjAyZjA5ODg5NzU1OWE5YzA5MTYifQ=="/>
  </w:docVars>
  <w:rsids>
    <w:rsidRoot w:val="004506F9"/>
    <w:rsid w:val="00010635"/>
    <w:rsid w:val="000115DC"/>
    <w:rsid w:val="0002229B"/>
    <w:rsid w:val="00024755"/>
    <w:rsid w:val="00026103"/>
    <w:rsid w:val="000273BD"/>
    <w:rsid w:val="000415B7"/>
    <w:rsid w:val="00041E3F"/>
    <w:rsid w:val="00042C08"/>
    <w:rsid w:val="00055DAA"/>
    <w:rsid w:val="00056B0F"/>
    <w:rsid w:val="00061F7B"/>
    <w:rsid w:val="000658A3"/>
    <w:rsid w:val="00074155"/>
    <w:rsid w:val="00084881"/>
    <w:rsid w:val="00093448"/>
    <w:rsid w:val="0009493F"/>
    <w:rsid w:val="000A3F69"/>
    <w:rsid w:val="000C5EF2"/>
    <w:rsid w:val="000D5934"/>
    <w:rsid w:val="000E66DD"/>
    <w:rsid w:val="0010256A"/>
    <w:rsid w:val="00103957"/>
    <w:rsid w:val="00116F48"/>
    <w:rsid w:val="00136C2A"/>
    <w:rsid w:val="00142D01"/>
    <w:rsid w:val="0014522A"/>
    <w:rsid w:val="00152C6D"/>
    <w:rsid w:val="001546EC"/>
    <w:rsid w:val="00162D39"/>
    <w:rsid w:val="001678BD"/>
    <w:rsid w:val="001735E4"/>
    <w:rsid w:val="00185001"/>
    <w:rsid w:val="001A67DB"/>
    <w:rsid w:val="001B4690"/>
    <w:rsid w:val="001B5FB5"/>
    <w:rsid w:val="001B6E1D"/>
    <w:rsid w:val="001C3C29"/>
    <w:rsid w:val="001D3602"/>
    <w:rsid w:val="001D51E5"/>
    <w:rsid w:val="001E080D"/>
    <w:rsid w:val="001E53D0"/>
    <w:rsid w:val="001F04E4"/>
    <w:rsid w:val="001F0C3B"/>
    <w:rsid w:val="001F3BBA"/>
    <w:rsid w:val="00201AA8"/>
    <w:rsid w:val="00202C82"/>
    <w:rsid w:val="00211617"/>
    <w:rsid w:val="00214427"/>
    <w:rsid w:val="00226CB7"/>
    <w:rsid w:val="00233877"/>
    <w:rsid w:val="0025235E"/>
    <w:rsid w:val="00252FAF"/>
    <w:rsid w:val="00264552"/>
    <w:rsid w:val="00264EF9"/>
    <w:rsid w:val="00265724"/>
    <w:rsid w:val="00265EF3"/>
    <w:rsid w:val="0027426B"/>
    <w:rsid w:val="002817EF"/>
    <w:rsid w:val="00281D27"/>
    <w:rsid w:val="0028678A"/>
    <w:rsid w:val="002C7781"/>
    <w:rsid w:val="002E0A30"/>
    <w:rsid w:val="002F09F9"/>
    <w:rsid w:val="0030503D"/>
    <w:rsid w:val="003130C4"/>
    <w:rsid w:val="00316C4B"/>
    <w:rsid w:val="00317289"/>
    <w:rsid w:val="0032192B"/>
    <w:rsid w:val="00322291"/>
    <w:rsid w:val="003479BD"/>
    <w:rsid w:val="00347C34"/>
    <w:rsid w:val="00351C2C"/>
    <w:rsid w:val="0037197D"/>
    <w:rsid w:val="0037629F"/>
    <w:rsid w:val="003768D5"/>
    <w:rsid w:val="003810F8"/>
    <w:rsid w:val="003A2DF5"/>
    <w:rsid w:val="003A78F2"/>
    <w:rsid w:val="003C47E6"/>
    <w:rsid w:val="003C4FC2"/>
    <w:rsid w:val="003D1971"/>
    <w:rsid w:val="003D5412"/>
    <w:rsid w:val="003F3A52"/>
    <w:rsid w:val="0040341C"/>
    <w:rsid w:val="00416E61"/>
    <w:rsid w:val="00426FBF"/>
    <w:rsid w:val="0042790C"/>
    <w:rsid w:val="004361B9"/>
    <w:rsid w:val="004506F9"/>
    <w:rsid w:val="00450924"/>
    <w:rsid w:val="004531C1"/>
    <w:rsid w:val="00455A0A"/>
    <w:rsid w:val="00463459"/>
    <w:rsid w:val="00470D4A"/>
    <w:rsid w:val="00470E76"/>
    <w:rsid w:val="004717A2"/>
    <w:rsid w:val="00473DF3"/>
    <w:rsid w:val="00484500"/>
    <w:rsid w:val="00487911"/>
    <w:rsid w:val="00491741"/>
    <w:rsid w:val="0049203A"/>
    <w:rsid w:val="004B1F6D"/>
    <w:rsid w:val="004C15F9"/>
    <w:rsid w:val="004C42F7"/>
    <w:rsid w:val="004E2794"/>
    <w:rsid w:val="004E2B87"/>
    <w:rsid w:val="00500E5F"/>
    <w:rsid w:val="005122EF"/>
    <w:rsid w:val="0051441A"/>
    <w:rsid w:val="00514B0D"/>
    <w:rsid w:val="00517C33"/>
    <w:rsid w:val="00523644"/>
    <w:rsid w:val="0054069E"/>
    <w:rsid w:val="00543A79"/>
    <w:rsid w:val="00544866"/>
    <w:rsid w:val="0055641B"/>
    <w:rsid w:val="005767CC"/>
    <w:rsid w:val="00590D9F"/>
    <w:rsid w:val="00595D26"/>
    <w:rsid w:val="0059618D"/>
    <w:rsid w:val="005A33ED"/>
    <w:rsid w:val="005A5048"/>
    <w:rsid w:val="005A74E6"/>
    <w:rsid w:val="005B07AD"/>
    <w:rsid w:val="005B0F0E"/>
    <w:rsid w:val="005B1DEB"/>
    <w:rsid w:val="005B404E"/>
    <w:rsid w:val="005D4D55"/>
    <w:rsid w:val="005D5CAF"/>
    <w:rsid w:val="005D7019"/>
    <w:rsid w:val="005E2CFB"/>
    <w:rsid w:val="005E6CE1"/>
    <w:rsid w:val="005F011F"/>
    <w:rsid w:val="005F3D1C"/>
    <w:rsid w:val="0062378F"/>
    <w:rsid w:val="00641842"/>
    <w:rsid w:val="00643FBA"/>
    <w:rsid w:val="00651EEC"/>
    <w:rsid w:val="00660FE4"/>
    <w:rsid w:val="0066296C"/>
    <w:rsid w:val="006656F5"/>
    <w:rsid w:val="00673581"/>
    <w:rsid w:val="006811CC"/>
    <w:rsid w:val="00691E8C"/>
    <w:rsid w:val="006A22C4"/>
    <w:rsid w:val="006A351B"/>
    <w:rsid w:val="006A62A4"/>
    <w:rsid w:val="006B0422"/>
    <w:rsid w:val="006B482D"/>
    <w:rsid w:val="006C1B53"/>
    <w:rsid w:val="006C3343"/>
    <w:rsid w:val="006C4876"/>
    <w:rsid w:val="006C7B56"/>
    <w:rsid w:val="006D4DF3"/>
    <w:rsid w:val="006D7730"/>
    <w:rsid w:val="006E5284"/>
    <w:rsid w:val="006E5CBE"/>
    <w:rsid w:val="006F0A38"/>
    <w:rsid w:val="006F3EB5"/>
    <w:rsid w:val="00702E34"/>
    <w:rsid w:val="00704395"/>
    <w:rsid w:val="00716913"/>
    <w:rsid w:val="007170AF"/>
    <w:rsid w:val="00717621"/>
    <w:rsid w:val="00720FF1"/>
    <w:rsid w:val="00727A53"/>
    <w:rsid w:val="00746004"/>
    <w:rsid w:val="007463DA"/>
    <w:rsid w:val="00760B77"/>
    <w:rsid w:val="007739D5"/>
    <w:rsid w:val="00787B42"/>
    <w:rsid w:val="007A1070"/>
    <w:rsid w:val="007B3D2F"/>
    <w:rsid w:val="007B4806"/>
    <w:rsid w:val="007B691D"/>
    <w:rsid w:val="007C4539"/>
    <w:rsid w:val="007C745B"/>
    <w:rsid w:val="007C7D60"/>
    <w:rsid w:val="007D1A1F"/>
    <w:rsid w:val="007E2276"/>
    <w:rsid w:val="007E707C"/>
    <w:rsid w:val="007E7D08"/>
    <w:rsid w:val="007F3657"/>
    <w:rsid w:val="007F5815"/>
    <w:rsid w:val="007F63B4"/>
    <w:rsid w:val="00812ED5"/>
    <w:rsid w:val="0081604E"/>
    <w:rsid w:val="00817EE2"/>
    <w:rsid w:val="00821B75"/>
    <w:rsid w:val="008277D9"/>
    <w:rsid w:val="0083534E"/>
    <w:rsid w:val="008360DC"/>
    <w:rsid w:val="00841926"/>
    <w:rsid w:val="0084478C"/>
    <w:rsid w:val="00845631"/>
    <w:rsid w:val="0086638C"/>
    <w:rsid w:val="00866890"/>
    <w:rsid w:val="00867A05"/>
    <w:rsid w:val="008A3D2E"/>
    <w:rsid w:val="008A3E8D"/>
    <w:rsid w:val="008C0273"/>
    <w:rsid w:val="008C64CA"/>
    <w:rsid w:val="008E27A7"/>
    <w:rsid w:val="00917F46"/>
    <w:rsid w:val="00920183"/>
    <w:rsid w:val="0092225A"/>
    <w:rsid w:val="009237C4"/>
    <w:rsid w:val="00944C48"/>
    <w:rsid w:val="00945DB9"/>
    <w:rsid w:val="00950252"/>
    <w:rsid w:val="00967F5D"/>
    <w:rsid w:val="009A0F95"/>
    <w:rsid w:val="009B2B06"/>
    <w:rsid w:val="009B3ADF"/>
    <w:rsid w:val="009B7013"/>
    <w:rsid w:val="009C0342"/>
    <w:rsid w:val="009C3B52"/>
    <w:rsid w:val="009E6817"/>
    <w:rsid w:val="009E6E9A"/>
    <w:rsid w:val="009F0421"/>
    <w:rsid w:val="00A01D2B"/>
    <w:rsid w:val="00A15430"/>
    <w:rsid w:val="00A2271B"/>
    <w:rsid w:val="00A42218"/>
    <w:rsid w:val="00A45CC0"/>
    <w:rsid w:val="00A6275B"/>
    <w:rsid w:val="00A70249"/>
    <w:rsid w:val="00A70B02"/>
    <w:rsid w:val="00A71D9F"/>
    <w:rsid w:val="00A84B0F"/>
    <w:rsid w:val="00A92E9F"/>
    <w:rsid w:val="00A94A47"/>
    <w:rsid w:val="00AA4C38"/>
    <w:rsid w:val="00AC54C8"/>
    <w:rsid w:val="00AD0F86"/>
    <w:rsid w:val="00AD4F7D"/>
    <w:rsid w:val="00AE5C22"/>
    <w:rsid w:val="00AE72AF"/>
    <w:rsid w:val="00AF492E"/>
    <w:rsid w:val="00B2172C"/>
    <w:rsid w:val="00B22276"/>
    <w:rsid w:val="00B27DE0"/>
    <w:rsid w:val="00B33BEA"/>
    <w:rsid w:val="00B57C9F"/>
    <w:rsid w:val="00B63572"/>
    <w:rsid w:val="00B81F5C"/>
    <w:rsid w:val="00B82544"/>
    <w:rsid w:val="00B845B3"/>
    <w:rsid w:val="00B85D8B"/>
    <w:rsid w:val="00BA010D"/>
    <w:rsid w:val="00BA0673"/>
    <w:rsid w:val="00BA1D8E"/>
    <w:rsid w:val="00BA5A31"/>
    <w:rsid w:val="00BB4A40"/>
    <w:rsid w:val="00BD6C3E"/>
    <w:rsid w:val="00BE231B"/>
    <w:rsid w:val="00BE2847"/>
    <w:rsid w:val="00BE3674"/>
    <w:rsid w:val="00BE39F9"/>
    <w:rsid w:val="00BE6108"/>
    <w:rsid w:val="00BF51AD"/>
    <w:rsid w:val="00C066AB"/>
    <w:rsid w:val="00C070ED"/>
    <w:rsid w:val="00C10681"/>
    <w:rsid w:val="00C154AD"/>
    <w:rsid w:val="00C16C39"/>
    <w:rsid w:val="00C3049A"/>
    <w:rsid w:val="00C31B1E"/>
    <w:rsid w:val="00C43A4E"/>
    <w:rsid w:val="00C50972"/>
    <w:rsid w:val="00C61655"/>
    <w:rsid w:val="00C77645"/>
    <w:rsid w:val="00C8583C"/>
    <w:rsid w:val="00C94D26"/>
    <w:rsid w:val="00C965F7"/>
    <w:rsid w:val="00CA0149"/>
    <w:rsid w:val="00CA76C6"/>
    <w:rsid w:val="00CB33E7"/>
    <w:rsid w:val="00CB7527"/>
    <w:rsid w:val="00CC12D1"/>
    <w:rsid w:val="00CD7DF1"/>
    <w:rsid w:val="00CE04C3"/>
    <w:rsid w:val="00CE76A0"/>
    <w:rsid w:val="00CF1EC2"/>
    <w:rsid w:val="00D148C6"/>
    <w:rsid w:val="00D17A8A"/>
    <w:rsid w:val="00D22647"/>
    <w:rsid w:val="00D30C56"/>
    <w:rsid w:val="00D415BA"/>
    <w:rsid w:val="00D45C7F"/>
    <w:rsid w:val="00D46914"/>
    <w:rsid w:val="00D5781C"/>
    <w:rsid w:val="00D644EE"/>
    <w:rsid w:val="00D645F1"/>
    <w:rsid w:val="00D80CF8"/>
    <w:rsid w:val="00D912A7"/>
    <w:rsid w:val="00D91CEF"/>
    <w:rsid w:val="00D965A9"/>
    <w:rsid w:val="00DA100C"/>
    <w:rsid w:val="00DA2429"/>
    <w:rsid w:val="00DB783E"/>
    <w:rsid w:val="00DD06FF"/>
    <w:rsid w:val="00DD16AF"/>
    <w:rsid w:val="00DD3643"/>
    <w:rsid w:val="00DD5FE9"/>
    <w:rsid w:val="00DD676C"/>
    <w:rsid w:val="00DD7F8F"/>
    <w:rsid w:val="00DE26A5"/>
    <w:rsid w:val="00DF3878"/>
    <w:rsid w:val="00E00C7A"/>
    <w:rsid w:val="00E1424F"/>
    <w:rsid w:val="00E27E69"/>
    <w:rsid w:val="00E37D6C"/>
    <w:rsid w:val="00E5002F"/>
    <w:rsid w:val="00E55B68"/>
    <w:rsid w:val="00E67BE6"/>
    <w:rsid w:val="00E8683C"/>
    <w:rsid w:val="00E8750C"/>
    <w:rsid w:val="00E90B35"/>
    <w:rsid w:val="00EA2B72"/>
    <w:rsid w:val="00EA629B"/>
    <w:rsid w:val="00EB78B4"/>
    <w:rsid w:val="00ED4CB5"/>
    <w:rsid w:val="00ED61C0"/>
    <w:rsid w:val="00EE5D5D"/>
    <w:rsid w:val="00EF0F04"/>
    <w:rsid w:val="00EF668F"/>
    <w:rsid w:val="00F07189"/>
    <w:rsid w:val="00F206A3"/>
    <w:rsid w:val="00F33499"/>
    <w:rsid w:val="00F60F95"/>
    <w:rsid w:val="00F708A5"/>
    <w:rsid w:val="00F74360"/>
    <w:rsid w:val="00F76EC6"/>
    <w:rsid w:val="00FB462F"/>
    <w:rsid w:val="00FE16FA"/>
    <w:rsid w:val="00FE328A"/>
    <w:rsid w:val="00FE6269"/>
    <w:rsid w:val="00FF692F"/>
    <w:rsid w:val="228F6A0D"/>
    <w:rsid w:val="4BAF0F4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uiPriority w:val="99"/>
    <w:rPr>
      <w:sz w:val="18"/>
      <w:szCs w:val="18"/>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7"/>
    <w:link w:val="4"/>
    <w:uiPriority w:val="99"/>
    <w:rPr>
      <w:sz w:val="18"/>
      <w:szCs w:val="18"/>
    </w:rPr>
  </w:style>
  <w:style w:type="character" w:customStyle="1" w:styleId="9">
    <w:name w:val="页脚 Char"/>
    <w:basedOn w:val="7"/>
    <w:link w:val="3"/>
    <w:uiPriority w:val="99"/>
    <w:rPr>
      <w:sz w:val="18"/>
      <w:szCs w:val="18"/>
    </w:rPr>
  </w:style>
  <w:style w:type="paragraph" w:customStyle="1" w:styleId="10">
    <w:name w:val="Defaul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uiPriority w:val="99"/>
    <w:rPr>
      <w:sz w:val="18"/>
      <w:szCs w:val="18"/>
    </w:rPr>
  </w:style>
  <w:style w:type="paragraph" w:styleId="13">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
    <w:name w:val="paragraph"/>
    <w:basedOn w:val="1"/>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E8E99-0876-4457-84BE-74A901AF77D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33</Pages>
  <Words>2177</Words>
  <Characters>12409</Characters>
  <Lines>103</Lines>
  <Paragraphs>29</Paragraphs>
  <TotalTime>1639</TotalTime>
  <ScaleCrop>false</ScaleCrop>
  <LinksUpToDate>false</LinksUpToDate>
  <CharactersWithSpaces>14557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pan</cp:lastModifiedBy>
  <cp:lastPrinted>2022-06-17T02:42:00Z</cp:lastPrinted>
  <dcterms:modified xsi:type="dcterms:W3CDTF">2023-10-11T11:53:21Z</dcterms:modified>
  <cp:revision>239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E165F38F636949D9AB9152271EE1D5A6</vt:lpwstr>
  </property>
</Properties>
</file>