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center"/>
      </w:pPr>
      <w:bookmarkStart w:id="0" w:name="_GoBack"/>
      <w:r>
        <w:rPr>
          <w:rFonts w:hint="eastAsia" w:ascii="微软雅黑" w:hAnsi="微软雅黑" w:eastAsia="微软雅黑" w:cs="微软雅黑"/>
          <w:i w:val="0"/>
          <w:iCs w:val="0"/>
          <w:caps w:val="0"/>
          <w:color w:val="000000"/>
          <w:spacing w:val="0"/>
          <w:sz w:val="24"/>
          <w:szCs w:val="24"/>
          <w:shd w:val="clear" w:fill="FFFFFF"/>
        </w:rPr>
        <w:t>2019年度部门整体支出绩效评价报告</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一、部门概况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（一）部门基本情况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  校区规划占地面积605亩，规划建筑面积16.3848万平方米，工程分两期建设，其中一期占地面积 390亩，建筑面积10.4348万平方米；二期规划占地面积215亩，规划建筑面积5.95万平方米。项目规划总投资7.9亿元，其中一期规划投资4.3亿元。现在一期工程已全部完成，已建成教学楼、多媒体教学中心、学生公寓（3栋）、学生食堂、球场、田径运动场、学生服务中心、音乐实训楼、继续教育中心、理工-美术实训楼、体育馆、运动场看台等。学校现有教育教学及办公设施设备值近1100万元，图书31.7万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2．机构情况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怀化师范高等专科学校作为一级部门预算单位，内设科室为：党委机构有党政办公室、组织人事处、宣传统战部、纪检监察室；职能部门有教务处、科研处、学生工作部、招生指导就业处、财建处、保卫处；教辅服务有图书馆、后勤服务中心、信息技术中心；群团组织有工会、团委、妇工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3．人员情况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现有在职教职工278人，其中专任教师176人，全部具有本科或本科以上学历，教授级高讲1人，副教授、高级讲师67人，徐特立教育基金奖获得者1人，曾宪梓教育基金奖获得者3人，全国优秀教师4人，湖南省特级教师3人，湖南省优秀教师6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二、部门整体支出管理及使用情况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（一）基本支出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介绍基本支出的主要用途、范围以及资金的管理情况，尤其是“三公”经费的使用和管理情况。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2019年度总收入为7154.89万元，其中财政补助收入为4901.03万元，事业收入为2253.86万元。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2019年度总支出为8658.87万元，其中基本支出为5780.61万元，项目支出为2878.27万元，具体支出使用如下。主要用于学校运行保障及新校区建设等专项工作。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                                           金额：万元</w:t>
      </w:r>
    </w:p>
    <w:tbl>
      <w:tblPr>
        <w:tblStyle w:val="3"/>
        <w:tblW w:w="0" w:type="auto"/>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688"/>
        <w:gridCol w:w="1108"/>
        <w:gridCol w:w="1253"/>
        <w:gridCol w:w="1483"/>
        <w:gridCol w:w="1039"/>
        <w:gridCol w:w="1428"/>
        <w:gridCol w:w="131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c>
          <w:tcPr>
            <w:tcW w:w="8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支出</w:t>
            </w:r>
          </w:p>
        </w:tc>
        <w:tc>
          <w:tcPr>
            <w:tcW w:w="124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工资福利支出</w:t>
            </w:r>
          </w:p>
        </w:tc>
        <w:tc>
          <w:tcPr>
            <w:tcW w:w="145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商品和服务支出</w:t>
            </w:r>
          </w:p>
        </w:tc>
        <w:tc>
          <w:tcPr>
            <w:tcW w:w="184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对个人和家庭的补助</w:t>
            </w:r>
          </w:p>
        </w:tc>
        <w:tc>
          <w:tcPr>
            <w:tcW w:w="120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债务利息及费用支出</w:t>
            </w:r>
          </w:p>
        </w:tc>
        <w:tc>
          <w:tcPr>
            <w:tcW w:w="17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其他资本性支出</w:t>
            </w:r>
          </w:p>
        </w:tc>
        <w:tc>
          <w:tcPr>
            <w:tcW w:w="154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合计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8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基本支出</w:t>
            </w:r>
          </w:p>
        </w:tc>
        <w:tc>
          <w:tcPr>
            <w:tcW w:w="124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3816.50</w:t>
            </w:r>
          </w:p>
        </w:tc>
        <w:tc>
          <w:tcPr>
            <w:tcW w:w="145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1696.95</w:t>
            </w:r>
          </w:p>
        </w:tc>
        <w:tc>
          <w:tcPr>
            <w:tcW w:w="184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195.00</w:t>
            </w:r>
          </w:p>
        </w:tc>
        <w:tc>
          <w:tcPr>
            <w:tcW w:w="120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 </w:t>
            </w:r>
          </w:p>
        </w:tc>
        <w:tc>
          <w:tcPr>
            <w:tcW w:w="17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72.16</w:t>
            </w:r>
          </w:p>
        </w:tc>
        <w:tc>
          <w:tcPr>
            <w:tcW w:w="154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5780.61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88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项目支出</w:t>
            </w:r>
          </w:p>
        </w:tc>
        <w:tc>
          <w:tcPr>
            <w:tcW w:w="124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 </w:t>
            </w:r>
          </w:p>
        </w:tc>
        <w:tc>
          <w:tcPr>
            <w:tcW w:w="145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41.10</w:t>
            </w:r>
          </w:p>
        </w:tc>
        <w:tc>
          <w:tcPr>
            <w:tcW w:w="184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24.53</w:t>
            </w:r>
          </w:p>
        </w:tc>
        <w:tc>
          <w:tcPr>
            <w:tcW w:w="120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636.87</w:t>
            </w:r>
          </w:p>
        </w:tc>
        <w:tc>
          <w:tcPr>
            <w:tcW w:w="171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2175.77</w:t>
            </w:r>
          </w:p>
        </w:tc>
        <w:tc>
          <w:tcPr>
            <w:tcW w:w="154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2878.27</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2019年收支相抵，结余结转1281.81万元，其中基本支出结转1195.58万元，项目支出结转和结余86.23万元。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基本支出方面：2019年度学校基本支出为5780.61万元，其中教职工的工资福利支出3816.5万元、商品和服务支出1696.95万元、对个人和家庭的补助支出195.00万元、其他资本性支出72.16万元。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 “三公”经费方面：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三公消费，指政府部门人员因公出国（境）经费、公务车购置及运行费、公务招待费产生的消费。对“三公”经费的管理和使用，学校对照中央八项规定、省委九项规定的要求，根据省财政厅等部门的文件精神，对出国（境）费用、公务接待费用、车辆运行费用及会议（培训）费用进行了详细的规范，从范围、标准等方面作出具体的明确规定，从严控制把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rPr>
          <w:color w:val="000000" w:themeColor="text1"/>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shd w:val="clear" w:fill="FFFFFF"/>
          <w14:textFill>
            <w14:solidFill>
              <w14:schemeClr w14:val="tx1"/>
            </w14:solidFill>
          </w14:textFill>
        </w:rPr>
        <w:t>因我校为经费包干单位，包干经费为人员工资等支出，故无“三公”经费财政预算拨款。2018年公务接待费1.95万元，2019年接待费0.45万元，比上年减少1.50万元。2018年公务用车运行维护费10.21万元，2019年公务用车运行维护费10.89万元，比上年增加0.68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（二）专项支出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2019年，湖南省芷江民族师范学校结合工作实际，按照《湖南省芷江民族师范学校专项经费管理办法》的要求，将专项项目绩效管理评价工作按照业务工作实际和财务管理两个部分，从项目立项、绩效目标、资金管理、财务信息质量以及项目经济社会效益等方面绩效评价。2019年完成绩效目标情况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1、通过省级财政拨款294万元改善中职学校办学条件中央专项资金，促使我校新校区建设资金得到一定缓解，加快了我校新校区的建设，从软、硬件建设等方面全面推进教育教学改革与教育科研等各项工作，努力建成省市等周边地区幼儿园、小学教师的摇篮。改善中职学校办学条件中央专项资金使用情况如下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改善中职办学校件中央专项资金</w:t>
      </w:r>
    </w:p>
    <w:tbl>
      <w:tblPr>
        <w:tblStyle w:val="3"/>
        <w:tblW w:w="0" w:type="auto"/>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10"/>
        <w:gridCol w:w="4529"/>
        <w:gridCol w:w="277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序号</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摘要</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金额（元）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继续教育中心及大门广场</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800000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苗木采购费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8000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3</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不锈钢岗亭购置费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6400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4</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学术报告厅设备</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19500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计算机配套设备购置费及学术报告厅尾款</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6350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6</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多媒体中心309.311教室墙面装修工程</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3628.59</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7</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学生公寓、食堂、多媒体中心工程建设费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1557301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8</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同济大学设计费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300000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9</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音乐楼琴房墙面装修费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153300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10</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苗木绿化费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85520.41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合计</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 </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2940000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2019年中职改善办学条件中央专项资金实际到位资金为294万元，实际支出资金为294万元，资金已全部使用完毕。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2、通过财政拨款500万元学校建设经费专项资金加快我校新校区环境绿化及设施设备的购置，更进一步提高我校环境建设质量，为教职工及学生提供更好的新环境。学校建设经费专项资金使用情况如下表。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                    学校建设经费专项资金</w:t>
      </w:r>
    </w:p>
    <w:tbl>
      <w:tblPr>
        <w:tblStyle w:val="3"/>
        <w:tblW w:w="0" w:type="auto"/>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10"/>
        <w:gridCol w:w="4529"/>
        <w:gridCol w:w="277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序号</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摘要</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金额（元）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自然资源局罚款</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19933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62.2185亩字地红线测量费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6000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3</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多媒体教学中心微格室、语音教室、实验室、五楼阅览室工程质保金及</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24523.05</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4</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学生公寓、食堂、多媒体中心工程款</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695000.4</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怀化师专给水、污水、雨水管网工程</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500000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6</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音乐实训楼工程款</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400000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7</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校园绿化（二）期费用</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76791.43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8</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校园绿化（二）期费用</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23208.57</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9</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校园绿化养护费用</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7980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10</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固资：付校园绿化（二）补充栽植费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52323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11</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绿化草皮铺装、苗木种植费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50000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12</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理化生实验设备费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101430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13</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电梯墙幕费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13829.46</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14</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学生公寓、食堂、多媒体中心项目工程款</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1000000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15</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运动场建设工程款</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500000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16</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固资：学前教育实训室设备费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49860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17</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固资：电子阅览室设备，支付质保金5%</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45900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18</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运动场结算审核费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59100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19</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新校区设计费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573977</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20</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学生 公寓、食堂、多媒体教学中心项目工程款</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500000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21</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学校双电源接入改造工程</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24524.59</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22</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舞蹈室镜前柜购置费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22007.5</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23</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学生公寓、食堂、多媒体项目工程款</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250000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24</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音乐楼打孔费</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3612</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合计</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 </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5000000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学校建设经费专项资金实际到位资金为500万元，实际支出资金为500万元，资金已全部使用完毕。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3、通过财政拨款54万元芷江师范升专建设经费展专项资金推进我校音乐实训楼工程建设，缓解我校工程建设资金压力。高校改革发展专项资金使用情况如下表。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                    芷江师范建设经费专项资金</w:t>
      </w:r>
    </w:p>
    <w:tbl>
      <w:tblPr>
        <w:tblStyle w:val="3"/>
        <w:tblW w:w="0" w:type="auto"/>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13"/>
        <w:gridCol w:w="4525"/>
        <w:gridCol w:w="2776"/>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序号</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摘要</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金额（元）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音乐实训楼工程款</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540000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合计</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 </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540000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4、通过财政拨款50万元高校改革发展专项资金改善我校办学条件，促进校区硬件设施建设，为学生创造良好的学习环境。该资金于2019年12月底到账，因此未能使用，待2020年使用完毕。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5、通过财政拨款高校学生资助资金24.53万元，我校2019年上期上报高招助学金人数共计128人，一等95人，三等33人，一等每人2200元/期，三等3每人1100元/期，共计24.53万元。提高家庭经济困难学生学业完成率，提高社会整体文化素质，为社会培养有文化、有担当的接班人。高校学生资助资金使用资金情况如下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               高校学生资助资金专项资金</w:t>
      </w:r>
    </w:p>
    <w:tbl>
      <w:tblPr>
        <w:tblStyle w:val="3"/>
        <w:tblW w:w="0" w:type="auto"/>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12"/>
        <w:gridCol w:w="4528"/>
        <w:gridCol w:w="2774"/>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序号</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摘要</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金额（元）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付2019高校学生资助资金</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107100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付2019年高校学生资助资金</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26700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3</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付2019年国家助学金资金</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40100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4</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付2019年国家助学金</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71400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c>
          <w:tcPr>
            <w:tcW w:w="10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合计</w:t>
            </w:r>
          </w:p>
        </w:tc>
        <w:tc>
          <w:tcPr>
            <w:tcW w:w="4650"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 </w:t>
            </w:r>
          </w:p>
        </w:tc>
        <w:tc>
          <w:tcPr>
            <w:tcW w:w="2835" w:type="dxa"/>
            <w:tcBorders>
              <w:top w:val="outset" w:color="000000" w:sz="6" w:space="0"/>
              <w:left w:val="outset" w:color="000000" w:sz="6" w:space="0"/>
              <w:bottom w:val="outset" w:color="000000" w:sz="6" w:space="0"/>
              <w:right w:val="outset" w:color="000000" w:sz="6" w:space="0"/>
            </w:tcBorders>
            <w:shd w:val="clear" w:color="auto" w:fill="auto"/>
            <w:tcMar>
              <w:top w:w="0" w:type="dxa"/>
              <w:left w:w="0" w:type="dxa"/>
              <w:bottom w:w="0" w:type="dxa"/>
              <w:right w:w="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jc w:val="both"/>
            </w:pPr>
            <w:r>
              <w:t>245300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三、部门专项组织实施情况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（一）专项组织情况分析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根据项目实施要求，我校成立了项目建设工作领导小组，由校长任组长，总务科、学生服务中心等相关科室负责项目实施方案及作业设计的编制、检查验收等工作。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（二）专项管理情况分析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1、项目管理组织机构健全，建立相应的财务管理制度、资产管理制度、内部控制管理制度、专项资金管理办法、项目资金支出审批手续完善、专款专用，无截留、卡扣、占用和挪用等情况，支出合理合规。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2、学生资助资金纳入学校预算管理，学校财</w:t>
      </w:r>
      <w:r>
        <w:rPr>
          <w:rFonts w:hint="eastAsia" w:ascii="微软雅黑" w:hAnsi="微软雅黑" w:eastAsia="微软雅黑" w:cs="微软雅黑"/>
          <w:i w:val="0"/>
          <w:iCs w:val="0"/>
          <w:caps w:val="0"/>
          <w:color w:val="000000"/>
          <w:spacing w:val="0"/>
          <w:sz w:val="24"/>
          <w:szCs w:val="24"/>
          <w:shd w:val="clear" w:fill="FFFFFF"/>
          <w:lang w:eastAsia="zh-CN"/>
        </w:rPr>
        <w:t>建</w:t>
      </w:r>
      <w:r>
        <w:rPr>
          <w:rFonts w:hint="eastAsia" w:ascii="微软雅黑" w:hAnsi="微软雅黑" w:eastAsia="微软雅黑" w:cs="微软雅黑"/>
          <w:i w:val="0"/>
          <w:iCs w:val="0"/>
          <w:caps w:val="0"/>
          <w:color w:val="000000"/>
          <w:spacing w:val="0"/>
          <w:sz w:val="24"/>
          <w:szCs w:val="24"/>
          <w:shd w:val="clear" w:fill="FFFFFF"/>
        </w:rPr>
        <w:t>处要按照预算管理有关规定加强学生资助资金预算编制、执行、决算管理，严格落实责任制，规范财务管理，健全学生资助资金管理机制。学生服务中心要加强资金发放、执行管理；做好基础数据的审核工作，做好家庭经济困难学生认定工作，确保应助尽助；加强学生资助信息系统应用，规范档案管理，将学生申请表、认定结果、资金发放等有关凭证和工作情况分年度建档备查。学校财</w:t>
      </w:r>
      <w:r>
        <w:rPr>
          <w:rFonts w:hint="eastAsia" w:ascii="微软雅黑" w:hAnsi="微软雅黑" w:eastAsia="微软雅黑" w:cs="微软雅黑"/>
          <w:i w:val="0"/>
          <w:iCs w:val="0"/>
          <w:caps w:val="0"/>
          <w:color w:val="000000"/>
          <w:spacing w:val="0"/>
          <w:sz w:val="24"/>
          <w:szCs w:val="24"/>
          <w:shd w:val="clear" w:fill="FFFFFF"/>
          <w:lang w:eastAsia="zh-CN"/>
        </w:rPr>
        <w:t>建</w:t>
      </w:r>
      <w:r>
        <w:rPr>
          <w:rFonts w:hint="eastAsia" w:ascii="微软雅黑" w:hAnsi="微软雅黑" w:eastAsia="微软雅黑" w:cs="微软雅黑"/>
          <w:i w:val="0"/>
          <w:iCs w:val="0"/>
          <w:caps w:val="0"/>
          <w:color w:val="000000"/>
          <w:spacing w:val="0"/>
          <w:sz w:val="24"/>
          <w:szCs w:val="24"/>
          <w:shd w:val="clear" w:fill="FFFFFF"/>
        </w:rPr>
        <w:t>处、学生服务中心等部门要按照全面实施预算绩效管理要求，建立健全全过程预算绩效管理机制，按规定科学合理设定绩效目标，对照绩效目标做好绩效监控、绩效评价，强化绩效结果运用，按规定做好信息公开，提高资金使用效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四、资产管理情况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（一）截止于2019年12月31日我校共有固定资产原值3963.19万元，相比去年减少1725.23万元，因我校2019年进行资产处置，减少固定资产1140.18万元，调整土地入无形资产660万元。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（二）完善资产管理制度，提高资产管理水平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对于今年系统更换，我单位多次进行盘点及确认，对于部分资产进行了处置，在盘点处置过程中我们发现存在不少管理方面及制度上的不完善，为进一步提高资产管理水平，防止国有资产的流失，维护国有资产的安全和完整，我们结合实际，积极探索与之相适应的资产管理实施方案，加大对资产管理的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三）学校重视加强校产管理，发挥后勤保障作用。一是努力管好用好固定资产，使其保值、增值，发挥其最大的使用效益。二是健全管理制度，完善管理体制。遵循“统一领导，分级管理”的管理模式，各部门凡需采购和添置固定资产，须先提出书面申请，审批后严格按政府采购要求及程序落实执行，建立资产管理台账，准确反映资产去向，保证资产的安全和完整。三是着手启动清理盘点和资产核销制度。根据自身的实际情况进行实物盘点，及时掌握资产损益情况，准确反映固定资产实际情况，真正做到固定资产的家底清、账实相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四）在资产的日常管理方面，将国有资产层次化、集中化管理，优化国有资产的配置和分布，提升国有资产的管理水平。对于新增（购买、接收捐赠）资产及时入账，落实保管制度，责任到人。对于需要报废处置资产，严格规范资产处置程序，报相关部门审批处理。落实检查制度，对于各院、处、室资产的调配、使用、保管进行定期和不定期的检查，基本做到账实相符，存放地点清楚，责任人员明确。使用管理人员做好资产检查维护工作，确保资产的使用效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五、部门整体支出绩效情况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1、部门整体支出，专项资金立项规范合理、指标明确，资金到位及时，经费管理有力，资金使用规范，相关管理制度齐全，能够按时完成预定目标，项目质量有保障，项目效益明显，项目实施达到预期效果，公众认可度高。基本支出足额保障，“三公经费”支出控制措施得当，预、决算信息公开及时完整，资产管理使用规范有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2、推进教师教学管理转型。一是初步形成校、院（部）二级管理。教务处与院部教务管理不断融合、对接，初步实现了二级管理工作制。二是开展教师资格考试辅导。中专学生教师资格考试笔试合格率18%；五年制大专学生教师资格考试79.7%，全省平均过级率为27%。237名教师参加高校教师资格岗位培训考试通过率为88.2%。精心组织教师资格考试面试工作。三是抓好教学提质。成功举办校园文化艺术节与体育运动会。完成2015级506名公费定向培养学生实习、顶岗实习工作，2016级公费定向生为期一周的见习工作。组织中职文化基础课普测、语言文字测试、“三笔一画”过关测试、中职学生计算机应用能力考试等工作。组织学生参加2019年湖南省职业学校英语技能竞赛比赛，获二等奖1个、三等奖2个。组织学生参加2019年湖南省黄炎培职业教育奖创业规划大赛获优胜奖。四是强化教学督导。持续实施坚持校领导“推门听课”制度。重点抓好考风学风建设。五是教师队伍建设有突破。办好青年教师教学竞赛活动。组织教师参加校外培训交流100多人次，组织湖南农大教育学院对口培训教师等校内培训200人次。组织教师结对，形成“老带新”、“传帮带”。教师组建五个团队参加2019湖南省职业院校技能竞赛教师职业能力比赛，获三等奖4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3、推进德育管理转型。牢牢把握立德树人这一根本任务。实行晨跑制、大课间制，学生体质体能免疫力全面提高。一是抓好学生德育活动教育。认真开展好“开学第一课”、入学教育；组织学生参加省、市中等职业学校“文明风采”竞赛活动，获湖南省级一等奖6件，湖南省级二等奖3件，市级一等奖14件，市级二等奖14件，市级三等奖12件。党政办、学工部组织452名学生参加怀化向南全民同跑活动，17人获奖。学工部、教务处联合举办第一届学生片段教学实践比赛活动。二是抓好学生教育管理。分设高招生、初招生学生会干部，区别管理。组织新生军训、学生体质健康标准测试、新生心理健康普查，优秀班主任、优秀班级与优秀学生评选表彰等活动。三是加强班主任管理有成效。开展“青蓝工程”班主任师徒制活动，评选表彰14位优秀指导老师和副班主任。组织两名班主任参加2019年怀化市中等职业学校班主任基本功竞赛，均获一等奖。组织班主任论文评比活动，一等奖4篇，二等奖5篇，三等奖 6 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4、教研科研成果突出。一是人才培养初步实现体系化。根据人才培养，学校组织申报三年制大专音乐教育、美术教育、数学教育与五年制学前教育、小学教育等2020年拟招生专业，已通过省教育厅评审并上报教育部待批。二是科研成果成绩突出。成功立项国家、省、市课题共15项，其中中国职业教育学会课题1项，省级课题13项，市级课题1项。教师发表论文88篇（中文核心1篇），出版学术专著4部，主参编教材7部。2019年湖南省教育科研工作者协会优秀论文评比，一等奖4篇，二等奖6篇，三等奖21篇。三是科研活动常态化。邀请校外专家教授来校开展学术专题讲座两次。开展科研培训3次，“芷师大讲堂”开展4次，《教科研信息月报》出刊4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六、存在的主要问题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1、对于目标设定需要分科室部门分解，汇总后制定整体目标。目标设定后如何科学设定考核评价标准，特别是对于不能量化的目标如何进行评价。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2、部门整体支出相比专项支出而言，社会效益较好，经济效益不明显。业务工作分项需要更加清晰，不能很好的对比支出与成果，投入与产出效果，进而很难有针对性的发现问题，分析问题，提出解决方案。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3、财务管理方面，会计核算还不够细致，对于有些能够细分的工作，未能详细分类核算，绩效评价基础数据不够精准。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4、预算管理不够精细。预算完成率良好，但决算数与预算数相差较大，因此在以后的预算管理过程中，需加强我校内设机构的协调联动，保证预算编制的合理与精细，并加强与财政部门的沟通和协调，确保预算资金的及时下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七、改进措施和有关建议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1、学习如何科学合理制定绩效目标及考核体系，充分发挥绩效工作效用。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2、对于能细分、归总的业务工作，效仿专项支出进行管理，以便更好的进行绩效评价，发现不足，提出改进。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3、财务上，会计核算要更加详细，为本单位各项工作的开展、总结、评估提供更有效数据资料支撑，为各项业务工作更好的开展提供帮助。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4、细化整体预算编制工作。加强我校的预算管理意识，严格按照预算编制的相关制度和要求进行预算编制。积极收取各科室的经费预算，全面编制预算项目，优先保障固定性的、相对刚性的费用支出项目，尽量压缩变动性的、有控制空间的费用项目，提高预算编制的科学性、严谨性和可控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5、严格财务管理监督。按照预算规定的费用项目和用途进行资金使用审核、列报支付、财务核算；严格控制“三公”经费的规模和比例，杜绝挪用和挤占其他预算资金行为，严把“三公”经费支出审核、审批关口，细化“三公”经费的管理，合理压缩“三公”经费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420"/>
        <w:jc w:val="both"/>
      </w:pPr>
      <w:r>
        <w:rPr>
          <w:rFonts w:hint="eastAsia" w:ascii="微软雅黑" w:hAnsi="微软雅黑" w:eastAsia="微软雅黑" w:cs="微软雅黑"/>
          <w:i w:val="0"/>
          <w:iCs w:val="0"/>
          <w:caps w:val="0"/>
          <w:color w:val="000000"/>
          <w:spacing w:val="0"/>
          <w:sz w:val="24"/>
          <w:szCs w:val="24"/>
          <w:shd w:val="clear" w:fill="FFFFFF"/>
        </w:rPr>
        <w:t>6、深化项目申报可研，增强财务管理实效。首先，贯彻落实国家和地方政府有关基本建设的政策、法规、制度。根据事业发展的要求和学育教学工作的需要，配合上级主管部门编制、调整、完善基本建设总体规划，对适合学校新设立的项目协调做好项目储备。其次，沟通协调教育主管部门关注国家政策调整动向，向上级对接跟踪争取项目，促成项目落地、资金到位，避免向上级争取的资金无相应条件项目实施，将资金闲置。减少项目资金浪费，节约财政资金。</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F730C3"/>
    <w:rsid w:val="0E563AC2"/>
    <w:rsid w:val="6CF73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2021-06-07T01:19:00Z</dcterms:created>
  <dc:creator>倪✨</dc:creator>
  <cp:lastModifiedBy>倪✨</cp:lastModifiedBy>
  <dcterms:modified xsi:type="dcterms:W3CDTF">2021-06-07T01:24:41Z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8DE60AEB7A3F4602A7C41FF5514DA77B</vt:lpwstr>
  </property>
</Properties>
</file>