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6524A">
      <w:pPr>
        <w:jc w:val="center"/>
        <w:rPr>
          <w:rFonts w:ascii="黑体" w:hAnsi="黑体" w:eastAsia="黑体" w:cs="黑体"/>
          <w:sz w:val="44"/>
          <w:szCs w:val="44"/>
        </w:rPr>
      </w:pPr>
      <w:bookmarkStart w:id="2" w:name="_GoBack"/>
      <w:bookmarkEnd w:id="2"/>
      <w:r>
        <w:rPr>
          <w:rFonts w:hint="eastAsia" w:ascii="黑体" w:hAnsi="黑体" w:eastAsia="黑体" w:cs="黑体"/>
          <w:sz w:val="44"/>
          <w:szCs w:val="44"/>
        </w:rPr>
        <w:t>怀化职业技术学院</w:t>
      </w:r>
    </w:p>
    <w:p w14:paraId="204FB435">
      <w:pPr>
        <w:jc w:val="center"/>
        <w:rPr>
          <w:rFonts w:ascii="黑体" w:hAnsi="黑体" w:eastAsia="黑体" w:cs="黑体"/>
          <w:sz w:val="44"/>
          <w:szCs w:val="44"/>
        </w:rPr>
      </w:pPr>
      <w:r>
        <w:rPr>
          <w:rFonts w:hint="eastAsia" w:ascii="黑体" w:hAnsi="黑体" w:eastAsia="黑体" w:cs="黑体"/>
          <w:sz w:val="44"/>
          <w:szCs w:val="44"/>
        </w:rPr>
        <w:t>2023年部门整体支出绩效自评报告</w:t>
      </w:r>
    </w:p>
    <w:p w14:paraId="2CC10822">
      <w:pPr>
        <w:tabs>
          <w:tab w:val="left" w:pos="0"/>
        </w:tabs>
        <w:spacing w:line="360" w:lineRule="auto"/>
        <w:jc w:val="center"/>
        <w:rPr>
          <w:rFonts w:ascii="宋体" w:hAnsi="宋体" w:eastAsia="宋体" w:cs="宋体"/>
          <w:b/>
          <w:sz w:val="28"/>
          <w:szCs w:val="28"/>
        </w:rPr>
      </w:pPr>
    </w:p>
    <w:p w14:paraId="0461C0A5">
      <w:pPr>
        <w:spacing w:line="360" w:lineRule="auto"/>
        <w:ind w:firstLine="504" w:firstLineChars="180"/>
        <w:rPr>
          <w:rFonts w:ascii="宋体" w:hAnsi="宋体" w:eastAsia="宋体" w:cs="宋体"/>
          <w:color w:val="000000"/>
          <w:sz w:val="28"/>
          <w:szCs w:val="28"/>
        </w:rPr>
      </w:pPr>
      <w:r>
        <w:rPr>
          <w:rFonts w:hint="eastAsia" w:ascii="宋体" w:hAnsi="宋体" w:eastAsia="宋体" w:cs="宋体"/>
          <w:color w:val="000000"/>
          <w:sz w:val="28"/>
          <w:szCs w:val="28"/>
        </w:rPr>
        <w:t>根据《怀化市财政局关于开展2023年度预算支出绩效自评工作的通知》（怀财绩【2024】46号），现将怀化职业技术学院2023年度部门整体支出绩效自评情况报告如下：</w:t>
      </w:r>
    </w:p>
    <w:p w14:paraId="35282793">
      <w:pPr>
        <w:numPr>
          <w:ilvl w:val="0"/>
          <w:numId w:val="1"/>
        </w:numPr>
        <w:jc w:val="left"/>
        <w:rPr>
          <w:rFonts w:ascii="黑体" w:hAnsi="黑体" w:eastAsia="黑体" w:cs="黑体"/>
          <w:sz w:val="32"/>
          <w:szCs w:val="32"/>
        </w:rPr>
      </w:pPr>
      <w:r>
        <w:rPr>
          <w:rFonts w:hint="eastAsia" w:ascii="黑体" w:hAnsi="黑体" w:eastAsia="黑体" w:cs="黑体"/>
          <w:sz w:val="32"/>
          <w:szCs w:val="32"/>
        </w:rPr>
        <w:t>部门、单位基本情况</w:t>
      </w:r>
    </w:p>
    <w:p w14:paraId="6082FDA1">
      <w:pPr>
        <w:numPr>
          <w:ilvl w:val="0"/>
          <w:numId w:val="2"/>
        </w:numPr>
        <w:rPr>
          <w:rFonts w:ascii="黑体" w:hAnsi="黑体" w:eastAsia="黑体" w:cs="黑体"/>
          <w:sz w:val="32"/>
          <w:szCs w:val="32"/>
        </w:rPr>
      </w:pPr>
      <w:r>
        <w:rPr>
          <w:rFonts w:hint="eastAsia" w:ascii="黑体" w:hAnsi="黑体" w:eastAsia="黑体" w:cs="黑体"/>
          <w:sz w:val="32"/>
          <w:szCs w:val="32"/>
        </w:rPr>
        <w:t>机构设置情况</w:t>
      </w:r>
    </w:p>
    <w:p w14:paraId="1C48F16B">
      <w:pPr>
        <w:spacing w:line="360" w:lineRule="auto"/>
        <w:ind w:firstLine="560" w:firstLineChars="200"/>
        <w:jc w:val="left"/>
        <w:rPr>
          <w:rFonts w:hint="default" w:ascii="宋体" w:hAnsi="宋体" w:eastAsia="宋体" w:cs="宋体"/>
          <w:b/>
          <w:bCs/>
          <w:sz w:val="44"/>
          <w:szCs w:val="44"/>
          <w:lang w:val="en-US" w:eastAsia="zh-CN"/>
        </w:rPr>
      </w:pPr>
      <w:r>
        <w:rPr>
          <w:rFonts w:hint="eastAsia" w:ascii="宋体" w:hAnsi="宋体" w:eastAsia="宋体" w:cs="宋体"/>
          <w:color w:val="000000"/>
          <w:sz w:val="28"/>
          <w:szCs w:val="28"/>
        </w:rPr>
        <w:t>我单位为一级预算单位，无其他二级预算单位。</w:t>
      </w:r>
      <w:r>
        <w:rPr>
          <w:rFonts w:hint="eastAsia" w:ascii="宋体" w:hAnsi="宋体" w:eastAsia="宋体" w:cs="宋体"/>
          <w:b/>
          <w:bCs/>
          <w:color w:val="000000"/>
          <w:sz w:val="28"/>
          <w:szCs w:val="28"/>
        </w:rPr>
        <w:t>设有内部机构：</w:t>
      </w:r>
      <w:r>
        <w:rPr>
          <w:rFonts w:hint="eastAsia" w:ascii="宋体" w:hAnsi="宋体" w:eastAsia="宋体" w:cs="宋体"/>
          <w:color w:val="000000"/>
          <w:sz w:val="28"/>
          <w:szCs w:val="28"/>
        </w:rPr>
        <w:t>思政课部、基础课部、农学园艺学院、动物科技学院、机械与车辆工程学院、电子电气工程学院、信息与设计学院、建筑工程学院、商贸旅游学院等</w:t>
      </w:r>
      <w:r>
        <w:rPr>
          <w:rFonts w:hint="eastAsia" w:ascii="宋体" w:hAnsi="宋体" w:eastAsia="宋体" w:cs="宋体"/>
          <w:b/>
          <w:bCs/>
          <w:color w:val="000000"/>
          <w:sz w:val="28"/>
          <w:szCs w:val="28"/>
        </w:rPr>
        <w:t>9个二级院部</w:t>
      </w:r>
      <w:r>
        <w:rPr>
          <w:rFonts w:hint="eastAsia" w:ascii="宋体" w:hAnsi="宋体" w:eastAsia="宋体" w:cs="宋体"/>
          <w:color w:val="000000"/>
          <w:sz w:val="28"/>
          <w:szCs w:val="28"/>
        </w:rPr>
        <w:t>，党政办公室、组织人事处、</w:t>
      </w:r>
      <w:r>
        <w:rPr>
          <w:rFonts w:hint="eastAsia" w:ascii="宋体" w:hAnsi="宋体" w:eastAsia="宋体" w:cs="宋体"/>
          <w:color w:val="000000"/>
          <w:sz w:val="28"/>
          <w:szCs w:val="28"/>
          <w:lang w:eastAsia="zh-CN"/>
        </w:rPr>
        <w:t>宣传统战部、</w:t>
      </w:r>
      <w:r>
        <w:rPr>
          <w:rFonts w:hint="eastAsia" w:ascii="宋体" w:hAnsi="宋体" w:eastAsia="宋体" w:cs="宋体"/>
          <w:color w:val="000000"/>
          <w:sz w:val="28"/>
          <w:szCs w:val="28"/>
        </w:rPr>
        <w:t>教务处、</w:t>
      </w:r>
      <w:r>
        <w:rPr>
          <w:rFonts w:hint="eastAsia" w:ascii="宋体" w:hAnsi="宋体" w:eastAsia="宋体" w:cs="宋体"/>
          <w:color w:val="000000"/>
          <w:sz w:val="28"/>
          <w:szCs w:val="28"/>
          <w:lang w:eastAsia="zh-CN"/>
        </w:rPr>
        <w:t>计划财务处、</w:t>
      </w:r>
      <w:r>
        <w:rPr>
          <w:rFonts w:hint="eastAsia" w:ascii="宋体" w:hAnsi="宋体" w:eastAsia="宋体" w:cs="宋体"/>
          <w:color w:val="000000"/>
          <w:sz w:val="28"/>
          <w:szCs w:val="28"/>
        </w:rPr>
        <w:t>招生就业处、学生工作处、</w:t>
      </w:r>
      <w:r>
        <w:rPr>
          <w:rFonts w:hint="eastAsia" w:ascii="宋体" w:hAnsi="宋体" w:eastAsia="宋体" w:cs="宋体"/>
          <w:color w:val="000000"/>
          <w:sz w:val="28"/>
          <w:szCs w:val="28"/>
          <w:lang w:eastAsia="zh-CN"/>
        </w:rPr>
        <w:t>后勤保卫处、</w:t>
      </w:r>
      <w:r>
        <w:rPr>
          <w:rFonts w:hint="eastAsia" w:ascii="宋体" w:hAnsi="宋体" w:eastAsia="宋体" w:cs="宋体"/>
          <w:color w:val="000000"/>
          <w:sz w:val="28"/>
          <w:szCs w:val="28"/>
        </w:rPr>
        <w:t>审计与资产管理处、科研与社会服务处、规划与对外合作处等</w:t>
      </w:r>
      <w:r>
        <w:rPr>
          <w:rFonts w:hint="eastAsia" w:ascii="宋体" w:hAnsi="宋体" w:eastAsia="宋体" w:cs="宋体"/>
          <w:b/>
          <w:bCs/>
          <w:color w:val="000000"/>
          <w:sz w:val="28"/>
          <w:szCs w:val="28"/>
        </w:rPr>
        <w:t>11个党政、群团组织</w:t>
      </w:r>
      <w:r>
        <w:rPr>
          <w:rFonts w:hint="eastAsia" w:ascii="宋体" w:hAnsi="宋体" w:eastAsia="宋体" w:cs="宋体"/>
          <w:color w:val="000000"/>
          <w:sz w:val="28"/>
          <w:szCs w:val="28"/>
        </w:rPr>
        <w:t>，继续教育学院、图书馆、安江农校纪念园管理中心等</w:t>
      </w:r>
      <w:r>
        <w:rPr>
          <w:rFonts w:hint="eastAsia" w:ascii="宋体" w:hAnsi="宋体" w:eastAsia="宋体" w:cs="宋体"/>
          <w:b/>
          <w:bCs/>
          <w:color w:val="000000"/>
          <w:sz w:val="28"/>
          <w:szCs w:val="28"/>
        </w:rPr>
        <w:t>3个教辅机构、服务部门</w:t>
      </w:r>
      <w:r>
        <w:rPr>
          <w:rFonts w:hint="eastAsia" w:ascii="宋体" w:hAnsi="宋体" w:eastAsia="宋体" w:cs="宋体"/>
          <w:color w:val="000000"/>
          <w:sz w:val="28"/>
          <w:szCs w:val="28"/>
        </w:rPr>
        <w:t>，国家杂交水稻研究中心怀化分中心</w:t>
      </w:r>
      <w:r>
        <w:rPr>
          <w:rFonts w:hint="eastAsia" w:ascii="宋体" w:hAnsi="宋体" w:eastAsia="宋体" w:cs="宋体"/>
          <w:b/>
          <w:bCs/>
          <w:color w:val="000000"/>
          <w:sz w:val="28"/>
          <w:szCs w:val="28"/>
        </w:rPr>
        <w:t>1个科研机构</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按相关规定设置</w:t>
      </w:r>
      <w:r>
        <w:rPr>
          <w:rFonts w:hint="eastAsia" w:ascii="宋体" w:hAnsi="宋体" w:eastAsia="宋体" w:cs="宋体"/>
          <w:color w:val="000000"/>
          <w:sz w:val="28"/>
          <w:szCs w:val="28"/>
        </w:rPr>
        <w:t>纪检监察室、工会、团委</w:t>
      </w:r>
      <w:r>
        <w:rPr>
          <w:rFonts w:hint="eastAsia" w:ascii="宋体" w:hAnsi="宋体" w:eastAsia="宋体" w:cs="宋体"/>
          <w:b/>
          <w:bCs/>
          <w:color w:val="000000"/>
          <w:sz w:val="28"/>
          <w:szCs w:val="28"/>
          <w:lang w:eastAsia="zh-CN"/>
        </w:rPr>
        <w:t>等</w:t>
      </w:r>
      <w:r>
        <w:rPr>
          <w:rFonts w:hint="eastAsia" w:ascii="宋体" w:hAnsi="宋体" w:eastAsia="宋体" w:cs="宋体"/>
          <w:b/>
          <w:bCs/>
          <w:color w:val="000000"/>
          <w:sz w:val="28"/>
          <w:szCs w:val="28"/>
          <w:lang w:val="en-US" w:eastAsia="zh-CN"/>
        </w:rPr>
        <w:t>3个机构，与相关党政管理机构合署办公。</w:t>
      </w:r>
    </w:p>
    <w:p w14:paraId="356246E0">
      <w:pPr>
        <w:numPr>
          <w:ilvl w:val="0"/>
          <w:numId w:val="2"/>
        </w:numPr>
        <w:rPr>
          <w:rFonts w:ascii="黑体" w:hAnsi="黑体" w:eastAsia="黑体" w:cs="黑体"/>
          <w:sz w:val="32"/>
          <w:szCs w:val="32"/>
        </w:rPr>
      </w:pPr>
      <w:r>
        <w:rPr>
          <w:rFonts w:hint="eastAsia" w:ascii="黑体" w:hAnsi="黑体" w:eastAsia="黑体" w:cs="黑体"/>
          <w:sz w:val="32"/>
          <w:szCs w:val="32"/>
        </w:rPr>
        <w:t>人员编制情况</w:t>
      </w:r>
    </w:p>
    <w:p w14:paraId="1645D146">
      <w:pPr>
        <w:spacing w:line="360" w:lineRule="auto"/>
        <w:ind w:firstLine="504" w:firstLineChars="180"/>
        <w:rPr>
          <w:rFonts w:ascii="宋体" w:hAnsi="宋体" w:eastAsia="宋体" w:cs="宋体"/>
          <w:color w:val="000000"/>
          <w:sz w:val="28"/>
          <w:szCs w:val="28"/>
        </w:rPr>
      </w:pPr>
      <w:r>
        <w:rPr>
          <w:rFonts w:hint="eastAsia" w:ascii="宋体" w:hAnsi="宋体" w:eastAsia="宋体" w:cs="宋体"/>
          <w:color w:val="000000"/>
          <w:sz w:val="28"/>
          <w:szCs w:val="28"/>
        </w:rPr>
        <w:t>截至 2023 年 12月31日，我单位</w:t>
      </w:r>
      <w:r>
        <w:rPr>
          <w:rFonts w:hint="eastAsia" w:ascii="宋体" w:hAnsi="宋体" w:eastAsia="宋体" w:cs="宋体"/>
          <w:color w:val="000000"/>
          <w:sz w:val="28"/>
          <w:szCs w:val="28"/>
          <w:lang w:eastAsia="zh-CN"/>
        </w:rPr>
        <w:t>有</w:t>
      </w:r>
      <w:r>
        <w:rPr>
          <w:rFonts w:hint="eastAsia" w:ascii="宋体" w:hAnsi="宋体" w:eastAsia="宋体" w:cs="宋体"/>
          <w:color w:val="000000"/>
          <w:sz w:val="28"/>
          <w:szCs w:val="28"/>
        </w:rPr>
        <w:t>编制 626 人 ，较上年度增加</w:t>
      </w:r>
      <w:r>
        <w:rPr>
          <w:rFonts w:hint="eastAsia" w:ascii="宋体" w:hAnsi="宋体" w:eastAsia="宋体" w:cs="宋体"/>
          <w:color w:val="000000"/>
          <w:sz w:val="28"/>
          <w:szCs w:val="28"/>
          <w:lang w:eastAsia="zh-CN"/>
        </w:rPr>
        <w:t>编制</w:t>
      </w:r>
      <w:r>
        <w:rPr>
          <w:rFonts w:hint="eastAsia" w:ascii="宋体" w:hAnsi="宋体" w:eastAsia="宋体" w:cs="宋体"/>
          <w:color w:val="000000"/>
          <w:sz w:val="28"/>
          <w:szCs w:val="28"/>
        </w:rPr>
        <w:t>112人，年末实有在</w:t>
      </w:r>
      <w:r>
        <w:rPr>
          <w:rFonts w:hint="eastAsia" w:ascii="宋体" w:hAnsi="宋体" w:eastAsia="宋体" w:cs="宋体"/>
          <w:color w:val="000000"/>
          <w:sz w:val="28"/>
          <w:szCs w:val="28"/>
          <w:lang w:eastAsia="zh-CN"/>
        </w:rPr>
        <w:t>编在</w:t>
      </w:r>
      <w:r>
        <w:rPr>
          <w:rFonts w:hint="eastAsia" w:ascii="宋体" w:hAnsi="宋体" w:eastAsia="宋体" w:cs="宋体"/>
          <w:color w:val="000000"/>
          <w:sz w:val="28"/>
          <w:szCs w:val="28"/>
        </w:rPr>
        <w:t>职人数474人，当年退休人数22人。</w:t>
      </w:r>
    </w:p>
    <w:p w14:paraId="0F7A325D">
      <w:pPr>
        <w:numPr>
          <w:ilvl w:val="0"/>
          <w:numId w:val="2"/>
        </w:numPr>
        <w:rPr>
          <w:rFonts w:ascii="黑体" w:hAnsi="黑体" w:eastAsia="黑体" w:cs="黑体"/>
          <w:sz w:val="32"/>
          <w:szCs w:val="32"/>
        </w:rPr>
      </w:pPr>
      <w:r>
        <w:rPr>
          <w:rFonts w:hint="eastAsia" w:ascii="黑体" w:hAnsi="黑体" w:eastAsia="黑体" w:cs="黑体"/>
          <w:sz w:val="32"/>
          <w:szCs w:val="32"/>
        </w:rPr>
        <w:t>主要职能职责</w:t>
      </w:r>
    </w:p>
    <w:p w14:paraId="5DEADBA5">
      <w:pPr>
        <w:pStyle w:val="8"/>
        <w:ind w:left="0" w:leftChars="0" w:firstLine="560" w:firstLineChars="200"/>
        <w:rPr>
          <w:rFonts w:ascii="宋体" w:hAnsi="宋体" w:cs="宋体"/>
          <w:color w:val="000000"/>
          <w:sz w:val="28"/>
          <w:szCs w:val="28"/>
        </w:rPr>
      </w:pPr>
      <w:r>
        <w:rPr>
          <w:rFonts w:hint="eastAsia" w:ascii="宋体" w:hAnsi="宋体" w:cs="宋体"/>
          <w:color w:val="000000"/>
          <w:sz w:val="28"/>
          <w:szCs w:val="28"/>
          <w:shd w:val="clear" w:color="auto" w:fill="FFFFFF"/>
        </w:rPr>
        <w:t>学校全面贯彻党的教育方针，锚定实现湖南“三高四新”美好蓝图，深入实施怀化“五新四城”战略，坚持“依托市场办专业，办好专业兴产业，兴旺产业促就业”的办学思路，坚持走“内涵式、有特色、高质量”发展之路，坚定不移推进申办本科层次职业学校工作，凝心聚力为“办一流职院、育一流人才”而努力奋斗。</w:t>
      </w:r>
    </w:p>
    <w:p w14:paraId="15F93C2F">
      <w:pPr>
        <w:tabs>
          <w:tab w:val="left" w:pos="0"/>
        </w:tabs>
        <w:spacing w:line="360" w:lineRule="auto"/>
        <w:ind w:firstLine="560" w:firstLineChars="200"/>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学校科教结合，造就名师，创新模式，培养学生；学校对接地方经济发展和农村管理人才培养需求，积极推进教育机制体制创新，初步探索出一条“政府主导，学校主推，一线主动”的“校县（企）合作共建”农村职业教育发展新机制，被确定为怀化市“农村基层干部培训基地”；是湖南省招生就业工作先进单位、全国重点文物保护单位、全国科教兴农先进单位、全国科普教育基地、教育部评估优秀高职高专学校、全国五四红旗团委、湖南省楚怡高水平高职学校建设单位、湖南省示范性（骨干）高职院校、湖南省爱国主义教育基地、湖南省文明高校、全省民族团结进步创建示范单位、湖南省创新创业示范基地。</w:t>
      </w:r>
    </w:p>
    <w:p w14:paraId="1586987D">
      <w:pPr>
        <w:numPr>
          <w:ilvl w:val="0"/>
          <w:numId w:val="2"/>
        </w:numPr>
        <w:rPr>
          <w:rFonts w:ascii="黑体" w:hAnsi="黑体" w:eastAsia="黑体" w:cs="黑体"/>
          <w:sz w:val="32"/>
          <w:szCs w:val="32"/>
        </w:rPr>
      </w:pPr>
      <w:r>
        <w:rPr>
          <w:rFonts w:hint="eastAsia" w:ascii="黑体" w:hAnsi="黑体" w:eastAsia="黑体" w:cs="黑体"/>
          <w:sz w:val="32"/>
          <w:szCs w:val="32"/>
        </w:rPr>
        <w:t>绩效目标设定情况</w:t>
      </w:r>
    </w:p>
    <w:p w14:paraId="05CF52D9">
      <w:pPr>
        <w:pStyle w:val="2"/>
        <w:ind w:left="0" w:leftChars="0" w:firstLine="560"/>
        <w:rPr>
          <w:rFonts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怀化职业技术学院在设置2023年部门整体支出绩效目标时，根据2022年度工作总结及2023年度工作计划、部门职能职责、重点工作安排部署等资料设定部门整体支出总体绩效目标，并分解为13条绩效指标，其中：数量指标3条、质量指标2条、时效指标1条、成本指标1条，经济效益指标1条、社会效益指标2条、生态效益指标1条、可持续影响指标1条，服务对象满意度指标1条。具体情况详见下表：</w:t>
      </w:r>
    </w:p>
    <w:p w14:paraId="6794BCD6">
      <w:pPr>
        <w:rPr>
          <w:rFonts w:ascii="宋体" w:hAnsi="宋体" w:eastAsia="宋体" w:cs="宋体"/>
          <w:sz w:val="44"/>
          <w:szCs w:val="44"/>
        </w:rPr>
      </w:pPr>
      <w:r>
        <w:drawing>
          <wp:inline distT="0" distB="0" distL="0" distR="0">
            <wp:extent cx="5354955" cy="3552190"/>
            <wp:effectExtent l="0" t="0" r="17145" b="10160"/>
            <wp:docPr id="12044891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89133"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354955" cy="3552190"/>
                    </a:xfrm>
                    <a:prstGeom prst="rect">
                      <a:avLst/>
                    </a:prstGeom>
                    <a:noFill/>
                    <a:ln>
                      <a:noFill/>
                    </a:ln>
                  </pic:spPr>
                </pic:pic>
              </a:graphicData>
            </a:graphic>
          </wp:inline>
        </w:drawing>
      </w:r>
    </w:p>
    <w:p w14:paraId="501D5E3E">
      <w:pPr>
        <w:rPr>
          <w:rFonts w:ascii="黑体" w:hAnsi="黑体" w:eastAsia="黑体" w:cs="黑体"/>
          <w:sz w:val="32"/>
          <w:szCs w:val="32"/>
        </w:rPr>
      </w:pPr>
      <w:r>
        <w:rPr>
          <w:rFonts w:hint="eastAsia" w:ascii="黑体" w:hAnsi="黑体" w:eastAsia="黑体" w:cs="黑体"/>
          <w:sz w:val="32"/>
          <w:szCs w:val="32"/>
        </w:rPr>
        <w:t>二、部门整体支出管理及使用情况</w:t>
      </w:r>
    </w:p>
    <w:p w14:paraId="11B55E12">
      <w:pPr>
        <w:rPr>
          <w:rFonts w:ascii="黑体" w:hAnsi="黑体" w:eastAsia="黑体" w:cs="黑体"/>
          <w:sz w:val="32"/>
          <w:szCs w:val="32"/>
        </w:rPr>
      </w:pPr>
      <w:r>
        <w:rPr>
          <w:rFonts w:hint="eastAsia" w:ascii="黑体" w:hAnsi="黑体" w:eastAsia="黑体" w:cs="黑体"/>
          <w:sz w:val="32"/>
          <w:szCs w:val="32"/>
        </w:rPr>
        <w:t>（一）预算执行、使用、管理总体情况。</w:t>
      </w:r>
    </w:p>
    <w:p w14:paraId="75E6A171">
      <w:pPr>
        <w:spacing w:line="360" w:lineRule="auto"/>
        <w:ind w:firstLine="560" w:firstLineChars="200"/>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2023年怀化职业技术学院</w:t>
      </w:r>
      <w:r>
        <w:rPr>
          <w:rFonts w:hint="eastAsia" w:ascii="宋体" w:hAnsi="宋体" w:eastAsia="宋体" w:cs="宋体"/>
          <w:b/>
          <w:bCs/>
          <w:sz w:val="28"/>
          <w:szCs w:val="28"/>
          <w:shd w:val="clear" w:color="auto" w:fill="FFFFFF"/>
        </w:rPr>
        <w:t>年初预算收入</w:t>
      </w:r>
      <w:r>
        <w:rPr>
          <w:rFonts w:hint="eastAsia" w:ascii="宋体" w:hAnsi="宋体" w:eastAsia="宋体" w:cs="宋体"/>
          <w:sz w:val="28"/>
          <w:szCs w:val="28"/>
          <w:shd w:val="clear" w:color="auto" w:fill="FFFFFF"/>
        </w:rPr>
        <w:t>29,167.93万元，预算收入由三部分构成，</w:t>
      </w:r>
      <w:r>
        <w:rPr>
          <w:rFonts w:hint="eastAsia" w:ascii="宋体" w:hAnsi="宋体" w:eastAsia="宋体" w:cs="宋体"/>
          <w:b/>
          <w:bCs/>
          <w:sz w:val="28"/>
          <w:szCs w:val="28"/>
          <w:shd w:val="clear" w:color="auto" w:fill="FFFFFF"/>
        </w:rPr>
        <w:t>一是</w:t>
      </w:r>
      <w:r>
        <w:rPr>
          <w:rFonts w:hint="eastAsia" w:ascii="宋体" w:hAnsi="宋体" w:eastAsia="宋体" w:cs="宋体"/>
          <w:sz w:val="28"/>
          <w:szCs w:val="28"/>
          <w:shd w:val="clear" w:color="auto" w:fill="FFFFFF"/>
        </w:rPr>
        <w:t>一般公共预算财政拨款收入20,749.93万元，</w:t>
      </w:r>
      <w:r>
        <w:rPr>
          <w:rFonts w:hint="eastAsia" w:ascii="宋体" w:hAnsi="宋体" w:eastAsia="宋体" w:cs="宋体"/>
          <w:b/>
          <w:bCs/>
          <w:sz w:val="28"/>
          <w:szCs w:val="28"/>
          <w:shd w:val="clear" w:color="auto" w:fill="FFFFFF"/>
        </w:rPr>
        <w:t>二是</w:t>
      </w:r>
      <w:r>
        <w:rPr>
          <w:rFonts w:hint="eastAsia" w:ascii="宋体" w:hAnsi="宋体" w:eastAsia="宋体" w:cs="宋体"/>
          <w:sz w:val="28"/>
          <w:szCs w:val="28"/>
          <w:shd w:val="clear" w:color="auto" w:fill="FFFFFF"/>
        </w:rPr>
        <w:t>纳入专户管理的非税收入拨款7,140.00 万元，</w:t>
      </w:r>
      <w:r>
        <w:rPr>
          <w:rFonts w:hint="eastAsia" w:ascii="宋体" w:hAnsi="宋体" w:eastAsia="宋体" w:cs="宋体"/>
          <w:b/>
          <w:bCs/>
          <w:sz w:val="28"/>
          <w:szCs w:val="28"/>
          <w:shd w:val="clear" w:color="auto" w:fill="FFFFFF"/>
        </w:rPr>
        <w:t>三是</w:t>
      </w:r>
      <w:r>
        <w:rPr>
          <w:rFonts w:hint="eastAsia" w:ascii="宋体" w:hAnsi="宋体" w:eastAsia="宋体" w:cs="宋体"/>
          <w:sz w:val="28"/>
          <w:szCs w:val="28"/>
          <w:shd w:val="clear" w:color="auto" w:fill="FFFFFF"/>
        </w:rPr>
        <w:t>其他资金1,278.00万元；</w:t>
      </w:r>
    </w:p>
    <w:p w14:paraId="2BCC6224">
      <w:pPr>
        <w:spacing w:line="360" w:lineRule="auto"/>
        <w:ind w:firstLine="560" w:firstLineChars="200"/>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2023年怀化职业技术学院</w:t>
      </w:r>
      <w:r>
        <w:rPr>
          <w:rFonts w:hint="eastAsia" w:ascii="宋体" w:hAnsi="宋体" w:eastAsia="宋体" w:cs="宋体"/>
          <w:b/>
          <w:bCs/>
          <w:sz w:val="28"/>
          <w:szCs w:val="28"/>
          <w:shd w:val="clear" w:color="auto" w:fill="FFFFFF"/>
        </w:rPr>
        <w:t>年初预算支出</w:t>
      </w:r>
      <w:r>
        <w:rPr>
          <w:rFonts w:hint="eastAsia" w:ascii="宋体" w:hAnsi="宋体" w:eastAsia="宋体" w:cs="宋体"/>
          <w:sz w:val="28"/>
          <w:szCs w:val="28"/>
          <w:shd w:val="clear" w:color="auto" w:fill="FFFFFF"/>
        </w:rPr>
        <w:t>29,167.93万元，预算支出由两部分构成，</w:t>
      </w:r>
      <w:r>
        <w:rPr>
          <w:rFonts w:hint="eastAsia" w:ascii="宋体" w:hAnsi="宋体" w:eastAsia="宋体" w:cs="宋体"/>
          <w:b/>
          <w:bCs/>
          <w:sz w:val="28"/>
          <w:szCs w:val="28"/>
          <w:shd w:val="clear" w:color="auto" w:fill="FFFFFF"/>
        </w:rPr>
        <w:t>一是</w:t>
      </w:r>
      <w:r>
        <w:rPr>
          <w:rFonts w:hint="eastAsia" w:ascii="宋体" w:hAnsi="宋体" w:eastAsia="宋体" w:cs="宋体"/>
          <w:sz w:val="28"/>
          <w:szCs w:val="28"/>
          <w:shd w:val="clear" w:color="auto" w:fill="FFFFFF"/>
        </w:rPr>
        <w:t>基本支出6,796.43万元，</w:t>
      </w:r>
      <w:r>
        <w:rPr>
          <w:rFonts w:hint="eastAsia" w:ascii="宋体" w:hAnsi="宋体" w:eastAsia="宋体" w:cs="宋体"/>
          <w:b/>
          <w:bCs/>
          <w:sz w:val="28"/>
          <w:szCs w:val="28"/>
          <w:shd w:val="clear" w:color="auto" w:fill="FFFFFF"/>
        </w:rPr>
        <w:t>二是</w:t>
      </w:r>
      <w:r>
        <w:rPr>
          <w:rFonts w:hint="eastAsia" w:ascii="宋体" w:hAnsi="宋体" w:eastAsia="宋体" w:cs="宋体"/>
          <w:sz w:val="28"/>
          <w:szCs w:val="28"/>
          <w:shd w:val="clear" w:color="auto" w:fill="FFFFFF"/>
        </w:rPr>
        <w:t>项目支出22,371.5万元(含提质扩容建设项目一期工程9,900万元</w:t>
      </w:r>
      <w:r>
        <w:rPr>
          <w:rFonts w:hint="eastAsia" w:ascii="宋体" w:hAnsi="宋体" w:eastAsia="宋体" w:cs="宋体"/>
          <w:sz w:val="28"/>
          <w:szCs w:val="28"/>
          <w:shd w:val="clear" w:color="auto" w:fill="FFFFFF"/>
          <w:lang w:eastAsia="zh-CN"/>
        </w:rPr>
        <w:t>，专项债</w:t>
      </w:r>
      <w:r>
        <w:rPr>
          <w:rFonts w:hint="eastAsia" w:ascii="宋体" w:hAnsi="宋体" w:eastAsia="宋体" w:cs="宋体"/>
          <w:sz w:val="28"/>
          <w:szCs w:val="28"/>
          <w:shd w:val="clear" w:color="auto" w:fill="FFFFFF"/>
        </w:rPr>
        <w:t>）。</w:t>
      </w:r>
    </w:p>
    <w:p w14:paraId="5ADDBCBE">
      <w:pPr>
        <w:spacing w:line="360" w:lineRule="auto"/>
        <w:ind w:firstLine="560" w:firstLineChars="200"/>
        <w:rPr>
          <w:rFonts w:ascii="宋体" w:hAnsi="宋体" w:eastAsia="宋体" w:cs="宋体"/>
          <w:color w:val="0000FF"/>
          <w:sz w:val="28"/>
          <w:szCs w:val="28"/>
          <w:shd w:val="clear" w:color="auto" w:fill="FFFFFF"/>
        </w:rPr>
      </w:pPr>
      <w:r>
        <w:rPr>
          <w:rFonts w:hint="eastAsia" w:ascii="宋体" w:hAnsi="宋体" w:eastAsia="宋体" w:cs="宋体"/>
          <w:sz w:val="28"/>
          <w:szCs w:val="28"/>
          <w:shd w:val="clear" w:color="auto" w:fill="FFFFFF"/>
        </w:rPr>
        <w:t>2023年怀化职业技术学院</w:t>
      </w:r>
      <w:r>
        <w:rPr>
          <w:rFonts w:hint="eastAsia" w:ascii="宋体" w:hAnsi="宋体" w:eastAsia="宋体" w:cs="宋体"/>
          <w:b/>
          <w:bCs/>
          <w:sz w:val="28"/>
          <w:szCs w:val="28"/>
          <w:shd w:val="clear" w:color="auto" w:fill="FFFFFF"/>
        </w:rPr>
        <w:t>收入决算数</w:t>
      </w:r>
      <w:r>
        <w:rPr>
          <w:rFonts w:hint="eastAsia" w:ascii="宋体" w:hAnsi="宋体" w:eastAsia="宋体" w:cs="宋体"/>
          <w:sz w:val="28"/>
          <w:szCs w:val="28"/>
          <w:shd w:val="clear" w:color="auto" w:fill="FFFFFF"/>
        </w:rPr>
        <w:t>20,384.38万元，一般公共预算财政拨款收入9,798.14万元，纳入专户管理的非税收入拨款7,013.53万元，其他资金3,572.71万元。</w:t>
      </w:r>
    </w:p>
    <w:p w14:paraId="079EB1AC">
      <w:pPr>
        <w:spacing w:line="360" w:lineRule="auto"/>
        <w:ind w:firstLine="560" w:firstLineChars="200"/>
      </w:pPr>
      <w:r>
        <w:rPr>
          <w:rFonts w:hint="eastAsia" w:ascii="宋体" w:hAnsi="宋体" w:eastAsia="宋体" w:cs="宋体"/>
          <w:sz w:val="28"/>
          <w:szCs w:val="28"/>
          <w:shd w:val="clear" w:color="auto" w:fill="FFFFFF"/>
        </w:rPr>
        <w:t>2023年怀化职业技术学院</w:t>
      </w:r>
      <w:r>
        <w:rPr>
          <w:rFonts w:hint="eastAsia" w:ascii="宋体" w:hAnsi="宋体" w:eastAsia="宋体" w:cs="宋体"/>
          <w:b/>
          <w:bCs/>
          <w:sz w:val="28"/>
          <w:szCs w:val="28"/>
          <w:shd w:val="clear" w:color="auto" w:fill="FFFFFF"/>
        </w:rPr>
        <w:t>支出决算数</w:t>
      </w:r>
      <w:r>
        <w:rPr>
          <w:rFonts w:hint="eastAsia" w:ascii="宋体" w:hAnsi="宋体" w:eastAsia="宋体" w:cs="宋体"/>
          <w:sz w:val="28"/>
          <w:szCs w:val="28"/>
          <w:shd w:val="clear" w:color="auto" w:fill="FFFFFF"/>
        </w:rPr>
        <w:t>20,384.38万元，基本支出14,324.48万元，项目支出6,059.9万元。</w:t>
      </w:r>
    </w:p>
    <w:p w14:paraId="6E12D57E">
      <w:pPr>
        <w:rPr>
          <w:rFonts w:ascii="黑体" w:hAnsi="黑体" w:eastAsia="黑体" w:cs="黑体"/>
          <w:sz w:val="32"/>
          <w:szCs w:val="32"/>
        </w:rPr>
      </w:pPr>
      <w:r>
        <w:rPr>
          <w:rFonts w:hint="eastAsia" w:ascii="黑体" w:hAnsi="黑体" w:eastAsia="黑体" w:cs="黑体"/>
          <w:sz w:val="32"/>
          <w:szCs w:val="32"/>
        </w:rPr>
        <w:t>（二）部门预算执行情况</w:t>
      </w:r>
    </w:p>
    <w:p w14:paraId="639543F3">
      <w:pPr>
        <w:rPr>
          <w:rFonts w:ascii="黑体" w:hAnsi="黑体" w:eastAsia="黑体" w:cs="黑体"/>
          <w:sz w:val="32"/>
          <w:szCs w:val="32"/>
        </w:rPr>
      </w:pPr>
      <w:r>
        <w:rPr>
          <w:rFonts w:hint="eastAsia" w:ascii="黑体" w:hAnsi="黑体" w:eastAsia="黑体" w:cs="黑体"/>
          <w:sz w:val="32"/>
          <w:szCs w:val="32"/>
        </w:rPr>
        <w:t xml:space="preserve"> 1、基本支出情况</w:t>
      </w:r>
    </w:p>
    <w:p w14:paraId="705CA0CF">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基本支出是保障学校机构正常运转、完成日常工作任务而发生的各项支出，2023年度基本支出决算数</w:t>
      </w:r>
      <w:r>
        <w:rPr>
          <w:rFonts w:hint="eastAsia" w:ascii="宋体" w:hAnsi="宋体" w:eastAsia="宋体" w:cs="宋体"/>
          <w:sz w:val="28"/>
          <w:szCs w:val="28"/>
          <w:shd w:val="clear" w:color="auto" w:fill="FFFFFF"/>
        </w:rPr>
        <w:t>14</w:t>
      </w:r>
      <w:r>
        <w:rPr>
          <w:rFonts w:hint="eastAsia" w:ascii="宋体" w:hAnsi="宋体" w:eastAsia="宋体" w:cs="宋体"/>
          <w:sz w:val="28"/>
          <w:szCs w:val="28"/>
          <w:shd w:val="clear" w:color="auto" w:fill="FFFFFF"/>
          <w:lang w:val="en-US" w:eastAsia="zh-CN"/>
        </w:rPr>
        <w:t>,</w:t>
      </w:r>
      <w:r>
        <w:rPr>
          <w:rFonts w:hint="eastAsia" w:ascii="宋体" w:hAnsi="宋体" w:eastAsia="宋体" w:cs="宋体"/>
          <w:sz w:val="28"/>
          <w:szCs w:val="28"/>
          <w:shd w:val="clear" w:color="auto" w:fill="FFFFFF"/>
        </w:rPr>
        <w:t>324.48</w:t>
      </w:r>
      <w:r>
        <w:rPr>
          <w:rFonts w:hint="eastAsia" w:ascii="宋体" w:hAnsi="宋体" w:eastAsia="宋体" w:cs="宋体"/>
          <w:sz w:val="28"/>
          <w:szCs w:val="28"/>
        </w:rPr>
        <w:t>万元,其中：</w:t>
      </w:r>
    </w:p>
    <w:p w14:paraId="2C9215BE">
      <w:pPr>
        <w:numPr>
          <w:ilvl w:val="0"/>
          <w:numId w:val="3"/>
        </w:num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工资福利支出8</w:t>
      </w:r>
      <w:r>
        <w:rPr>
          <w:rFonts w:hint="eastAsia" w:ascii="宋体" w:hAnsi="宋体" w:eastAsia="宋体" w:cs="宋体"/>
          <w:sz w:val="28"/>
          <w:szCs w:val="28"/>
          <w:shd w:val="clear" w:color="auto" w:fill="FFFFFF"/>
          <w:lang w:val="en-US" w:eastAsia="zh-CN"/>
        </w:rPr>
        <w:t>,</w:t>
      </w:r>
      <w:r>
        <w:rPr>
          <w:rFonts w:hint="eastAsia" w:ascii="宋体" w:hAnsi="宋体" w:eastAsia="宋体" w:cs="宋体"/>
          <w:sz w:val="28"/>
          <w:szCs w:val="28"/>
        </w:rPr>
        <w:t>614.82万元。主要包括基本工资、津贴补贴、奖金、绩效工资及五险一金等人员（含退休人员）经费支出。</w:t>
      </w:r>
    </w:p>
    <w:p w14:paraId="7B58ED44">
      <w:pPr>
        <w:spacing w:line="360" w:lineRule="auto"/>
        <w:ind w:firstLine="560" w:firstLineChars="200"/>
        <w:rPr>
          <w:rFonts w:ascii="宋体" w:hAnsi="宋体" w:eastAsia="宋体" w:cs="宋体"/>
          <w:color w:val="0000FF"/>
          <w:sz w:val="28"/>
          <w:szCs w:val="28"/>
        </w:rPr>
      </w:pPr>
      <w:r>
        <w:rPr>
          <w:rFonts w:hint="eastAsia" w:ascii="宋体" w:hAnsi="宋体" w:eastAsia="宋体" w:cs="宋体"/>
          <w:sz w:val="28"/>
          <w:szCs w:val="28"/>
        </w:rPr>
        <w:t>（2）商品和服务支出3</w:t>
      </w:r>
      <w:r>
        <w:rPr>
          <w:rFonts w:hint="eastAsia" w:ascii="宋体" w:hAnsi="宋体" w:eastAsia="宋体" w:cs="宋体"/>
          <w:sz w:val="28"/>
          <w:szCs w:val="28"/>
          <w:shd w:val="clear" w:color="auto" w:fill="FFFFFF"/>
          <w:lang w:val="en-US" w:eastAsia="zh-CN"/>
        </w:rPr>
        <w:t>,</w:t>
      </w:r>
      <w:r>
        <w:rPr>
          <w:rFonts w:hint="eastAsia" w:ascii="宋体" w:hAnsi="宋体" w:eastAsia="宋体" w:cs="宋体"/>
          <w:sz w:val="28"/>
          <w:szCs w:val="28"/>
        </w:rPr>
        <w:t>664.45万元。主要包括办公费、印刷费、水费、电费、邮电费、物业管理费、交通费、差旅费、维修（护）费、会议费、培训费、公务接待费、劳务费、工会经费、公务用车运行维护费等。</w:t>
      </w:r>
    </w:p>
    <w:p w14:paraId="1D934257">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（3）对个人和家庭补助支出635.30万元。包括奖助学金及其他对个人和家庭的补助等。</w:t>
      </w:r>
    </w:p>
    <w:p w14:paraId="3564C82A">
      <w:pPr>
        <w:pStyle w:val="8"/>
        <w:rPr>
          <w:rFonts w:ascii="宋体" w:hAnsi="宋体" w:cs="宋体"/>
          <w:color w:val="auto"/>
          <w:sz w:val="28"/>
          <w:szCs w:val="28"/>
        </w:rPr>
      </w:pPr>
      <w:r>
        <w:rPr>
          <w:rFonts w:hint="eastAsia" w:ascii="宋体" w:hAnsi="宋体" w:cs="宋体"/>
          <w:sz w:val="28"/>
          <w:szCs w:val="28"/>
        </w:rPr>
        <w:t>（4）债务利息1</w:t>
      </w:r>
      <w:r>
        <w:rPr>
          <w:rFonts w:hint="eastAsia" w:ascii="宋体" w:hAnsi="宋体" w:eastAsia="宋体" w:cs="宋体"/>
          <w:sz w:val="28"/>
          <w:szCs w:val="28"/>
          <w:shd w:val="clear" w:color="auto" w:fill="FFFFFF"/>
          <w:lang w:val="en-US" w:eastAsia="zh-CN"/>
        </w:rPr>
        <w:t>,</w:t>
      </w:r>
      <w:r>
        <w:rPr>
          <w:rFonts w:hint="eastAsia" w:ascii="宋体" w:hAnsi="宋体" w:cs="宋体"/>
          <w:sz w:val="28"/>
          <w:szCs w:val="28"/>
        </w:rPr>
        <w:t>070.08万元</w:t>
      </w:r>
      <w:r>
        <w:rPr>
          <w:rFonts w:hint="eastAsia" w:ascii="宋体" w:hAnsi="宋体" w:cs="宋体"/>
          <w:color w:val="auto"/>
          <w:sz w:val="28"/>
          <w:szCs w:val="28"/>
        </w:rPr>
        <w:t>。主要用于归还</w:t>
      </w:r>
      <w:r>
        <w:rPr>
          <w:rFonts w:hint="eastAsia" w:ascii="宋体" w:hAnsi="宋体" w:cs="宋体"/>
          <w:color w:val="auto"/>
          <w:sz w:val="28"/>
          <w:szCs w:val="28"/>
          <w:lang w:eastAsia="zh-CN"/>
        </w:rPr>
        <w:t>银行</w:t>
      </w:r>
      <w:r>
        <w:rPr>
          <w:rFonts w:hint="eastAsia" w:ascii="宋体" w:hAnsi="宋体" w:cs="宋体"/>
          <w:color w:val="auto"/>
          <w:sz w:val="28"/>
          <w:szCs w:val="28"/>
        </w:rPr>
        <w:t>借款利息。</w:t>
      </w:r>
    </w:p>
    <w:p w14:paraId="55741C6F">
      <w:pPr>
        <w:ind w:firstLine="560" w:firstLineChars="200"/>
      </w:pPr>
      <w:r>
        <w:rPr>
          <w:rFonts w:hint="eastAsia" w:ascii="宋体" w:hAnsi="宋体" w:eastAsia="宋体" w:cs="宋体"/>
          <w:sz w:val="28"/>
          <w:szCs w:val="28"/>
        </w:rPr>
        <w:t>（5）资本性支出339.83万元。主要用于教学仪器设备购置等支出。</w:t>
      </w:r>
    </w:p>
    <w:p w14:paraId="0999E9D9">
      <w:pPr>
        <w:numPr>
          <w:ilvl w:val="0"/>
          <w:numId w:val="4"/>
        </w:numPr>
        <w:ind w:firstLine="320" w:firstLineChars="100"/>
        <w:rPr>
          <w:rFonts w:hint="eastAsia" w:ascii="宋体" w:hAnsi="宋体" w:eastAsia="宋体" w:cs="宋体"/>
          <w:kern w:val="2"/>
          <w:sz w:val="28"/>
          <w:szCs w:val="28"/>
          <w:lang w:val="en-US" w:eastAsia="zh-CN" w:bidi="ar-SA"/>
        </w:rPr>
      </w:pPr>
      <w:r>
        <w:rPr>
          <w:rFonts w:hint="eastAsia" w:ascii="黑体" w:hAnsi="黑体" w:eastAsia="黑体" w:cs="黑体"/>
          <w:sz w:val="32"/>
          <w:szCs w:val="32"/>
        </w:rPr>
        <w:t>项目支出情况</w:t>
      </w:r>
    </w:p>
    <w:p w14:paraId="70ACE001">
      <w:pPr>
        <w:pStyle w:val="9"/>
        <w:spacing w:line="360" w:lineRule="auto"/>
        <w:ind w:firstLine="560" w:firstLineChars="200"/>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2023年怀化职业技术学院度项目支出决算数6,059.90万元，本年度执行的主要项目支出主要包括：2022年度征兵经费、安江农校防雷工程、安江纪念园专项业务（工作）经费、三亚南繁基地工作经费、奖助学金、应征入伍兵役补偿及退役士兵助学、2021年国家文物保护专项、求职创业补贴、提质扩容项目（一期）、2023年度双一流专项等。</w:t>
      </w:r>
    </w:p>
    <w:p w14:paraId="3D765D0E">
      <w:pPr>
        <w:ind w:firstLine="320" w:firstLineChars="100"/>
        <w:rPr>
          <w:rFonts w:ascii="黑体" w:hAnsi="黑体" w:eastAsia="黑体" w:cs="黑体"/>
          <w:sz w:val="32"/>
          <w:szCs w:val="32"/>
        </w:rPr>
      </w:pPr>
      <w:r>
        <w:rPr>
          <w:rFonts w:hint="eastAsia" w:ascii="黑体" w:hAnsi="黑体" w:eastAsia="黑体" w:cs="黑体"/>
          <w:sz w:val="32"/>
          <w:szCs w:val="32"/>
        </w:rPr>
        <w:t>（三）“三公”经费使用和管理情况</w:t>
      </w:r>
    </w:p>
    <w:p w14:paraId="00DCC525">
      <w:pPr>
        <w:ind w:firstLine="560" w:firstLineChars="200"/>
        <w:rPr>
          <w:rFonts w:ascii="宋体" w:hAnsi="宋体" w:eastAsia="宋体" w:cs="宋体"/>
          <w:sz w:val="28"/>
          <w:szCs w:val="28"/>
        </w:rPr>
      </w:pPr>
      <w:r>
        <w:rPr>
          <w:rFonts w:hint="eastAsia" w:ascii="宋体" w:hAnsi="宋体" w:eastAsia="宋体" w:cs="宋体"/>
          <w:sz w:val="28"/>
          <w:szCs w:val="28"/>
        </w:rPr>
        <w:t>学校严格执行财政部门批复下发的 “三公”经费的控制数。2023年“三公“经费控制预算数为85,000元，支出决算为78,469.14 元，完成预算的92.32%。其中：</w:t>
      </w:r>
    </w:p>
    <w:p w14:paraId="3083D4DD">
      <w:pPr>
        <w:ind w:firstLine="562" w:firstLineChars="200"/>
        <w:rPr>
          <w:rFonts w:ascii="宋体" w:hAnsi="宋体" w:eastAsia="宋体" w:cs="宋体"/>
          <w:sz w:val="28"/>
          <w:szCs w:val="28"/>
        </w:rPr>
      </w:pPr>
      <w:r>
        <w:rPr>
          <w:rFonts w:hint="eastAsia" w:ascii="宋体" w:hAnsi="宋体" w:eastAsia="宋体" w:cs="宋体"/>
          <w:b/>
          <w:bCs/>
          <w:sz w:val="28"/>
          <w:szCs w:val="28"/>
        </w:rPr>
        <w:t>1、公务接待费</w:t>
      </w:r>
      <w:r>
        <w:rPr>
          <w:rFonts w:hint="eastAsia" w:ascii="宋体" w:hAnsi="宋体" w:eastAsia="宋体" w:cs="宋体"/>
          <w:sz w:val="28"/>
          <w:szCs w:val="28"/>
        </w:rPr>
        <w:t>预算公开数为40,000元，实际支出数为 15,014元；全年公接待69批次，接待人数263人。主要是指导工作、考察调研、学习交流、联系工作等发生的接待支出。2023年度公务接待费支出决算数小于预算数的主要原因：学校落实过“紧日子”的要求，勤俭节约，减少不必要的公务接待费；</w:t>
      </w:r>
    </w:p>
    <w:p w14:paraId="4C89F382">
      <w:pPr>
        <w:ind w:firstLine="562" w:firstLineChars="200"/>
        <w:rPr>
          <w:rFonts w:ascii="宋体" w:hAnsi="宋体" w:eastAsia="宋体" w:cs="宋体"/>
          <w:sz w:val="28"/>
          <w:szCs w:val="28"/>
        </w:rPr>
      </w:pPr>
      <w:r>
        <w:rPr>
          <w:rFonts w:hint="eastAsia" w:ascii="宋体" w:hAnsi="宋体" w:eastAsia="宋体" w:cs="宋体"/>
          <w:b/>
          <w:bCs/>
          <w:sz w:val="28"/>
          <w:szCs w:val="28"/>
        </w:rPr>
        <w:t>2、公务用车运行维护费</w:t>
      </w:r>
      <w:r>
        <w:rPr>
          <w:rFonts w:hint="eastAsia" w:ascii="宋体" w:hAnsi="宋体" w:eastAsia="宋体" w:cs="宋体"/>
          <w:sz w:val="28"/>
          <w:szCs w:val="28"/>
        </w:rPr>
        <w:t>预算公开数45,000元，实际支出数为63,455.14元；主要是车辆用油和车辆维修费、保险费支出。我校公务用车保有2辆。2023年度公务用车运行维护费支出决算数大于预算数的主要原因：公车使用时间均长达10余年，车辆老旧，维修频率高，维护成本大。本年度工作任务重，公务用车使用较去年多。</w:t>
      </w:r>
    </w:p>
    <w:p w14:paraId="634FA3AB">
      <w:pPr>
        <w:ind w:firstLine="562" w:firstLineChars="200"/>
        <w:rPr>
          <w:rFonts w:ascii="宋体" w:hAnsi="宋体" w:eastAsia="宋体" w:cs="宋体"/>
          <w:sz w:val="28"/>
          <w:szCs w:val="28"/>
        </w:rPr>
      </w:pPr>
      <w:r>
        <w:rPr>
          <w:rFonts w:hint="eastAsia" w:ascii="宋体" w:hAnsi="宋体" w:eastAsia="宋体" w:cs="宋体"/>
          <w:b/>
          <w:bCs/>
          <w:sz w:val="28"/>
          <w:szCs w:val="28"/>
        </w:rPr>
        <w:t>3、因公出国（境）费用</w:t>
      </w:r>
      <w:r>
        <w:rPr>
          <w:rFonts w:hint="eastAsia" w:ascii="宋体" w:hAnsi="宋体" w:eastAsia="宋体" w:cs="宋体"/>
          <w:sz w:val="28"/>
          <w:szCs w:val="28"/>
        </w:rPr>
        <w:t>。2023年无发生数。</w:t>
      </w:r>
    </w:p>
    <w:p w14:paraId="0146CCC3">
      <w:pPr>
        <w:pStyle w:val="8"/>
        <w:ind w:left="0" w:leftChars="0" w:firstLine="560" w:firstLineChars="200"/>
        <w:rPr>
          <w:rFonts w:ascii="宋体" w:hAnsi="宋体" w:cs="宋体"/>
          <w:sz w:val="28"/>
          <w:szCs w:val="28"/>
        </w:rPr>
      </w:pPr>
      <w:r>
        <w:rPr>
          <w:rFonts w:hint="eastAsia" w:ascii="宋体" w:hAnsi="宋体" w:cs="宋体"/>
          <w:sz w:val="28"/>
          <w:szCs w:val="28"/>
        </w:rPr>
        <w:t>按照怀化市委办公室、市政府办公室《关于党政机关国内公务接待管理实施细则（试行）》（怀办发【2014】5号）、《关于明确市直党政机关公务活动用餐有关事项的通知》（怀财行【2018】156号）、《怀化职业技术学院公务用车及公务交通费用管理规定》（怀职院办发【2020】2号）等相关文件精神，所有公务接待由党政办公室统筹管理，对能够合并的公务接待实行统筹安排。在接待费管理中，公务接待报销必须含有：公务接待申请单，公务接待清单，公函或学校邀请函，正式且合规的发票，菜单，电子支付记录。制定</w:t>
      </w:r>
      <w:r>
        <w:rPr>
          <w:rFonts w:hint="eastAsia"/>
          <w:sz w:val="28"/>
          <w:szCs w:val="28"/>
        </w:rPr>
        <w:t>《怀化职业技术学院公务用车及公务交通费用管理规定》（怀职院办发【2020】2号），公务用车统一由党政办公室负责调度，并在湖南省公务用车信息化管理平台填写派车手续后通知出车。同时对车辆使用范围、车辆管理、报销管理做了详细要求。</w:t>
      </w:r>
    </w:p>
    <w:p w14:paraId="142A0F10">
      <w:pPr>
        <w:rPr>
          <w:rFonts w:ascii="黑体" w:hAnsi="黑体" w:eastAsia="黑体" w:cs="黑体"/>
          <w:sz w:val="32"/>
          <w:szCs w:val="32"/>
        </w:rPr>
      </w:pPr>
      <w:r>
        <w:rPr>
          <w:rFonts w:hint="eastAsia" w:ascii="黑体" w:hAnsi="黑体" w:eastAsia="黑体" w:cs="黑体"/>
          <w:sz w:val="32"/>
          <w:szCs w:val="32"/>
        </w:rPr>
        <w:t>三、政府性基金预算支出情况</w:t>
      </w:r>
    </w:p>
    <w:p w14:paraId="2C909176">
      <w:pPr>
        <w:pStyle w:val="8"/>
        <w:ind w:left="0" w:leftChars="0"/>
        <w:jc w:val="center"/>
        <w:rPr>
          <w:rFonts w:ascii="宋体" w:hAnsi="宋体" w:cs="宋体"/>
          <w:sz w:val="28"/>
          <w:szCs w:val="28"/>
        </w:rPr>
      </w:pPr>
      <w:r>
        <w:rPr>
          <w:rFonts w:hint="eastAsia" w:ascii="宋体" w:hAnsi="宋体" w:cs="宋体"/>
          <w:sz w:val="28"/>
          <w:szCs w:val="28"/>
        </w:rPr>
        <w:t>无</w:t>
      </w:r>
    </w:p>
    <w:p w14:paraId="41292722">
      <w:pPr>
        <w:rPr>
          <w:rFonts w:ascii="黑体" w:hAnsi="黑体" w:eastAsia="黑体" w:cs="黑体"/>
          <w:sz w:val="32"/>
          <w:szCs w:val="32"/>
        </w:rPr>
      </w:pPr>
      <w:r>
        <w:rPr>
          <w:rFonts w:hint="eastAsia" w:ascii="黑体" w:hAnsi="黑体" w:eastAsia="黑体" w:cs="黑体"/>
          <w:sz w:val="32"/>
          <w:szCs w:val="32"/>
        </w:rPr>
        <w:t>四、国有资本经营预算支出情况</w:t>
      </w:r>
    </w:p>
    <w:p w14:paraId="62CF1B94">
      <w:pPr>
        <w:pStyle w:val="8"/>
        <w:ind w:left="0" w:leftChars="0"/>
        <w:jc w:val="center"/>
        <w:rPr>
          <w:rFonts w:ascii="宋体" w:hAnsi="宋体" w:cs="宋体"/>
          <w:sz w:val="28"/>
          <w:szCs w:val="28"/>
        </w:rPr>
      </w:pPr>
      <w:r>
        <w:rPr>
          <w:rFonts w:hint="eastAsia" w:ascii="宋体" w:hAnsi="宋体" w:cs="宋体"/>
          <w:sz w:val="28"/>
          <w:szCs w:val="28"/>
        </w:rPr>
        <w:t>无</w:t>
      </w:r>
    </w:p>
    <w:p w14:paraId="3E61E537">
      <w:pPr>
        <w:rPr>
          <w:rFonts w:ascii="黑体" w:hAnsi="黑体" w:eastAsia="黑体" w:cs="黑体"/>
          <w:sz w:val="32"/>
          <w:szCs w:val="32"/>
        </w:rPr>
      </w:pPr>
      <w:r>
        <w:rPr>
          <w:rFonts w:hint="eastAsia" w:ascii="黑体" w:hAnsi="黑体" w:eastAsia="黑体" w:cs="黑体"/>
          <w:sz w:val="32"/>
          <w:szCs w:val="32"/>
        </w:rPr>
        <w:t>五、社会保险基金预算支出情况</w:t>
      </w:r>
    </w:p>
    <w:p w14:paraId="4CA350C3">
      <w:pPr>
        <w:pStyle w:val="8"/>
        <w:ind w:left="0" w:leftChars="0"/>
        <w:jc w:val="center"/>
        <w:rPr>
          <w:rFonts w:ascii="宋体" w:hAnsi="宋体" w:cs="宋体"/>
          <w:sz w:val="28"/>
          <w:szCs w:val="28"/>
        </w:rPr>
      </w:pPr>
      <w:r>
        <w:rPr>
          <w:rFonts w:hint="eastAsia" w:ascii="宋体" w:hAnsi="宋体" w:cs="宋体"/>
          <w:sz w:val="28"/>
          <w:szCs w:val="28"/>
        </w:rPr>
        <w:t>无</w:t>
      </w:r>
    </w:p>
    <w:p w14:paraId="305E2441">
      <w:pPr>
        <w:numPr>
          <w:ilvl w:val="0"/>
          <w:numId w:val="5"/>
        </w:numPr>
        <w:rPr>
          <w:rFonts w:ascii="黑体" w:hAnsi="黑体" w:eastAsia="黑体" w:cs="黑体"/>
          <w:sz w:val="32"/>
          <w:szCs w:val="32"/>
        </w:rPr>
      </w:pPr>
      <w:r>
        <w:rPr>
          <w:rFonts w:hint="eastAsia" w:ascii="黑体" w:hAnsi="黑体" w:eastAsia="黑体" w:cs="黑体"/>
          <w:sz w:val="32"/>
          <w:szCs w:val="32"/>
        </w:rPr>
        <w:t>部门整体支出绩效情况</w:t>
      </w:r>
    </w:p>
    <w:p w14:paraId="26A19C2B">
      <w:pPr>
        <w:pStyle w:val="8"/>
        <w:numPr>
          <w:ilvl w:val="0"/>
          <w:numId w:val="6"/>
        </w:numPr>
        <w:rPr>
          <w:rFonts w:ascii="宋体" w:hAnsi="宋体" w:cs="宋体"/>
          <w:sz w:val="30"/>
          <w:szCs w:val="30"/>
        </w:rPr>
      </w:pPr>
      <w:r>
        <w:rPr>
          <w:rFonts w:hint="eastAsia" w:ascii="宋体" w:hAnsi="宋体" w:cs="宋体"/>
          <w:sz w:val="30"/>
          <w:szCs w:val="30"/>
        </w:rPr>
        <w:t>综合评价结论。</w:t>
      </w:r>
    </w:p>
    <w:p w14:paraId="40BCA0AA">
      <w:pPr>
        <w:ind w:firstLine="560" w:firstLineChars="200"/>
        <w:rPr>
          <w:rFonts w:ascii="宋体" w:hAnsi="宋体" w:eastAsia="宋体" w:cs="宋体"/>
          <w:sz w:val="30"/>
          <w:szCs w:val="30"/>
        </w:rPr>
      </w:pPr>
      <w:r>
        <w:rPr>
          <w:rFonts w:hint="eastAsia" w:ascii="宋体" w:hAnsi="宋体" w:eastAsia="宋体" w:cs="宋体"/>
          <w:kern w:val="2"/>
          <w:sz w:val="28"/>
          <w:szCs w:val="28"/>
          <w:lang w:val="en-US" w:eastAsia="zh-CN" w:bidi="ar-SA"/>
        </w:rPr>
        <w:t>怀化职业技术学院成立了绩效自评工作小组，认真组织开展自评工作。2023年我校整体支出绩效评价得分是94.99分。部门整体绩效目标与部门职责职能、部门年度重点工作任务相匹配，为部门履职尽责明确了方向；部门预算配置较为合理，重点工作任务资金安排得到有效保障；部门各项经费支出合法合规，不存在专项资金的挤占、挪用、截留等违规现象，较好完成了2023年整体绩效目标</w:t>
      </w:r>
      <w:r>
        <w:rPr>
          <w:rFonts w:hint="eastAsia" w:ascii="宋体" w:hAnsi="宋体" w:eastAsia="宋体" w:cs="宋体"/>
          <w:sz w:val="30"/>
          <w:szCs w:val="30"/>
        </w:rPr>
        <w:t>。</w:t>
      </w:r>
    </w:p>
    <w:p w14:paraId="55C86D41">
      <w:pPr>
        <w:pStyle w:val="8"/>
        <w:numPr>
          <w:ilvl w:val="0"/>
          <w:numId w:val="6"/>
        </w:numPr>
        <w:rPr>
          <w:rFonts w:ascii="宋体" w:hAnsi="宋体" w:cs="宋体"/>
          <w:sz w:val="30"/>
          <w:szCs w:val="30"/>
        </w:rPr>
      </w:pPr>
      <w:r>
        <w:rPr>
          <w:rFonts w:hint="eastAsia" w:ascii="宋体" w:hAnsi="宋体" w:cs="宋体"/>
          <w:sz w:val="30"/>
          <w:szCs w:val="30"/>
        </w:rPr>
        <w:t>综合评价情况。</w:t>
      </w:r>
    </w:p>
    <w:p w14:paraId="05144B81">
      <w:pPr>
        <w:spacing w:line="600" w:lineRule="exact"/>
        <w:ind w:firstLine="562" w:firstLineChars="200"/>
        <w:rPr>
          <w:rFonts w:ascii="宋体" w:hAnsi="宋体" w:eastAsia="宋体" w:cs="宋体"/>
          <w:color w:val="000000"/>
          <w:sz w:val="28"/>
          <w:szCs w:val="28"/>
        </w:rPr>
      </w:pPr>
      <w:r>
        <w:rPr>
          <w:rFonts w:hint="eastAsia" w:ascii="宋体" w:hAnsi="宋体" w:eastAsia="宋体" w:cs="宋体"/>
          <w:b/>
          <w:bCs/>
          <w:color w:val="000000"/>
          <w:sz w:val="28"/>
          <w:szCs w:val="28"/>
        </w:rPr>
        <w:t>1、领导重视前所未有，办学保障水平大幅提升。</w:t>
      </w:r>
      <w:r>
        <w:rPr>
          <w:rFonts w:hint="eastAsia" w:ascii="宋体" w:hAnsi="宋体" w:eastAsia="宋体" w:cs="宋体"/>
          <w:color w:val="000000"/>
          <w:sz w:val="28"/>
          <w:szCs w:val="28"/>
        </w:rPr>
        <w:t>2023年5月17日，省委书记沈晓明来学校调研指导，要求学校“要立足专业优势，加大高素质技能人才培养力度，完善就业服务工作机制，深化校企合作，促进毕业生高质量充分就业”。市委书记许忠建、市长黎春秋先后5次到学校进行调研指导，对学校申本工作、“学习袁隆平 做一粒好种子”等工作提出明确要求。市委市政府先后在北京、长沙、怀化举办“一粒种子 改变世界”原创民族音乐会，社会反响强烈。学校提质扩容一期工程项目建设，第二食堂、</w:t>
      </w:r>
      <w:r>
        <w:rPr>
          <w:rFonts w:hint="eastAsia" w:ascii="宋体" w:hAnsi="宋体" w:eastAsia="宋体" w:cs="宋体"/>
          <w:color w:val="000000"/>
          <w:sz w:val="28"/>
          <w:szCs w:val="28"/>
          <w:lang w:eastAsia="zh-CN"/>
        </w:rPr>
        <w:t>学生宿舍、</w:t>
      </w:r>
      <w:r>
        <w:rPr>
          <w:rFonts w:hint="eastAsia" w:ascii="宋体" w:hAnsi="宋体" w:eastAsia="宋体" w:cs="宋体"/>
          <w:color w:val="000000"/>
          <w:sz w:val="28"/>
          <w:szCs w:val="28"/>
        </w:rPr>
        <w:t>综合教学实训楼</w:t>
      </w:r>
      <w:r>
        <w:rPr>
          <w:rFonts w:hint="eastAsia" w:ascii="宋体" w:hAnsi="宋体" w:eastAsia="宋体" w:cs="宋体"/>
          <w:color w:val="000000"/>
          <w:sz w:val="28"/>
          <w:szCs w:val="28"/>
          <w:lang w:eastAsia="zh-CN"/>
        </w:rPr>
        <w:t>已投入使用</w:t>
      </w:r>
      <w:r>
        <w:rPr>
          <w:rFonts w:hint="eastAsia" w:ascii="宋体" w:hAnsi="宋体" w:eastAsia="宋体" w:cs="宋体"/>
          <w:color w:val="000000"/>
          <w:sz w:val="28"/>
          <w:szCs w:val="28"/>
          <w:lang w:val="en-US" w:eastAsia="zh-CN"/>
        </w:rPr>
        <w:t>,</w:t>
      </w:r>
      <w:r>
        <w:rPr>
          <w:rFonts w:hint="eastAsia" w:ascii="宋体" w:hAnsi="宋体" w:eastAsia="宋体" w:cs="宋体"/>
          <w:color w:val="000000"/>
          <w:sz w:val="28"/>
          <w:szCs w:val="28"/>
        </w:rPr>
        <w:t>创新创业服务中心、后勤及附属用房陆续完成主体工程，即将验收交付，校园基础设施建设全面改善，师生的学习、工作、生活条件得到大幅提升。目前，学校教学行政用房总面积136</w:t>
      </w:r>
      <w:r>
        <w:rPr>
          <w:rFonts w:hint="eastAsia" w:ascii="宋体" w:hAnsi="宋体" w:eastAsia="宋体" w:cs="宋体"/>
          <w:sz w:val="28"/>
          <w:szCs w:val="28"/>
          <w:shd w:val="clear" w:color="auto" w:fill="FFFFFF"/>
          <w:lang w:val="en-US" w:eastAsia="zh-CN"/>
        </w:rPr>
        <w:t>,</w:t>
      </w:r>
      <w:r>
        <w:rPr>
          <w:rFonts w:hint="eastAsia" w:ascii="宋体" w:hAnsi="宋体" w:eastAsia="宋体" w:cs="宋体"/>
          <w:color w:val="000000"/>
          <w:sz w:val="28"/>
          <w:szCs w:val="28"/>
        </w:rPr>
        <w:t>348.68平方米，新增55</w:t>
      </w:r>
      <w:r>
        <w:rPr>
          <w:rFonts w:hint="eastAsia" w:ascii="宋体" w:hAnsi="宋体" w:eastAsia="宋体" w:cs="宋体"/>
          <w:sz w:val="28"/>
          <w:szCs w:val="28"/>
          <w:shd w:val="clear" w:color="auto" w:fill="FFFFFF"/>
          <w:lang w:val="en-US" w:eastAsia="zh-CN"/>
        </w:rPr>
        <w:t>,</w:t>
      </w:r>
      <w:r>
        <w:rPr>
          <w:rFonts w:hint="eastAsia" w:ascii="宋体" w:hAnsi="宋体" w:eastAsia="宋体" w:cs="宋体"/>
          <w:color w:val="000000"/>
          <w:sz w:val="28"/>
          <w:szCs w:val="28"/>
        </w:rPr>
        <w:t>852.46平方米，图书721</w:t>
      </w:r>
      <w:r>
        <w:rPr>
          <w:rFonts w:hint="eastAsia" w:ascii="宋体" w:hAnsi="宋体" w:eastAsia="宋体" w:cs="宋体"/>
          <w:sz w:val="28"/>
          <w:szCs w:val="28"/>
          <w:shd w:val="clear" w:color="auto" w:fill="FFFFFF"/>
          <w:lang w:val="en-US" w:eastAsia="zh-CN"/>
        </w:rPr>
        <w:t>,</w:t>
      </w:r>
      <w:r>
        <w:rPr>
          <w:rFonts w:hint="eastAsia" w:ascii="宋体" w:hAnsi="宋体" w:eastAsia="宋体" w:cs="宋体"/>
          <w:color w:val="000000"/>
          <w:sz w:val="28"/>
          <w:szCs w:val="28"/>
        </w:rPr>
        <w:t>447册，新增117</w:t>
      </w:r>
      <w:r>
        <w:rPr>
          <w:rFonts w:hint="eastAsia" w:ascii="宋体" w:hAnsi="宋体" w:eastAsia="宋体" w:cs="宋体"/>
          <w:color w:val="000000"/>
          <w:sz w:val="28"/>
          <w:szCs w:val="28"/>
          <w:lang w:val="en-US" w:eastAsia="zh-CN"/>
        </w:rPr>
        <w:t>,</w:t>
      </w:r>
      <w:r>
        <w:rPr>
          <w:rFonts w:hint="eastAsia" w:ascii="宋体" w:hAnsi="宋体" w:eastAsia="宋体" w:cs="宋体"/>
          <w:color w:val="000000"/>
          <w:sz w:val="28"/>
          <w:szCs w:val="28"/>
        </w:rPr>
        <w:t>535册，教学科研仪器设备值5</w:t>
      </w:r>
      <w:r>
        <w:rPr>
          <w:rFonts w:hint="eastAsia" w:ascii="宋体" w:hAnsi="宋体" w:eastAsia="宋体" w:cs="宋体"/>
          <w:color w:val="000000"/>
          <w:sz w:val="28"/>
          <w:szCs w:val="28"/>
          <w:lang w:val="en-US" w:eastAsia="zh-CN"/>
        </w:rPr>
        <w:t>,</w:t>
      </w:r>
      <w:r>
        <w:rPr>
          <w:rFonts w:hint="eastAsia" w:ascii="宋体" w:hAnsi="宋体" w:eastAsia="宋体" w:cs="宋体"/>
          <w:color w:val="000000"/>
          <w:sz w:val="28"/>
          <w:szCs w:val="28"/>
        </w:rPr>
        <w:t>143万元。</w:t>
      </w:r>
    </w:p>
    <w:p w14:paraId="76A1551F">
      <w:pPr>
        <w:spacing w:line="600" w:lineRule="exact"/>
        <w:ind w:firstLine="562" w:firstLineChars="200"/>
        <w:rPr>
          <w:rFonts w:ascii="宋体" w:hAnsi="宋体" w:eastAsia="宋体" w:cs="宋体"/>
          <w:b/>
          <w:bCs/>
          <w:color w:val="000000"/>
          <w:sz w:val="28"/>
          <w:szCs w:val="28"/>
        </w:rPr>
      </w:pPr>
      <w:r>
        <w:rPr>
          <w:rFonts w:hint="eastAsia" w:ascii="宋体" w:hAnsi="宋体" w:eastAsia="宋体" w:cs="宋体"/>
          <w:b/>
          <w:bCs/>
          <w:color w:val="000000"/>
          <w:sz w:val="28"/>
          <w:szCs w:val="28"/>
        </w:rPr>
        <w:t>2、聚焦内涵式发展，办学质量全面提升。一是立足五溪大地突出农字特色强专业。</w:t>
      </w:r>
      <w:r>
        <w:rPr>
          <w:rFonts w:hint="eastAsia" w:ascii="宋体" w:hAnsi="宋体" w:eastAsia="宋体" w:cs="宋体"/>
          <w:color w:val="000000"/>
          <w:sz w:val="28"/>
          <w:szCs w:val="28"/>
        </w:rPr>
        <w:t>学校成功入选湖南省“楚怡工匠计划”试点高校，实现开办本科专业历史性突破。全面修订33个人才培养方案，植物保护技术课程成功入选2023年省级职业教育在线精品课程，动物外科与产科手术、植物保护技术2门课程成功入选2023年省级职业教育一流核心课程。</w:t>
      </w:r>
      <w:r>
        <w:rPr>
          <w:rFonts w:hint="eastAsia" w:ascii="宋体" w:hAnsi="宋体" w:eastAsia="宋体" w:cs="宋体"/>
          <w:b/>
          <w:bCs/>
          <w:color w:val="000000"/>
          <w:sz w:val="28"/>
          <w:szCs w:val="28"/>
        </w:rPr>
        <w:t>二是扎根乡土紧扣教育教学改革育人才。</w:t>
      </w:r>
      <w:r>
        <w:rPr>
          <w:rFonts w:hint="eastAsia" w:ascii="宋体" w:hAnsi="宋体" w:eastAsia="宋体" w:cs="宋体"/>
          <w:color w:val="000000"/>
          <w:sz w:val="28"/>
          <w:szCs w:val="28"/>
        </w:rPr>
        <w:t>中国教育电视台《职教中国》栏目组深度报道学校乡村振兴人才培养经验及成果，社会反响热烈。学校作为全国高职院校代表在农业农村部科技教育司组织的农技特岗生培养交流会上进行交流发言。坚持以赛促学提高人才培养质量，探索完善“岗课赛证融通”高技能人才培养模式，首次承办“楚怡杯”湖南省职业院校技能竞赛导游服务赛项、全国职业院校技能大赛湖南省选拔赛高职组视觉艺术设计赛项和怀化市“五溪工匠杯”职业技能大赛。组织学生参加创新创业大赛和职业技能竞赛，获省级以上奖项74项，其中国家级奖项7项，导游服务赛项继2022年再次荣获全国职业院校技能大赛一等奖。优秀学子罗小小参加中国残联第八次全国代表大会，并接受央视新闻联播采访。</w:t>
      </w:r>
      <w:r>
        <w:rPr>
          <w:rFonts w:hint="eastAsia" w:ascii="宋体" w:hAnsi="宋体" w:eastAsia="宋体" w:cs="宋体"/>
          <w:b/>
          <w:bCs/>
          <w:color w:val="000000"/>
          <w:sz w:val="28"/>
          <w:szCs w:val="28"/>
        </w:rPr>
        <w:t>三是聚焦产业发展强化校企合作促融合。</w:t>
      </w:r>
      <w:r>
        <w:rPr>
          <w:rFonts w:hint="eastAsia" w:ascii="宋体" w:hAnsi="宋体" w:eastAsia="宋体" w:cs="宋体"/>
          <w:color w:val="000000"/>
          <w:sz w:val="28"/>
          <w:szCs w:val="28"/>
        </w:rPr>
        <w:t>与隆平高科、上海大众、深圳华为等200多家企业建立校企合作关系，与市总工会联合兴办“怀化市五溪人才培养基地”，新增双元制订单培养和现代学徒制“华为班”等订单班3个，牵头成立湖南现代种业职业教育集团，成功申报湖南省重点产业链群产教融合项目、湖南省现代种业与生态农旅产教融合实训基地。就业创业工作有新成绩。在2023年“建行杯”第九届湖南省“互联网+”大学生创新创业大赛中共获金奖2项、银奖2项、铜奖2项，“优秀创新创业导师”10名，优秀组织奖2项。在2023年湖南省黄炎培职业教育奖创业规划大赛主体赛中，荣获一等奖1项、三等奖1项。毕业生就业率稳定在90%以上。86名学生获湖南省普通高等学校2023届优秀毕业生、创新创业优秀毕业生、退伍优秀毕业生等荣誉称号，涌现出荣获2022年“全国高校毕业生基层就业卓越奖”的优秀毕业生唐银等。生源质量大幅提升。2023年新生报到3</w:t>
      </w:r>
      <w:r>
        <w:rPr>
          <w:rFonts w:hint="eastAsia" w:ascii="宋体" w:hAnsi="宋体" w:eastAsia="宋体" w:cs="宋体"/>
          <w:color w:val="000000"/>
          <w:sz w:val="28"/>
          <w:szCs w:val="28"/>
          <w:lang w:val="en-US" w:eastAsia="zh-CN"/>
        </w:rPr>
        <w:t>,</w:t>
      </w:r>
      <w:r>
        <w:rPr>
          <w:rFonts w:hint="eastAsia" w:ascii="宋体" w:hAnsi="宋体" w:eastAsia="宋体" w:cs="宋体"/>
          <w:color w:val="000000"/>
          <w:sz w:val="28"/>
          <w:szCs w:val="28"/>
        </w:rPr>
        <w:t>797人，报到率92.84%。高考录取最高分478分，物理组录取最低分335分，比去年最低分增加46分，招录基层农技特岗生49人中有70%超过本科分数线。</w:t>
      </w:r>
      <w:r>
        <w:rPr>
          <w:rFonts w:hint="eastAsia" w:ascii="宋体" w:hAnsi="宋体" w:eastAsia="宋体" w:cs="宋体"/>
          <w:b/>
          <w:bCs/>
          <w:color w:val="000000"/>
          <w:sz w:val="28"/>
          <w:szCs w:val="28"/>
        </w:rPr>
        <w:t>四是坚持以学生为中心提升管理服务水平有温度。</w:t>
      </w:r>
      <w:r>
        <w:rPr>
          <w:rFonts w:hint="eastAsia" w:ascii="宋体" w:hAnsi="宋体" w:eastAsia="宋体" w:cs="宋体"/>
          <w:color w:val="000000"/>
          <w:sz w:val="28"/>
          <w:szCs w:val="28"/>
        </w:rPr>
        <w:t>完成校内“金种子”思政教育实践中心、“金种子”书屋建设，为强化学生思政教育提供载体，打造“金种子”一站式学生服务社区，打通学生服务最后一公里。与怀化市人社局共同建设怀化首个人社驿站（职院站），举办就业创业培训5场，专场招聘和宣讲活动18场，接待省、市、县区领导视察、调研、参观20余次，受到高度赞扬。精准化推进资助育人，发放各类奖学金、助学金、勤工助学津贴、免学费、生源地贷款1</w:t>
      </w:r>
      <w:r>
        <w:rPr>
          <w:rFonts w:hint="eastAsia" w:ascii="宋体" w:hAnsi="宋体" w:eastAsia="宋体" w:cs="宋体"/>
          <w:color w:val="000000"/>
          <w:sz w:val="28"/>
          <w:szCs w:val="28"/>
          <w:lang w:val="en-US" w:eastAsia="zh-CN"/>
        </w:rPr>
        <w:t>,</w:t>
      </w:r>
      <w:r>
        <w:rPr>
          <w:rFonts w:hint="eastAsia" w:ascii="宋体" w:hAnsi="宋体" w:eastAsia="宋体" w:cs="宋体"/>
          <w:color w:val="000000"/>
          <w:sz w:val="28"/>
          <w:szCs w:val="28"/>
        </w:rPr>
        <w:t>900余万元，受益学生8700人次。组织少数民族学生代表赴安江开展“中华民族一家亲 同心共筑中国梦”民族团结创建实践活动。开展2023届毕业生心理健康普查工作及2023级新生心理普查，开展“525”大学生心理健康日、“1010”世界精神卫生日等系列活动。严肃校纪校规，对37名违纪学生给予留校察看处分。</w:t>
      </w:r>
    </w:p>
    <w:p w14:paraId="264B8E7C">
      <w:pPr>
        <w:spacing w:line="600" w:lineRule="exact"/>
        <w:ind w:firstLine="562" w:firstLineChars="200"/>
        <w:rPr>
          <w:rFonts w:ascii="宋体" w:hAnsi="宋体" w:eastAsia="宋体" w:cs="宋体"/>
          <w:color w:val="000000"/>
          <w:sz w:val="28"/>
          <w:szCs w:val="28"/>
        </w:rPr>
      </w:pPr>
      <w:r>
        <w:rPr>
          <w:rFonts w:hint="eastAsia" w:ascii="宋体" w:hAnsi="宋体" w:eastAsia="宋体" w:cs="宋体"/>
          <w:b/>
          <w:bCs/>
          <w:color w:val="000000"/>
          <w:sz w:val="28"/>
          <w:szCs w:val="28"/>
        </w:rPr>
        <w:t>3、聚焦招才引才，干部人才队伍建设全面加强。一是聚焦引才用才优结构。</w:t>
      </w:r>
      <w:r>
        <w:rPr>
          <w:rFonts w:hint="eastAsia" w:ascii="宋体" w:hAnsi="宋体" w:eastAsia="宋体" w:cs="宋体"/>
          <w:color w:val="000000"/>
          <w:sz w:val="28"/>
          <w:szCs w:val="28"/>
        </w:rPr>
        <w:t>深入实施“人才强校”战略。积极参与“五溪人才行动计划”，柔性引进余应弘专家团队及许春晓、陈文光等专家人才，通过公开招聘引进专业技术教师、专职辅导员等35人。在编教职员工人数增加到474人，现有硕士以上学历教师222人，占比达46%，副高以上职称教师156人，占比达2</w:t>
      </w:r>
      <w:bookmarkStart w:id="0" w:name="_Hlk152875284"/>
      <w:r>
        <w:rPr>
          <w:rFonts w:hint="eastAsia" w:ascii="宋体" w:hAnsi="宋体" w:eastAsia="宋体" w:cs="宋体"/>
          <w:color w:val="000000"/>
          <w:sz w:val="28"/>
          <w:szCs w:val="28"/>
        </w:rPr>
        <w:t>9%</w:t>
      </w:r>
      <w:bookmarkEnd w:id="0"/>
      <w:r>
        <w:rPr>
          <w:rFonts w:hint="eastAsia" w:ascii="宋体" w:hAnsi="宋体" w:eastAsia="宋体" w:cs="宋体"/>
          <w:color w:val="000000"/>
          <w:sz w:val="28"/>
          <w:szCs w:val="28"/>
        </w:rPr>
        <w:t>，“双师型”教师占比达56%，师资队伍结构更加优化。提拔任用15名干部，其中副高以上职称3人，硕士研究生以上学历11人，80后10人，90后3人。省委、市委组织部对我校“四类”干部选拔任用工作给予肯定。</w:t>
      </w:r>
      <w:r>
        <w:rPr>
          <w:rFonts w:hint="eastAsia" w:ascii="宋体" w:hAnsi="宋体" w:eastAsia="宋体" w:cs="宋体"/>
          <w:b/>
          <w:bCs/>
          <w:color w:val="000000"/>
          <w:sz w:val="28"/>
          <w:szCs w:val="28"/>
        </w:rPr>
        <w:t>二是聚焦培才育才提素质。</w:t>
      </w:r>
      <w:r>
        <w:rPr>
          <w:rFonts w:hint="eastAsia" w:ascii="宋体" w:hAnsi="宋体" w:eastAsia="宋体" w:cs="宋体"/>
          <w:color w:val="000000"/>
          <w:sz w:val="28"/>
          <w:szCs w:val="28"/>
        </w:rPr>
        <w:t>广开门路学先进。组织各二级学院主要负责人参加“访企拓岗促就业”行动，走出去开拓视野，前往北京、上海、深圳等地头部企业观摩学习，共走访企业163家。组织专任教师860余人次参加国培、省培等各级各类培训，选派60余名教师下企业锻炼。安排22名副处级以上干部分别到省委党校、韶山干部学院等培训学习，6名科级干部到深圳大学、市委党校培训学习，选送3名干部到市直有关部门跟班学习。召开中层干部集中讲评会，63名中层干部根据学校年初制定的工作计划</w:t>
      </w:r>
      <w:r>
        <w:rPr>
          <w:rFonts w:hint="eastAsia" w:ascii="宋体" w:hAnsi="宋体" w:eastAsia="宋体" w:cs="宋体"/>
          <w:color w:val="000000"/>
          <w:spacing w:val="6"/>
          <w:sz w:val="28"/>
          <w:szCs w:val="28"/>
        </w:rPr>
        <w:t>讲成效、讲不足、讲谋划，校领导进行点评。举行“学习袁隆平 做一粒好种子”教师思想政治教育教学能力比赛，校领导现场点评，通过集中讲评，提高干部队伍履职能力、教师执教能力</w:t>
      </w:r>
      <w:r>
        <w:rPr>
          <w:rFonts w:hint="eastAsia" w:ascii="宋体" w:hAnsi="宋体" w:eastAsia="宋体" w:cs="宋体"/>
          <w:color w:val="000000"/>
          <w:sz w:val="28"/>
          <w:szCs w:val="28"/>
        </w:rPr>
        <w:t>。比学赶超强素质。以“赛”促“研”，以“赛”代“培”，打造“研赛培一体”教学竞赛培训模式，获湖南省职业院校教师教学能力比赛等省级以上奖项3项，与市委宣传部、市教育局共同主办“学习袁隆平做一粒好种子”全市思政课教学比武，获特</w:t>
      </w:r>
      <w:r>
        <w:rPr>
          <w:rFonts w:hint="eastAsia" w:ascii="宋体" w:hAnsi="宋体" w:eastAsia="宋体" w:cs="宋体"/>
          <w:color w:val="000000"/>
          <w:spacing w:val="-6"/>
          <w:sz w:val="28"/>
          <w:szCs w:val="28"/>
        </w:rPr>
        <w:t>等奖1项，二等奖1项。成功立项“楚怡”教师教学创新团队2个、“楚怡”教学名师2名、“楚怡”工坊1个，推荐省级青年骨干教师3名。</w:t>
      </w:r>
      <w:r>
        <w:rPr>
          <w:rFonts w:hint="eastAsia" w:ascii="宋体" w:hAnsi="宋体" w:eastAsia="宋体" w:cs="宋体"/>
          <w:b/>
          <w:bCs/>
          <w:color w:val="000000"/>
          <w:sz w:val="28"/>
          <w:szCs w:val="28"/>
        </w:rPr>
        <w:t>三是聚焦管才治才强作风。</w:t>
      </w:r>
      <w:r>
        <w:rPr>
          <w:rFonts w:hint="eastAsia" w:ascii="宋体" w:hAnsi="宋体" w:eastAsia="宋体" w:cs="宋体"/>
          <w:color w:val="000000"/>
          <w:sz w:val="28"/>
          <w:szCs w:val="28"/>
        </w:rPr>
        <w:t>开展教风学风专项整治，制定《师德集中学习教育的实施方案》等，主要领导带头，与教务处、学生工作处等负责人深入教学一线，重点整治老师学生上课迟到、老师上课不认真、课堂纪律差等突出问题。开展警示教育，用身边事教育身边人，进一步引导全体教师规范教育教学行为，严守师德师风底线。选树榜样典型强示范。召开庆祝第39个教师节暨教职工大会，对在教学、科研、管理等方面取得突出成绩的20名优秀教师和15名优秀教育工作者进行表彰。《传承“隆平精神”，让创新的“种子”生根发芽 ——怀化职院提升人才自主培养质量问题整治整改典型案例》受到红网推介。</w:t>
      </w:r>
    </w:p>
    <w:p w14:paraId="3BA5E737">
      <w:pPr>
        <w:spacing w:line="600" w:lineRule="exact"/>
        <w:ind w:firstLine="562" w:firstLineChars="200"/>
        <w:rPr>
          <w:rFonts w:ascii="宋体" w:hAnsi="宋体" w:eastAsia="宋体" w:cs="宋体"/>
          <w:color w:val="000000"/>
          <w:kern w:val="0"/>
          <w:sz w:val="28"/>
          <w:szCs w:val="28"/>
        </w:rPr>
      </w:pPr>
      <w:r>
        <w:rPr>
          <w:rFonts w:hint="eastAsia" w:ascii="宋体" w:hAnsi="宋体" w:eastAsia="宋体" w:cs="宋体"/>
          <w:b/>
          <w:bCs/>
          <w:color w:val="000000"/>
          <w:sz w:val="28"/>
          <w:szCs w:val="28"/>
        </w:rPr>
        <w:t>4、突出重点工作，履职尽责树形象。一是着力打造隆平精神文化品牌有影响。</w:t>
      </w:r>
      <w:r>
        <w:rPr>
          <w:rFonts w:hint="eastAsia" w:ascii="宋体" w:hAnsi="宋体" w:eastAsia="宋体" w:cs="宋体"/>
          <w:color w:val="000000"/>
          <w:sz w:val="28"/>
          <w:szCs w:val="28"/>
          <w:lang w:bidi="ar"/>
        </w:rPr>
        <w:t>安江农校纪念园4A创建有行动见成效。实施园内旅游厕所改造、游步道拓展、园林绿化、标识系统升级等项目，安江农校纪念园成功创建国家级4A景区，入选2023年湖南省华侨文化交流基地、首批湖南省少先队校外实践教育营地。</w:t>
      </w:r>
      <w:r>
        <w:rPr>
          <w:rFonts w:hint="eastAsia" w:ascii="宋体" w:hAnsi="宋体" w:eastAsia="宋体" w:cs="宋体"/>
          <w:color w:val="000000"/>
          <w:sz w:val="28"/>
          <w:szCs w:val="28"/>
        </w:rPr>
        <w:t>牵头成立隆平文化研究会，《在中国式现代化新征程中要弘扬传承好种子精神》论文在怀化日报理论版刊发。创新“1+N”隆平文化活动品牌。组织学生完成《种子》MV拍摄录制，组织师生开展“学习袁隆平 做一粒好种子”系列主题纪念活动，开展隆平文化艺术节、楚怡读书行动等系列活动，举办“诵读中国”经典朗诵比赛，承办第九届湖南省“互联网+”大学生创新创业大赛推进会暨“青年红色筑梦之旅”活动启动仪式、怀化市2023年下半年新兵起运仪式、2023年怀化市社科普及主题活动周启动仪式，首次参加怀化市艺术节闭幕式暨颁奖晚会。校官方视频号荣登“全国高等职业院校2023上半年度官方视频号综合影响力百强榜”，位列全国28名。校新闻通讯站获评“2022-2023年度全国影响力职院可视化融媒体团队”。学校品牌影响力不断扩大，获怀化市“铸牢中华民族共同体意识教育实践基地、示范学校称号”。</w:t>
      </w:r>
      <w:r>
        <w:rPr>
          <w:rFonts w:hint="eastAsia" w:ascii="宋体" w:hAnsi="宋体" w:eastAsia="宋体" w:cs="宋体"/>
          <w:b/>
          <w:bCs/>
          <w:color w:val="000000"/>
          <w:sz w:val="28"/>
          <w:szCs w:val="28"/>
        </w:rPr>
        <w:t>二是服务地方经济发展有担当。</w:t>
      </w:r>
      <w:r>
        <w:rPr>
          <w:rFonts w:hint="eastAsia" w:ascii="宋体" w:hAnsi="宋体" w:eastAsia="宋体" w:cs="宋体"/>
          <w:color w:val="000000"/>
          <w:kern w:val="0"/>
          <w:sz w:val="28"/>
          <w:szCs w:val="28"/>
          <w:lang w:bidi="ar"/>
        </w:rPr>
        <w:t>围绕地方产业发展提升科研创新能力。</w:t>
      </w:r>
      <w:r>
        <w:rPr>
          <w:rFonts w:hint="eastAsia" w:ascii="宋体" w:hAnsi="宋体" w:eastAsia="宋体" w:cs="宋体"/>
          <w:color w:val="000000"/>
          <w:kern w:val="0"/>
          <w:sz w:val="28"/>
          <w:szCs w:val="28"/>
        </w:rPr>
        <w:t>成功申报国家社科基金备案单位，立项邓华风专家工作室、重点实验</w:t>
      </w:r>
      <w:r>
        <w:rPr>
          <w:rFonts w:hint="eastAsia" w:ascii="宋体" w:hAnsi="宋体" w:eastAsia="宋体" w:cs="宋体"/>
          <w:color w:val="000000"/>
          <w:sz w:val="28"/>
          <w:szCs w:val="28"/>
        </w:rPr>
        <w:t>室、科普基地等平台5个。成功立项市级以上科研项目35项，获国家发明专利1项，选育的6个水稻不育系通过田间育性现场鉴定。完成水稻新品</w:t>
      </w:r>
      <w:r>
        <w:rPr>
          <w:rFonts w:hint="eastAsia" w:ascii="宋体" w:hAnsi="宋体" w:eastAsia="宋体" w:cs="宋体"/>
          <w:color w:val="000000"/>
          <w:kern w:val="0"/>
          <w:sz w:val="28"/>
          <w:szCs w:val="28"/>
        </w:rPr>
        <w:t>种“民两优丝苗”等成果转化，创造经济效益</w:t>
      </w:r>
      <w:r>
        <w:rPr>
          <w:rFonts w:hint="eastAsia" w:ascii="宋体" w:hAnsi="宋体" w:eastAsia="宋体" w:cs="宋体"/>
          <w:color w:val="000000"/>
          <w:sz w:val="28"/>
          <w:szCs w:val="28"/>
        </w:rPr>
        <w:t>400万元以上。学校两位专家成功立项2023年</w:t>
      </w:r>
      <w:r>
        <w:rPr>
          <w:rFonts w:hint="eastAsia" w:ascii="宋体" w:hAnsi="宋体" w:eastAsia="宋体" w:cs="宋体"/>
          <w:color w:val="000000"/>
          <w:kern w:val="0"/>
          <w:sz w:val="28"/>
          <w:szCs w:val="28"/>
        </w:rPr>
        <w:t>度怀化市重点攻关“揭榜挂帅”项目。围绕乡村振兴开展技能培训和科技服务。积极主动对接省市相关部门争取培训项目，成功入围湖南省退役军人事务厅退役军人培训机构、怀化市人社局定点培训机构，完成高素质农民、村干班等各级各类培训31.92万人次。选派“三区人才”、科技特派员、专业教师等到各县市区开展科技培训和科技服务，为企业、合作社解决生产技术难题100余个，带动广大农户增产增收。围绕“一带一路”建设开展国际交流合作。累计派</w:t>
      </w:r>
      <w:r>
        <w:rPr>
          <w:rFonts w:hint="eastAsia" w:ascii="宋体" w:hAnsi="宋体" w:eastAsia="宋体" w:cs="宋体"/>
          <w:color w:val="000000"/>
          <w:sz w:val="28"/>
          <w:szCs w:val="28"/>
        </w:rPr>
        <w:t>出2名教师赴国外交流学习，其中1人在安提瓜和巴布达，</w:t>
      </w:r>
      <w:r>
        <w:rPr>
          <w:rFonts w:hint="eastAsia" w:ascii="宋体" w:hAnsi="宋体" w:eastAsia="宋体" w:cs="宋体"/>
          <w:color w:val="000000"/>
          <w:spacing w:val="-6"/>
          <w:sz w:val="28"/>
          <w:szCs w:val="28"/>
        </w:rPr>
        <w:t>1人</w:t>
      </w:r>
      <w:r>
        <w:rPr>
          <w:rFonts w:hint="eastAsia" w:ascii="宋体" w:hAnsi="宋体" w:eastAsia="宋体" w:cs="宋体"/>
          <w:color w:val="000000"/>
          <w:spacing w:val="-6"/>
          <w:kern w:val="0"/>
          <w:sz w:val="28"/>
          <w:szCs w:val="28"/>
        </w:rPr>
        <w:t>参加援助埃塞俄比亚农业职业教育。2023年9月</w:t>
      </w:r>
      <w:r>
        <w:rPr>
          <w:rFonts w:hint="eastAsia" w:ascii="宋体" w:hAnsi="宋体" w:eastAsia="宋体" w:cs="宋体"/>
          <w:color w:val="000000"/>
          <w:spacing w:val="-6"/>
          <w:sz w:val="28"/>
          <w:szCs w:val="28"/>
        </w:rPr>
        <w:t>埃</w:t>
      </w:r>
      <w:r>
        <w:rPr>
          <w:rFonts w:hint="eastAsia" w:ascii="宋体" w:hAnsi="宋体" w:eastAsia="宋体" w:cs="宋体"/>
          <w:color w:val="000000"/>
          <w:spacing w:val="-6"/>
          <w:kern w:val="0"/>
          <w:sz w:val="28"/>
          <w:szCs w:val="28"/>
        </w:rPr>
        <w:t>塞俄比亚劳工与技能部职教司司长一行来校交流。</w:t>
      </w:r>
      <w:r>
        <w:rPr>
          <w:rFonts w:hint="eastAsia" w:ascii="宋体" w:hAnsi="宋体" w:eastAsia="宋体" w:cs="宋体"/>
          <w:b/>
          <w:bCs/>
          <w:color w:val="000000"/>
          <w:spacing w:val="-6"/>
          <w:kern w:val="0"/>
          <w:sz w:val="28"/>
          <w:szCs w:val="28"/>
        </w:rPr>
        <w:t>三是财务保障能力进一步提</w:t>
      </w:r>
      <w:r>
        <w:rPr>
          <w:rFonts w:hint="eastAsia" w:ascii="宋体" w:hAnsi="宋体" w:eastAsia="宋体" w:cs="宋体"/>
          <w:b/>
          <w:bCs/>
          <w:color w:val="000000"/>
          <w:spacing w:val="-6"/>
          <w:kern w:val="0"/>
          <w:sz w:val="28"/>
          <w:szCs w:val="28"/>
          <w:highlight w:val="none"/>
        </w:rPr>
        <w:t>升。</w:t>
      </w:r>
      <w:r>
        <w:rPr>
          <w:rFonts w:hint="eastAsia" w:ascii="宋体" w:hAnsi="宋体" w:eastAsia="宋体" w:cs="宋体"/>
          <w:color w:val="000000"/>
          <w:spacing w:val="-6"/>
          <w:kern w:val="0"/>
          <w:sz w:val="28"/>
          <w:szCs w:val="28"/>
          <w:highlight w:val="none"/>
        </w:rPr>
        <w:t>2023年度总收入</w:t>
      </w:r>
      <w:r>
        <w:rPr>
          <w:rFonts w:hint="eastAsia" w:ascii="宋体" w:hAnsi="宋体" w:eastAsia="宋体" w:cs="宋体"/>
          <w:sz w:val="28"/>
          <w:szCs w:val="28"/>
          <w:highlight w:val="none"/>
          <w:shd w:val="clear" w:color="auto" w:fill="FFFFFF"/>
        </w:rPr>
        <w:t>20,384.38</w:t>
      </w:r>
      <w:r>
        <w:rPr>
          <w:rFonts w:hint="eastAsia" w:ascii="宋体" w:hAnsi="宋体" w:eastAsia="宋体" w:cs="宋体"/>
          <w:color w:val="000000"/>
          <w:spacing w:val="-6"/>
          <w:kern w:val="0"/>
          <w:sz w:val="28"/>
          <w:szCs w:val="28"/>
          <w:highlight w:val="none"/>
        </w:rPr>
        <w:t>万元，保障了</w:t>
      </w:r>
      <w:r>
        <w:rPr>
          <w:rFonts w:hint="eastAsia" w:ascii="宋体" w:hAnsi="宋体" w:eastAsia="宋体" w:cs="宋体"/>
          <w:color w:val="000000"/>
          <w:spacing w:val="-6"/>
          <w:kern w:val="0"/>
          <w:sz w:val="28"/>
          <w:szCs w:val="28"/>
        </w:rPr>
        <w:t>学校各项工作的顺利开展。全年采购立项326余项，金额达1700万元。</w:t>
      </w:r>
      <w:r>
        <w:rPr>
          <w:rFonts w:hint="eastAsia" w:ascii="宋体" w:hAnsi="宋体" w:eastAsia="宋体" w:cs="宋体"/>
          <w:b/>
          <w:bCs/>
          <w:color w:val="000000"/>
          <w:spacing w:val="-6"/>
          <w:kern w:val="0"/>
          <w:sz w:val="28"/>
          <w:szCs w:val="28"/>
        </w:rPr>
        <w:t>四是校园安全稳定维护良好。</w:t>
      </w:r>
      <w:r>
        <w:rPr>
          <w:rFonts w:hint="eastAsia" w:ascii="宋体" w:hAnsi="宋体" w:eastAsia="宋体" w:cs="宋体"/>
          <w:color w:val="000000"/>
          <w:spacing w:val="-6"/>
          <w:kern w:val="0"/>
          <w:sz w:val="28"/>
          <w:szCs w:val="28"/>
        </w:rPr>
        <w:t>开展禁毒、防溺水、校园贷、消防等安全、法治教育10余场</w:t>
      </w:r>
      <w:r>
        <w:rPr>
          <w:rFonts w:hint="eastAsia" w:ascii="宋体" w:hAnsi="宋体" w:eastAsia="宋体" w:cs="宋体"/>
          <w:color w:val="000000"/>
          <w:kern w:val="0"/>
          <w:sz w:val="28"/>
          <w:szCs w:val="28"/>
        </w:rPr>
        <w:t>次，狠抓消防安全、交通安全、危化品安全和食品卫生安全工作，进行安全生产大检查6次，查摆整改问题70余件，不断筑牢安全防线，全年未发生大的治安事件和安全责任事故。</w:t>
      </w:r>
    </w:p>
    <w:p w14:paraId="3C3B2D67">
      <w:pPr>
        <w:spacing w:line="600" w:lineRule="exact"/>
        <w:ind w:firstLine="562" w:firstLineChars="200"/>
      </w:pPr>
      <w:r>
        <w:rPr>
          <w:rFonts w:hint="eastAsia" w:ascii="宋体" w:hAnsi="宋体" w:eastAsia="宋体" w:cs="宋体"/>
          <w:b/>
          <w:bCs/>
          <w:color w:val="000000"/>
          <w:sz w:val="28"/>
          <w:szCs w:val="28"/>
        </w:rPr>
        <w:t>5、坚持落实从严要求，党的建设水平</w:t>
      </w:r>
      <w:bookmarkStart w:id="1" w:name="_Toc27995"/>
      <w:r>
        <w:rPr>
          <w:rFonts w:hint="eastAsia" w:ascii="宋体" w:hAnsi="宋体" w:eastAsia="宋体" w:cs="宋体"/>
          <w:b/>
          <w:bCs/>
          <w:color w:val="000000"/>
          <w:sz w:val="28"/>
          <w:szCs w:val="28"/>
        </w:rPr>
        <w:t>全面提高。一是认真组织开展学习贯彻习近平新时代中国特色社会主义思想主题教育。</w:t>
      </w:r>
      <w:r>
        <w:rPr>
          <w:rFonts w:hint="eastAsia" w:ascii="宋体" w:hAnsi="宋体" w:eastAsia="宋体" w:cs="宋体"/>
          <w:color w:val="000000"/>
          <w:sz w:val="28"/>
          <w:szCs w:val="28"/>
        </w:rPr>
        <w:t>通过开展读书班集中学、党委理论学习中心组深入学、邀请专家专题宣讲辅导学、专题党课引领学、讲好红色故事、隆平故事启迪学、依托支部广泛学、举办竞赛活动争先学七学模式，原原本本学、广泛联系比、认认真真悟，感悟真理力量，推动习近平新时代中国特色社会主义思想进课堂、进教材、进头脑、进师生心灵。认真落实第一议题制度，组织学习34次。领导带头讲党课23余人次，以思想认同促进政治认同、理论认同、情感认同。扎实开展四次专题讨论，每次都围绕一个主题谈学习体会，谈思想感悟，切实提高理论素养，坚决提高政治站位。《“七学模式”强化思想引领补足精神之“钙”》受到红网推介。切实推进问题整改。通过开展“走、找、想、促”活动，开展160次调研，走访访谈1372人次，收集调研问题76个，梳理调研问题清单29个，研究制定措施101条，调研问题清单全部整改到位。推进建章立制。修订完善学校章程、党委会议事规则、校长办公会议事规则、“三重一大”事项集体决策制度等，使学校各项工作有章可循、有据可依。</w:t>
      </w:r>
      <w:r>
        <w:rPr>
          <w:rFonts w:hint="eastAsia" w:ascii="宋体" w:hAnsi="宋体" w:eastAsia="宋体" w:cs="宋体"/>
          <w:b/>
          <w:bCs/>
          <w:color w:val="000000"/>
          <w:sz w:val="28"/>
          <w:szCs w:val="28"/>
        </w:rPr>
        <w:t>二是突出创先争优坚决建强基层组织。</w:t>
      </w:r>
      <w:r>
        <w:rPr>
          <w:rFonts w:hint="eastAsia" w:ascii="宋体" w:hAnsi="宋体" w:eastAsia="宋体" w:cs="宋体"/>
          <w:color w:val="000000"/>
          <w:sz w:val="28"/>
          <w:szCs w:val="28"/>
        </w:rPr>
        <w:t>开展“永远跟党走奋进新征程”——庆祝中国共产党成立102周年暨“七一”表彰大会，为荣获“光荣在党50年”纪念章的老党员代表颁发纪念章，表彰27名优秀共产党员、15名优秀党务工作者、3个先进基层党组织。实施党支部书记“双带头人”培育工程，党支部书记中，8人为副高以上职称。在全省高校党组织“对标争先”计划第三批项目评选中，获评1个样板支部，1名“双带头人”标兵，1名青年教工党员示范岗。学校电子电气工程学院正在申报全国第四批新时代高校党建“双创”工作全国党建工作样板支部。</w:t>
      </w:r>
      <w:r>
        <w:rPr>
          <w:rFonts w:hint="eastAsia" w:ascii="宋体" w:hAnsi="宋体" w:eastAsia="宋体" w:cs="宋体"/>
          <w:b/>
          <w:bCs/>
          <w:color w:val="000000"/>
          <w:sz w:val="28"/>
          <w:szCs w:val="28"/>
        </w:rPr>
        <w:t>三是深入推进清廉学校建设严纪律。</w:t>
      </w:r>
      <w:bookmarkEnd w:id="1"/>
      <w:r>
        <w:rPr>
          <w:rFonts w:hint="eastAsia" w:ascii="宋体" w:hAnsi="宋体" w:eastAsia="宋体" w:cs="宋体"/>
          <w:color w:val="000000"/>
          <w:sz w:val="28"/>
          <w:szCs w:val="28"/>
          <w:shd w:val="clear" w:color="auto" w:fill="FFFFFF"/>
        </w:rPr>
        <w:t>始终围绕落实立德树人根本任务，以弘扬传承隆平精神为抓手，在思想上真正重视、推动上真正用力、措施上真正用心、保障上真正到位，深入推进清廉学校建设，获评市清廉文化教育基地。突出人、财、物、事，全方位扎紧制度笼子。深入开展食堂专项整治，全面推行明厨亮灶，实施食堂大宗物资集中采购制度，确保食品安全，</w:t>
      </w:r>
      <w:r>
        <w:rPr>
          <w:rFonts w:hint="eastAsia" w:ascii="宋体" w:hAnsi="宋体" w:eastAsia="宋体" w:cs="宋体"/>
          <w:color w:val="000000"/>
          <w:sz w:val="28"/>
          <w:szCs w:val="28"/>
        </w:rPr>
        <w:t>学校一食堂、二食堂获怀化市“文明餐饮示范店”荣誉称号。强化预算执行监督，邀请怀化市审计局、怀化市财政局、泓褀会计事务所第三方机构进行审计检查3次。</w:t>
      </w:r>
      <w:r>
        <w:rPr>
          <w:rFonts w:hint="eastAsia" w:ascii="宋体" w:hAnsi="宋体" w:eastAsia="宋体" w:cs="宋体"/>
          <w:color w:val="000000"/>
          <w:sz w:val="28"/>
          <w:szCs w:val="28"/>
          <w:shd w:val="clear" w:color="auto" w:fill="FFFFFF"/>
        </w:rPr>
        <w:t>建立预算执行分析机制，党委会定期听取财务工作汇报。严格落实党风廉政建设要求，加大警示教育力度，组织</w:t>
      </w:r>
      <w:r>
        <w:rPr>
          <w:rFonts w:hint="eastAsia" w:ascii="宋体" w:hAnsi="宋体" w:eastAsia="宋体" w:cs="宋体"/>
          <w:color w:val="000000"/>
          <w:sz w:val="28"/>
          <w:szCs w:val="28"/>
        </w:rPr>
        <w:t>88名党员干部参加2023年全省教育系统全面从严治党工作暨警示教育视频大会，转发学习中央、省、市纪委发出的典型案例通报23次，观看警示教育片5次</w:t>
      </w:r>
      <w:r>
        <w:rPr>
          <w:rFonts w:hint="eastAsia" w:ascii="宋体" w:hAnsi="宋体" w:eastAsia="宋体" w:cs="宋体"/>
          <w:color w:val="000000"/>
          <w:sz w:val="28"/>
          <w:szCs w:val="28"/>
          <w:shd w:val="clear" w:color="auto" w:fill="FFFFFF"/>
        </w:rPr>
        <w:t>。开展“清廉家访”活动，各党支部书记、部门负责人和支部纪检委员带头家访。组织开展例行廉政谈话、任前廉政谈话、提醒谈话等共计271人次，建立11名新任领导干部个人廉政档案。</w:t>
      </w:r>
    </w:p>
    <w:p w14:paraId="45499BBD">
      <w:pPr>
        <w:numPr>
          <w:ilvl w:val="0"/>
          <w:numId w:val="5"/>
        </w:numPr>
        <w:rPr>
          <w:rFonts w:ascii="黑体" w:hAnsi="黑体" w:eastAsia="黑体" w:cs="黑体"/>
          <w:sz w:val="32"/>
          <w:szCs w:val="32"/>
        </w:rPr>
      </w:pPr>
      <w:r>
        <w:rPr>
          <w:rFonts w:hint="eastAsia" w:ascii="黑体" w:hAnsi="黑体" w:eastAsia="黑体" w:cs="黑体"/>
          <w:sz w:val="32"/>
          <w:szCs w:val="32"/>
        </w:rPr>
        <w:t>存在的问题及原因分析</w:t>
      </w:r>
    </w:p>
    <w:p w14:paraId="115AD43A">
      <w:pPr>
        <w:pStyle w:val="2"/>
        <w:ind w:left="0" w:leftChars="0" w:firstLine="560"/>
        <w:rPr>
          <w:color w:val="4A4A4A"/>
          <w:shd w:val="clear" w:color="auto" w:fill="FFFFFF"/>
        </w:rPr>
      </w:pPr>
      <w:r>
        <w:rPr>
          <w:rFonts w:hint="eastAsia" w:ascii="宋体" w:hAnsi="宋体" w:eastAsia="宋体" w:cs="宋体"/>
          <w:sz w:val="28"/>
          <w:szCs w:val="28"/>
        </w:rPr>
        <w:t>我校预算绩效管理还未形成有效机制，未真正达到全面实施预算绩效管理的相关要求。</w:t>
      </w:r>
    </w:p>
    <w:p w14:paraId="6CD7B53F">
      <w:pPr>
        <w:pStyle w:val="2"/>
        <w:ind w:left="0" w:leftChars="0" w:firstLine="0" w:firstLineChars="0"/>
        <w:rPr>
          <w:rFonts w:ascii="黑体" w:hAnsi="黑体" w:eastAsia="黑体" w:cs="黑体"/>
          <w:sz w:val="32"/>
          <w:szCs w:val="32"/>
        </w:rPr>
      </w:pPr>
      <w:r>
        <w:rPr>
          <w:rFonts w:hint="eastAsia" w:ascii="黑体" w:hAnsi="黑体" w:eastAsia="黑体" w:cs="黑体"/>
          <w:sz w:val="32"/>
          <w:szCs w:val="32"/>
        </w:rPr>
        <w:t>八、下一步改进措施</w:t>
      </w:r>
    </w:p>
    <w:p w14:paraId="528EE891">
      <w:pPr>
        <w:ind w:firstLine="560" w:firstLineChars="200"/>
        <w:rPr>
          <w:rFonts w:ascii="宋体" w:hAnsi="宋体" w:eastAsia="宋体" w:cs="宋体"/>
          <w:sz w:val="28"/>
          <w:szCs w:val="28"/>
        </w:rPr>
      </w:pPr>
      <w:r>
        <w:rPr>
          <w:rFonts w:hint="eastAsia" w:ascii="宋体" w:hAnsi="宋体" w:eastAsia="宋体" w:cs="宋体"/>
          <w:sz w:val="28"/>
          <w:szCs w:val="28"/>
        </w:rPr>
        <w:t>全面建立健全预算绩效管理体制机制，构建校内预算绩效管理架构，加强财政支出管理，增强资金绩效理念，合理配置资源，优化学校支出结构，强化资金管理水平，提高资金使用效益的重要手段。学校内部各个部门高度重视绩效评价结果应用工作，积极探索和建立一套与部门预算相结合、多渠道应用评价结果的有效机制，提高绩效意识和财政资金使用效益。</w:t>
      </w:r>
    </w:p>
    <w:p w14:paraId="425F7D04">
      <w:pPr>
        <w:rPr>
          <w:rFonts w:ascii="黑体" w:hAnsi="黑体" w:eastAsia="黑体" w:cs="黑体"/>
          <w:sz w:val="32"/>
          <w:szCs w:val="32"/>
        </w:rPr>
      </w:pPr>
      <w:r>
        <w:rPr>
          <w:rFonts w:hint="eastAsia" w:ascii="黑体" w:hAnsi="黑体" w:eastAsia="黑体" w:cs="黑体"/>
          <w:sz w:val="32"/>
          <w:szCs w:val="32"/>
          <w:highlight w:val="lightGray"/>
        </w:rPr>
        <w:t>九</w:t>
      </w:r>
      <w:r>
        <w:rPr>
          <w:rFonts w:hint="eastAsia" w:ascii="黑体" w:hAnsi="黑体" w:eastAsia="黑体" w:cs="黑体"/>
          <w:sz w:val="32"/>
          <w:szCs w:val="32"/>
        </w:rPr>
        <w:t>、其他需要说明的情况</w:t>
      </w:r>
    </w:p>
    <w:p w14:paraId="644BD09A">
      <w:pPr>
        <w:pStyle w:val="2"/>
        <w:ind w:firstLine="640"/>
      </w:pPr>
      <w:r>
        <w:rPr>
          <w:rFonts w:hint="eastAsia" w:ascii="黑体" w:hAnsi="黑体" w:eastAsia="黑体" w:cs="黑体"/>
          <w:sz w:val="32"/>
          <w:szCs w:val="32"/>
        </w:rPr>
        <w:t>无</w:t>
      </w:r>
    </w:p>
    <w:p w14:paraId="34C2175E">
      <w:pPr>
        <w:pStyle w:val="8"/>
        <w:ind w:left="0" w:leftChars="0"/>
        <w:rPr>
          <w:rFonts w:ascii="宋体" w:hAnsi="宋体" w:cs="宋体"/>
          <w:sz w:val="30"/>
          <w:szCs w:val="30"/>
        </w:rPr>
      </w:pPr>
    </w:p>
    <w:p w14:paraId="15073509">
      <w:pPr>
        <w:pStyle w:val="8"/>
        <w:ind w:left="0" w:leftChars="0"/>
        <w:rPr>
          <w:rFonts w:ascii="宋体" w:hAnsi="宋体" w:cs="宋体"/>
          <w:sz w:val="30"/>
          <w:szCs w:val="30"/>
        </w:rPr>
      </w:pPr>
      <w:r>
        <w:rPr>
          <w:rFonts w:hint="eastAsia" w:ascii="宋体" w:hAnsi="宋体" w:cs="宋体"/>
          <w:sz w:val="30"/>
          <w:szCs w:val="30"/>
        </w:rPr>
        <w:t>附件1.部门整体支出绩效评价基础数据表</w:t>
      </w:r>
    </w:p>
    <w:p w14:paraId="508A6379">
      <w:pPr>
        <w:pStyle w:val="8"/>
        <w:ind w:left="0" w:leftChars="0"/>
        <w:rPr>
          <w:rFonts w:ascii="宋体" w:hAnsi="宋体" w:cs="宋体"/>
          <w:sz w:val="30"/>
          <w:szCs w:val="30"/>
        </w:rPr>
      </w:pPr>
      <w:r>
        <w:rPr>
          <w:rFonts w:hint="eastAsia" w:ascii="宋体" w:hAnsi="宋体" w:cs="宋体"/>
          <w:sz w:val="30"/>
          <w:szCs w:val="30"/>
        </w:rPr>
        <w:t>附件2.部门整体支出绩效自评表</w:t>
      </w:r>
    </w:p>
    <w:p w14:paraId="29ABB9D7"/>
    <w:p w14:paraId="2F7A1ADE">
      <w:pPr>
        <w:pStyle w:val="2"/>
      </w:pPr>
    </w:p>
    <w:p w14:paraId="218249D5">
      <w:pPr>
        <w:pStyle w:val="2"/>
      </w:pPr>
    </w:p>
    <w:p w14:paraId="10ED4FE3">
      <w:pPr>
        <w:pStyle w:val="2"/>
      </w:pPr>
    </w:p>
    <w:p w14:paraId="5B3E1719">
      <w:pPr>
        <w:pStyle w:val="2"/>
      </w:pPr>
    </w:p>
    <w:p w14:paraId="0C2BE345">
      <w:pPr>
        <w:pStyle w:val="2"/>
      </w:pPr>
    </w:p>
    <w:p w14:paraId="30927CF6">
      <w:pPr>
        <w:pStyle w:val="2"/>
      </w:pPr>
    </w:p>
    <w:p w14:paraId="28E6650D">
      <w:pPr>
        <w:pStyle w:val="2"/>
      </w:pPr>
    </w:p>
    <w:p w14:paraId="2DCE8233">
      <w:pPr>
        <w:pStyle w:val="2"/>
      </w:pPr>
    </w:p>
    <w:p w14:paraId="64A71F1D">
      <w:pPr>
        <w:pStyle w:val="2"/>
      </w:pPr>
    </w:p>
    <w:p w14:paraId="0D89745F">
      <w:pPr>
        <w:pStyle w:val="2"/>
      </w:pPr>
    </w:p>
    <w:p w14:paraId="1A2B2C6A">
      <w:pPr>
        <w:pStyle w:val="2"/>
      </w:pPr>
    </w:p>
    <w:p w14:paraId="72FA37DF">
      <w:pPr>
        <w:pStyle w:val="2"/>
      </w:pPr>
    </w:p>
    <w:p w14:paraId="656905D1">
      <w:pPr>
        <w:pStyle w:val="2"/>
      </w:pPr>
    </w:p>
    <w:p w14:paraId="6E727DB4">
      <w:pPr>
        <w:pStyle w:val="2"/>
      </w:pPr>
    </w:p>
    <w:p w14:paraId="695ECC71">
      <w:pPr>
        <w:pStyle w:val="2"/>
      </w:pPr>
    </w:p>
    <w:p w14:paraId="51BFB6B1">
      <w:pPr>
        <w:pStyle w:val="2"/>
      </w:pPr>
    </w:p>
    <w:p w14:paraId="535BBE8F">
      <w:pPr>
        <w:pStyle w:val="2"/>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E4CF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84AC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684AC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EA37DC"/>
    <w:multiLevelType w:val="singleLevel"/>
    <w:tmpl w:val="91EA37DC"/>
    <w:lvl w:ilvl="0" w:tentative="0">
      <w:start w:val="2"/>
      <w:numFmt w:val="decimal"/>
      <w:suff w:val="nothing"/>
      <w:lvlText w:val="%1、"/>
      <w:lvlJc w:val="left"/>
    </w:lvl>
  </w:abstractNum>
  <w:abstractNum w:abstractNumId="1">
    <w:nsid w:val="E8BAB033"/>
    <w:multiLevelType w:val="singleLevel"/>
    <w:tmpl w:val="E8BAB033"/>
    <w:lvl w:ilvl="0" w:tentative="0">
      <w:start w:val="1"/>
      <w:numFmt w:val="decimal"/>
      <w:suff w:val="nothing"/>
      <w:lvlText w:val="（%1）"/>
      <w:lvlJc w:val="left"/>
    </w:lvl>
  </w:abstractNum>
  <w:abstractNum w:abstractNumId="2">
    <w:nsid w:val="03224534"/>
    <w:multiLevelType w:val="singleLevel"/>
    <w:tmpl w:val="03224534"/>
    <w:lvl w:ilvl="0" w:tentative="0">
      <w:start w:val="1"/>
      <w:numFmt w:val="chineseCounting"/>
      <w:suff w:val="nothing"/>
      <w:lvlText w:val="（%1）"/>
      <w:lvlJc w:val="left"/>
      <w:rPr>
        <w:rFonts w:hint="eastAsia"/>
      </w:rPr>
    </w:lvl>
  </w:abstractNum>
  <w:abstractNum w:abstractNumId="3">
    <w:nsid w:val="06662FEA"/>
    <w:multiLevelType w:val="singleLevel"/>
    <w:tmpl w:val="06662FEA"/>
    <w:lvl w:ilvl="0" w:tentative="0">
      <w:start w:val="6"/>
      <w:numFmt w:val="chineseCounting"/>
      <w:suff w:val="nothing"/>
      <w:lvlText w:val="%1、"/>
      <w:lvlJc w:val="left"/>
      <w:rPr>
        <w:rFonts w:hint="eastAsia"/>
      </w:rPr>
    </w:lvl>
  </w:abstractNum>
  <w:abstractNum w:abstractNumId="4">
    <w:nsid w:val="35EF705C"/>
    <w:multiLevelType w:val="singleLevel"/>
    <w:tmpl w:val="35EF705C"/>
    <w:lvl w:ilvl="0" w:tentative="0">
      <w:start w:val="1"/>
      <w:numFmt w:val="chineseCounting"/>
      <w:suff w:val="nothing"/>
      <w:lvlText w:val="（%1）"/>
      <w:lvlJc w:val="left"/>
      <w:rPr>
        <w:rFonts w:hint="eastAsia"/>
      </w:rPr>
    </w:lvl>
  </w:abstractNum>
  <w:abstractNum w:abstractNumId="5">
    <w:nsid w:val="6C8E12E4"/>
    <w:multiLevelType w:val="singleLevel"/>
    <w:tmpl w:val="6C8E12E4"/>
    <w:lvl w:ilvl="0" w:tentative="0">
      <w:start w:val="1"/>
      <w:numFmt w:val="chineseCounting"/>
      <w:suff w:val="nothing"/>
      <w:lvlText w:val="%1、"/>
      <w:lvlJc w:val="left"/>
      <w:rPr>
        <w:rFonts w:hint="eastAsia"/>
      </w:r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yYjM1MTNhYTRhMjAxOGJhMzcyZmQwMWM5YjBkNDcifQ=="/>
  </w:docVars>
  <w:rsids>
    <w:rsidRoot w:val="006B29A7"/>
    <w:rsid w:val="00002C29"/>
    <w:rsid w:val="0009406E"/>
    <w:rsid w:val="000D4210"/>
    <w:rsid w:val="000D74DD"/>
    <w:rsid w:val="000E7083"/>
    <w:rsid w:val="00125861"/>
    <w:rsid w:val="00157502"/>
    <w:rsid w:val="00195A1B"/>
    <w:rsid w:val="001A6458"/>
    <w:rsid w:val="001B24C0"/>
    <w:rsid w:val="00201F81"/>
    <w:rsid w:val="00221255"/>
    <w:rsid w:val="00260A62"/>
    <w:rsid w:val="00280305"/>
    <w:rsid w:val="002B08A2"/>
    <w:rsid w:val="0032683A"/>
    <w:rsid w:val="00361692"/>
    <w:rsid w:val="00382DEE"/>
    <w:rsid w:val="00424FE8"/>
    <w:rsid w:val="005B7DCB"/>
    <w:rsid w:val="005C3AC8"/>
    <w:rsid w:val="005D4609"/>
    <w:rsid w:val="005F37BB"/>
    <w:rsid w:val="005F6803"/>
    <w:rsid w:val="00612267"/>
    <w:rsid w:val="0062654F"/>
    <w:rsid w:val="00663742"/>
    <w:rsid w:val="006953A2"/>
    <w:rsid w:val="006B29A7"/>
    <w:rsid w:val="00782F21"/>
    <w:rsid w:val="007A4927"/>
    <w:rsid w:val="00800BA6"/>
    <w:rsid w:val="00814B1E"/>
    <w:rsid w:val="00835F1B"/>
    <w:rsid w:val="00893649"/>
    <w:rsid w:val="008C7FD3"/>
    <w:rsid w:val="009A3528"/>
    <w:rsid w:val="009A6C1A"/>
    <w:rsid w:val="009D64AA"/>
    <w:rsid w:val="00A24AA1"/>
    <w:rsid w:val="00A67E29"/>
    <w:rsid w:val="00AD3C65"/>
    <w:rsid w:val="00B14A3C"/>
    <w:rsid w:val="00B2400E"/>
    <w:rsid w:val="00B42E84"/>
    <w:rsid w:val="00BA53FA"/>
    <w:rsid w:val="00BF2B40"/>
    <w:rsid w:val="00C0134D"/>
    <w:rsid w:val="00C940D9"/>
    <w:rsid w:val="00CB5DCF"/>
    <w:rsid w:val="00CC14CD"/>
    <w:rsid w:val="00CC664D"/>
    <w:rsid w:val="00CD0A51"/>
    <w:rsid w:val="00D01006"/>
    <w:rsid w:val="00D21834"/>
    <w:rsid w:val="00D86752"/>
    <w:rsid w:val="00DA16BF"/>
    <w:rsid w:val="00E10523"/>
    <w:rsid w:val="00E247D5"/>
    <w:rsid w:val="00E45320"/>
    <w:rsid w:val="00EB6B96"/>
    <w:rsid w:val="00EC5BB8"/>
    <w:rsid w:val="00F201B9"/>
    <w:rsid w:val="00F8319B"/>
    <w:rsid w:val="010765AB"/>
    <w:rsid w:val="015302C0"/>
    <w:rsid w:val="016025FC"/>
    <w:rsid w:val="01D6466C"/>
    <w:rsid w:val="01E05F01"/>
    <w:rsid w:val="01EB2A82"/>
    <w:rsid w:val="026254DF"/>
    <w:rsid w:val="026F2196"/>
    <w:rsid w:val="02910A6D"/>
    <w:rsid w:val="02F079B0"/>
    <w:rsid w:val="033160EB"/>
    <w:rsid w:val="03340902"/>
    <w:rsid w:val="036D12B2"/>
    <w:rsid w:val="036D2C77"/>
    <w:rsid w:val="03AA4003"/>
    <w:rsid w:val="043164D2"/>
    <w:rsid w:val="049A668A"/>
    <w:rsid w:val="05264CA2"/>
    <w:rsid w:val="05D9297D"/>
    <w:rsid w:val="06035C4C"/>
    <w:rsid w:val="062E2CC9"/>
    <w:rsid w:val="06894E01"/>
    <w:rsid w:val="06A46DA3"/>
    <w:rsid w:val="06DB0A8F"/>
    <w:rsid w:val="06E21E94"/>
    <w:rsid w:val="06F42471"/>
    <w:rsid w:val="072C54E4"/>
    <w:rsid w:val="072F6BFE"/>
    <w:rsid w:val="07436346"/>
    <w:rsid w:val="0778042E"/>
    <w:rsid w:val="07F01429"/>
    <w:rsid w:val="08242AE4"/>
    <w:rsid w:val="084E678A"/>
    <w:rsid w:val="08803584"/>
    <w:rsid w:val="09040FBA"/>
    <w:rsid w:val="09046160"/>
    <w:rsid w:val="09556F00"/>
    <w:rsid w:val="09D9209E"/>
    <w:rsid w:val="09E57B43"/>
    <w:rsid w:val="09FB5325"/>
    <w:rsid w:val="0AC97464"/>
    <w:rsid w:val="0AE5475F"/>
    <w:rsid w:val="0AFB47B1"/>
    <w:rsid w:val="0AFF481A"/>
    <w:rsid w:val="0B116715"/>
    <w:rsid w:val="0B183F48"/>
    <w:rsid w:val="0B6165CB"/>
    <w:rsid w:val="0BA457DB"/>
    <w:rsid w:val="0BED0F30"/>
    <w:rsid w:val="0C1C1816"/>
    <w:rsid w:val="0C550884"/>
    <w:rsid w:val="0C6F1945"/>
    <w:rsid w:val="0CBF66D8"/>
    <w:rsid w:val="0CDD2D53"/>
    <w:rsid w:val="0DB53C92"/>
    <w:rsid w:val="0E056A05"/>
    <w:rsid w:val="0E2C4C6D"/>
    <w:rsid w:val="0E4868F2"/>
    <w:rsid w:val="0EAE5132"/>
    <w:rsid w:val="0EBD5122"/>
    <w:rsid w:val="0F111C5A"/>
    <w:rsid w:val="0F817396"/>
    <w:rsid w:val="0FA80F53"/>
    <w:rsid w:val="0FD5687F"/>
    <w:rsid w:val="0FF7412C"/>
    <w:rsid w:val="104C1533"/>
    <w:rsid w:val="10B501AC"/>
    <w:rsid w:val="11CC0FF3"/>
    <w:rsid w:val="11D71B42"/>
    <w:rsid w:val="120E5E65"/>
    <w:rsid w:val="134C29E0"/>
    <w:rsid w:val="135A5E3E"/>
    <w:rsid w:val="13D824C6"/>
    <w:rsid w:val="13E02623"/>
    <w:rsid w:val="13FA41EA"/>
    <w:rsid w:val="143E0882"/>
    <w:rsid w:val="14B51389"/>
    <w:rsid w:val="14ED414B"/>
    <w:rsid w:val="15483721"/>
    <w:rsid w:val="154F35C2"/>
    <w:rsid w:val="15695ACC"/>
    <w:rsid w:val="15ED7568"/>
    <w:rsid w:val="163A4F10"/>
    <w:rsid w:val="168F708C"/>
    <w:rsid w:val="17034227"/>
    <w:rsid w:val="172E3C11"/>
    <w:rsid w:val="1752258F"/>
    <w:rsid w:val="17555BDC"/>
    <w:rsid w:val="1766661F"/>
    <w:rsid w:val="17B604C1"/>
    <w:rsid w:val="17BB39D0"/>
    <w:rsid w:val="181C333C"/>
    <w:rsid w:val="18644328"/>
    <w:rsid w:val="18701DE2"/>
    <w:rsid w:val="193427AD"/>
    <w:rsid w:val="193C50BE"/>
    <w:rsid w:val="19C842F1"/>
    <w:rsid w:val="1A1B35DC"/>
    <w:rsid w:val="1A9609E5"/>
    <w:rsid w:val="1AFA77C5"/>
    <w:rsid w:val="1AFB189F"/>
    <w:rsid w:val="1BDB69C6"/>
    <w:rsid w:val="1C16002F"/>
    <w:rsid w:val="1C3F4120"/>
    <w:rsid w:val="1C556DAA"/>
    <w:rsid w:val="1C93008D"/>
    <w:rsid w:val="1CB81A77"/>
    <w:rsid w:val="1CD21A8B"/>
    <w:rsid w:val="1CDF6673"/>
    <w:rsid w:val="1D107A2E"/>
    <w:rsid w:val="1D7274E7"/>
    <w:rsid w:val="1D8A2A83"/>
    <w:rsid w:val="1D9D3F4D"/>
    <w:rsid w:val="1DCA7323"/>
    <w:rsid w:val="1DD106B2"/>
    <w:rsid w:val="1DEB1048"/>
    <w:rsid w:val="1DF94560"/>
    <w:rsid w:val="1E303112"/>
    <w:rsid w:val="1E52504F"/>
    <w:rsid w:val="1E544141"/>
    <w:rsid w:val="1ECC3B29"/>
    <w:rsid w:val="1EDF6DFF"/>
    <w:rsid w:val="1F3F33F9"/>
    <w:rsid w:val="1F652A9E"/>
    <w:rsid w:val="1F745799"/>
    <w:rsid w:val="1F996D35"/>
    <w:rsid w:val="1FB231D9"/>
    <w:rsid w:val="20EC0602"/>
    <w:rsid w:val="2130749E"/>
    <w:rsid w:val="214C004F"/>
    <w:rsid w:val="21937A2C"/>
    <w:rsid w:val="21D52CE5"/>
    <w:rsid w:val="21FB1F3B"/>
    <w:rsid w:val="22724F75"/>
    <w:rsid w:val="231B5F2B"/>
    <w:rsid w:val="231E4D1A"/>
    <w:rsid w:val="235F20CF"/>
    <w:rsid w:val="2393373D"/>
    <w:rsid w:val="23E7405F"/>
    <w:rsid w:val="23FA0237"/>
    <w:rsid w:val="24402EDE"/>
    <w:rsid w:val="24484DFE"/>
    <w:rsid w:val="24633955"/>
    <w:rsid w:val="256462D4"/>
    <w:rsid w:val="25657932"/>
    <w:rsid w:val="2589216E"/>
    <w:rsid w:val="25916979"/>
    <w:rsid w:val="25F81DB8"/>
    <w:rsid w:val="266D3C01"/>
    <w:rsid w:val="268B1A7D"/>
    <w:rsid w:val="26B612F4"/>
    <w:rsid w:val="26CF1983"/>
    <w:rsid w:val="26DE174A"/>
    <w:rsid w:val="26F92A28"/>
    <w:rsid w:val="276B68F3"/>
    <w:rsid w:val="27A74232"/>
    <w:rsid w:val="27D35070"/>
    <w:rsid w:val="28072F22"/>
    <w:rsid w:val="283C7C9B"/>
    <w:rsid w:val="286E6AFD"/>
    <w:rsid w:val="28CA642A"/>
    <w:rsid w:val="29183639"/>
    <w:rsid w:val="295201CD"/>
    <w:rsid w:val="295849BE"/>
    <w:rsid w:val="29636FAA"/>
    <w:rsid w:val="297135B3"/>
    <w:rsid w:val="297168A5"/>
    <w:rsid w:val="298244EE"/>
    <w:rsid w:val="2A007EFA"/>
    <w:rsid w:val="2A4C5DAB"/>
    <w:rsid w:val="2AC76112"/>
    <w:rsid w:val="2AF61758"/>
    <w:rsid w:val="2AFE2707"/>
    <w:rsid w:val="2B1011C6"/>
    <w:rsid w:val="2B606894"/>
    <w:rsid w:val="2BBF7883"/>
    <w:rsid w:val="2D2F3D6A"/>
    <w:rsid w:val="2D401274"/>
    <w:rsid w:val="2D614768"/>
    <w:rsid w:val="2D855015"/>
    <w:rsid w:val="2E314855"/>
    <w:rsid w:val="2E440A2C"/>
    <w:rsid w:val="2E7A324F"/>
    <w:rsid w:val="2F5527C5"/>
    <w:rsid w:val="2FAB75B0"/>
    <w:rsid w:val="2FB752F1"/>
    <w:rsid w:val="2FBD4D02"/>
    <w:rsid w:val="2FFE2E5D"/>
    <w:rsid w:val="306B55ED"/>
    <w:rsid w:val="307F7AFA"/>
    <w:rsid w:val="30850E88"/>
    <w:rsid w:val="30EC0F07"/>
    <w:rsid w:val="311F0C06"/>
    <w:rsid w:val="318F411A"/>
    <w:rsid w:val="319055AA"/>
    <w:rsid w:val="31F439E7"/>
    <w:rsid w:val="31FC23B9"/>
    <w:rsid w:val="320A2633"/>
    <w:rsid w:val="32560265"/>
    <w:rsid w:val="327970BC"/>
    <w:rsid w:val="327B0795"/>
    <w:rsid w:val="32893218"/>
    <w:rsid w:val="32BF45F8"/>
    <w:rsid w:val="32CA491C"/>
    <w:rsid w:val="32F06993"/>
    <w:rsid w:val="32FE6C1A"/>
    <w:rsid w:val="3303396C"/>
    <w:rsid w:val="33C24F8E"/>
    <w:rsid w:val="33C85C5B"/>
    <w:rsid w:val="33E10B9C"/>
    <w:rsid w:val="345D1AB1"/>
    <w:rsid w:val="346375DB"/>
    <w:rsid w:val="346C3D69"/>
    <w:rsid w:val="3486019B"/>
    <w:rsid w:val="34921414"/>
    <w:rsid w:val="34AA5361"/>
    <w:rsid w:val="34EE3BA3"/>
    <w:rsid w:val="35BA10E4"/>
    <w:rsid w:val="35D27D3E"/>
    <w:rsid w:val="35DF3F1C"/>
    <w:rsid w:val="361232A7"/>
    <w:rsid w:val="36422A03"/>
    <w:rsid w:val="368C2F70"/>
    <w:rsid w:val="36AC3612"/>
    <w:rsid w:val="36DF5796"/>
    <w:rsid w:val="375D490D"/>
    <w:rsid w:val="378840E4"/>
    <w:rsid w:val="378F705B"/>
    <w:rsid w:val="38385387"/>
    <w:rsid w:val="38862863"/>
    <w:rsid w:val="38F41489"/>
    <w:rsid w:val="39540160"/>
    <w:rsid w:val="3A425253"/>
    <w:rsid w:val="3A542215"/>
    <w:rsid w:val="3A704D37"/>
    <w:rsid w:val="3A7B1CB8"/>
    <w:rsid w:val="3A946897"/>
    <w:rsid w:val="3A9834B4"/>
    <w:rsid w:val="3AC54D06"/>
    <w:rsid w:val="3AE8273F"/>
    <w:rsid w:val="3AF86E26"/>
    <w:rsid w:val="3B1F2605"/>
    <w:rsid w:val="3B4A492A"/>
    <w:rsid w:val="3B5878C5"/>
    <w:rsid w:val="3BC27434"/>
    <w:rsid w:val="3BD607DE"/>
    <w:rsid w:val="3CD613E9"/>
    <w:rsid w:val="3D14691F"/>
    <w:rsid w:val="3D8441F8"/>
    <w:rsid w:val="3DA36040"/>
    <w:rsid w:val="3DD54363"/>
    <w:rsid w:val="3E4A66E2"/>
    <w:rsid w:val="3E97414F"/>
    <w:rsid w:val="3EB27775"/>
    <w:rsid w:val="3EB46A45"/>
    <w:rsid w:val="3F1F0AD0"/>
    <w:rsid w:val="3F246E28"/>
    <w:rsid w:val="3F2A7F57"/>
    <w:rsid w:val="3FEF5C9B"/>
    <w:rsid w:val="40511E45"/>
    <w:rsid w:val="405F5252"/>
    <w:rsid w:val="40E65224"/>
    <w:rsid w:val="41116A5C"/>
    <w:rsid w:val="411F6CC2"/>
    <w:rsid w:val="41913041"/>
    <w:rsid w:val="41D4159F"/>
    <w:rsid w:val="41DA7286"/>
    <w:rsid w:val="41E73B64"/>
    <w:rsid w:val="41FB2144"/>
    <w:rsid w:val="426B6130"/>
    <w:rsid w:val="428355FD"/>
    <w:rsid w:val="42D52BD6"/>
    <w:rsid w:val="42FC1D8E"/>
    <w:rsid w:val="43423771"/>
    <w:rsid w:val="434E408E"/>
    <w:rsid w:val="43633DC5"/>
    <w:rsid w:val="43643F2E"/>
    <w:rsid w:val="43CD117F"/>
    <w:rsid w:val="44290382"/>
    <w:rsid w:val="442C193D"/>
    <w:rsid w:val="44F75334"/>
    <w:rsid w:val="451B69DA"/>
    <w:rsid w:val="452B7DF8"/>
    <w:rsid w:val="453A52BD"/>
    <w:rsid w:val="456C67DF"/>
    <w:rsid w:val="45B351D8"/>
    <w:rsid w:val="464D121A"/>
    <w:rsid w:val="4672380C"/>
    <w:rsid w:val="469C50D3"/>
    <w:rsid w:val="46E10FA2"/>
    <w:rsid w:val="471C017E"/>
    <w:rsid w:val="47E524E0"/>
    <w:rsid w:val="47F36533"/>
    <w:rsid w:val="48007DC3"/>
    <w:rsid w:val="48593A2D"/>
    <w:rsid w:val="48A6034E"/>
    <w:rsid w:val="48F14EB5"/>
    <w:rsid w:val="49726FD4"/>
    <w:rsid w:val="4A1470AD"/>
    <w:rsid w:val="4A5635B7"/>
    <w:rsid w:val="4A854F0B"/>
    <w:rsid w:val="4AAC3789"/>
    <w:rsid w:val="4AF12DA6"/>
    <w:rsid w:val="4AF647F5"/>
    <w:rsid w:val="4B0A5C30"/>
    <w:rsid w:val="4B2772B4"/>
    <w:rsid w:val="4B555BCF"/>
    <w:rsid w:val="4B583C56"/>
    <w:rsid w:val="4BD13B95"/>
    <w:rsid w:val="4BE13907"/>
    <w:rsid w:val="4C1F06B5"/>
    <w:rsid w:val="4C712A96"/>
    <w:rsid w:val="4CA901BB"/>
    <w:rsid w:val="4CC83899"/>
    <w:rsid w:val="4CF17718"/>
    <w:rsid w:val="4DCA0138"/>
    <w:rsid w:val="4DCB56E1"/>
    <w:rsid w:val="4DD70B1D"/>
    <w:rsid w:val="4DE65AF2"/>
    <w:rsid w:val="4E124591"/>
    <w:rsid w:val="4E1B16B7"/>
    <w:rsid w:val="4E9C3B15"/>
    <w:rsid w:val="4E9C568F"/>
    <w:rsid w:val="4EA17E2B"/>
    <w:rsid w:val="4F1F596D"/>
    <w:rsid w:val="4F8873DF"/>
    <w:rsid w:val="4F964BD7"/>
    <w:rsid w:val="4FA61264"/>
    <w:rsid w:val="4FAF3CEE"/>
    <w:rsid w:val="4FBB70BF"/>
    <w:rsid w:val="4FEE56B8"/>
    <w:rsid w:val="504F47C8"/>
    <w:rsid w:val="508F56DF"/>
    <w:rsid w:val="509372E2"/>
    <w:rsid w:val="50A72271"/>
    <w:rsid w:val="5139564B"/>
    <w:rsid w:val="51903FB3"/>
    <w:rsid w:val="51DA0C16"/>
    <w:rsid w:val="520774F7"/>
    <w:rsid w:val="527252B8"/>
    <w:rsid w:val="52B753C1"/>
    <w:rsid w:val="52E95362"/>
    <w:rsid w:val="53542C10"/>
    <w:rsid w:val="53931C74"/>
    <w:rsid w:val="54774E08"/>
    <w:rsid w:val="549B702F"/>
    <w:rsid w:val="54A92EF5"/>
    <w:rsid w:val="54BE0984"/>
    <w:rsid w:val="55380767"/>
    <w:rsid w:val="553966CD"/>
    <w:rsid w:val="554A082F"/>
    <w:rsid w:val="555775BD"/>
    <w:rsid w:val="55B6775F"/>
    <w:rsid w:val="55C45E2B"/>
    <w:rsid w:val="55FD30EB"/>
    <w:rsid w:val="55FE65AD"/>
    <w:rsid w:val="56625F18"/>
    <w:rsid w:val="56934835"/>
    <w:rsid w:val="57475C4D"/>
    <w:rsid w:val="577F5960"/>
    <w:rsid w:val="57885924"/>
    <w:rsid w:val="578C22EA"/>
    <w:rsid w:val="57CA7684"/>
    <w:rsid w:val="57F25455"/>
    <w:rsid w:val="581E790C"/>
    <w:rsid w:val="582A4909"/>
    <w:rsid w:val="58C369C7"/>
    <w:rsid w:val="58C9181F"/>
    <w:rsid w:val="58D87E71"/>
    <w:rsid w:val="58FC62F2"/>
    <w:rsid w:val="599C0E6D"/>
    <w:rsid w:val="59CC52AE"/>
    <w:rsid w:val="5A0510A5"/>
    <w:rsid w:val="5A0E5D14"/>
    <w:rsid w:val="5A4C39FF"/>
    <w:rsid w:val="5AEE394A"/>
    <w:rsid w:val="5B213377"/>
    <w:rsid w:val="5B763FF3"/>
    <w:rsid w:val="5B94004E"/>
    <w:rsid w:val="5BA97BE4"/>
    <w:rsid w:val="5BAD55B3"/>
    <w:rsid w:val="5BD30872"/>
    <w:rsid w:val="5C02145B"/>
    <w:rsid w:val="5C1519EC"/>
    <w:rsid w:val="5C401F83"/>
    <w:rsid w:val="5C6C296C"/>
    <w:rsid w:val="5C6E5FA2"/>
    <w:rsid w:val="5CB169DD"/>
    <w:rsid w:val="5CD22236"/>
    <w:rsid w:val="5CE77B86"/>
    <w:rsid w:val="5D7204E7"/>
    <w:rsid w:val="5D9205BD"/>
    <w:rsid w:val="5DA165FC"/>
    <w:rsid w:val="5DCF35BF"/>
    <w:rsid w:val="5DD453D2"/>
    <w:rsid w:val="5DDE1A54"/>
    <w:rsid w:val="5E0F1019"/>
    <w:rsid w:val="5E2733FB"/>
    <w:rsid w:val="5E4E0751"/>
    <w:rsid w:val="5E6D631E"/>
    <w:rsid w:val="5E802495"/>
    <w:rsid w:val="5EAE0B30"/>
    <w:rsid w:val="5F2627A2"/>
    <w:rsid w:val="5F29288B"/>
    <w:rsid w:val="5F2960E3"/>
    <w:rsid w:val="5F3C6B9F"/>
    <w:rsid w:val="5F3F29C6"/>
    <w:rsid w:val="5F9230A8"/>
    <w:rsid w:val="5FEB152F"/>
    <w:rsid w:val="603040BD"/>
    <w:rsid w:val="608D150F"/>
    <w:rsid w:val="60BA20C2"/>
    <w:rsid w:val="60BB6C53"/>
    <w:rsid w:val="60ED424E"/>
    <w:rsid w:val="61135EB8"/>
    <w:rsid w:val="613E4F83"/>
    <w:rsid w:val="61794F77"/>
    <w:rsid w:val="61CA1D35"/>
    <w:rsid w:val="61EA7522"/>
    <w:rsid w:val="62551005"/>
    <w:rsid w:val="62726C0F"/>
    <w:rsid w:val="63071A4D"/>
    <w:rsid w:val="6318487D"/>
    <w:rsid w:val="63A66A5D"/>
    <w:rsid w:val="63B868A3"/>
    <w:rsid w:val="63DE703D"/>
    <w:rsid w:val="64801AB7"/>
    <w:rsid w:val="6492262F"/>
    <w:rsid w:val="64AF66E6"/>
    <w:rsid w:val="64B21544"/>
    <w:rsid w:val="64CC2606"/>
    <w:rsid w:val="64D94B70"/>
    <w:rsid w:val="651103EA"/>
    <w:rsid w:val="65424FBE"/>
    <w:rsid w:val="657B402C"/>
    <w:rsid w:val="65BD2897"/>
    <w:rsid w:val="65C23A09"/>
    <w:rsid w:val="661B0340"/>
    <w:rsid w:val="663D12E2"/>
    <w:rsid w:val="66AE52A4"/>
    <w:rsid w:val="66D47E98"/>
    <w:rsid w:val="66F2031E"/>
    <w:rsid w:val="676B6396"/>
    <w:rsid w:val="67F51E74"/>
    <w:rsid w:val="681A5AE2"/>
    <w:rsid w:val="6834182C"/>
    <w:rsid w:val="6848047F"/>
    <w:rsid w:val="688C3C05"/>
    <w:rsid w:val="68DD74D8"/>
    <w:rsid w:val="68E11616"/>
    <w:rsid w:val="68EA5751"/>
    <w:rsid w:val="68EF06C4"/>
    <w:rsid w:val="691B1DAE"/>
    <w:rsid w:val="696F5C56"/>
    <w:rsid w:val="69F108B1"/>
    <w:rsid w:val="6A161ADF"/>
    <w:rsid w:val="6A220F1A"/>
    <w:rsid w:val="6A402F67"/>
    <w:rsid w:val="6A4D6296"/>
    <w:rsid w:val="6A550E2D"/>
    <w:rsid w:val="6A741A6B"/>
    <w:rsid w:val="6BA8796D"/>
    <w:rsid w:val="6BE25825"/>
    <w:rsid w:val="6C5C11C9"/>
    <w:rsid w:val="6C755C79"/>
    <w:rsid w:val="6C815A29"/>
    <w:rsid w:val="6C987344"/>
    <w:rsid w:val="6D0F37F6"/>
    <w:rsid w:val="6D371181"/>
    <w:rsid w:val="6D3757F6"/>
    <w:rsid w:val="6D5B7F27"/>
    <w:rsid w:val="6D8134CB"/>
    <w:rsid w:val="6E0F385F"/>
    <w:rsid w:val="6E4D6CD0"/>
    <w:rsid w:val="6E573888"/>
    <w:rsid w:val="6EEA46FD"/>
    <w:rsid w:val="6EF8407C"/>
    <w:rsid w:val="6F0B363C"/>
    <w:rsid w:val="6F143527"/>
    <w:rsid w:val="6F2C64D3"/>
    <w:rsid w:val="6F697E58"/>
    <w:rsid w:val="6F6E2E43"/>
    <w:rsid w:val="6F712F1C"/>
    <w:rsid w:val="6FCD36D6"/>
    <w:rsid w:val="70016853"/>
    <w:rsid w:val="706E7163"/>
    <w:rsid w:val="708741CD"/>
    <w:rsid w:val="70BB2FB2"/>
    <w:rsid w:val="70D50A94"/>
    <w:rsid w:val="71630796"/>
    <w:rsid w:val="71645191"/>
    <w:rsid w:val="71810C1C"/>
    <w:rsid w:val="71911F5B"/>
    <w:rsid w:val="723E771D"/>
    <w:rsid w:val="72D07765"/>
    <w:rsid w:val="733A1083"/>
    <w:rsid w:val="73716B5E"/>
    <w:rsid w:val="73B21561"/>
    <w:rsid w:val="73DA75C2"/>
    <w:rsid w:val="741F0125"/>
    <w:rsid w:val="747A374A"/>
    <w:rsid w:val="75DC08C0"/>
    <w:rsid w:val="76067942"/>
    <w:rsid w:val="762D0DE7"/>
    <w:rsid w:val="767C19B2"/>
    <w:rsid w:val="7685067C"/>
    <w:rsid w:val="76D812DE"/>
    <w:rsid w:val="777803CC"/>
    <w:rsid w:val="77996839"/>
    <w:rsid w:val="77C31ACD"/>
    <w:rsid w:val="77C67389"/>
    <w:rsid w:val="786066B3"/>
    <w:rsid w:val="78A21BA4"/>
    <w:rsid w:val="78BA7E33"/>
    <w:rsid w:val="78CC2D01"/>
    <w:rsid w:val="78F671A8"/>
    <w:rsid w:val="79206F6D"/>
    <w:rsid w:val="79377117"/>
    <w:rsid w:val="7A102B3D"/>
    <w:rsid w:val="7A2A2CC5"/>
    <w:rsid w:val="7A3C0C45"/>
    <w:rsid w:val="7A5275FA"/>
    <w:rsid w:val="7A7162E8"/>
    <w:rsid w:val="7AA754C8"/>
    <w:rsid w:val="7AEF45F7"/>
    <w:rsid w:val="7B2A3921"/>
    <w:rsid w:val="7B310FBD"/>
    <w:rsid w:val="7B786C1E"/>
    <w:rsid w:val="7BA23C69"/>
    <w:rsid w:val="7C0B683D"/>
    <w:rsid w:val="7C0E3EFF"/>
    <w:rsid w:val="7C2D01DF"/>
    <w:rsid w:val="7C395B0D"/>
    <w:rsid w:val="7C3A0345"/>
    <w:rsid w:val="7CB2612E"/>
    <w:rsid w:val="7CBE1571"/>
    <w:rsid w:val="7CD60D99"/>
    <w:rsid w:val="7DF15BE7"/>
    <w:rsid w:val="7E576F8D"/>
    <w:rsid w:val="7EB83207"/>
    <w:rsid w:val="7F6D458E"/>
    <w:rsid w:val="7F7A37A8"/>
    <w:rsid w:val="7F9164CE"/>
    <w:rsid w:val="7FCE0398"/>
    <w:rsid w:val="7FE231CE"/>
    <w:rsid w:val="7FEB265A"/>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Body Text First Indent 21"/>
    <w:basedOn w:val="3"/>
    <w:qFormat/>
    <w:uiPriority w:val="0"/>
    <w:pPr>
      <w:ind w:firstLine="420" w:firstLineChars="200"/>
    </w:pPr>
  </w:style>
  <w:style w:type="paragraph" w:customStyle="1" w:styleId="3">
    <w:name w:val="Body Text Indent1"/>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引文目录1"/>
    <w:next w:val="1"/>
    <w:qFormat/>
    <w:uiPriority w:val="0"/>
    <w:pPr>
      <w:widowControl w:val="0"/>
      <w:ind w:left="420" w:leftChars="200"/>
      <w:jc w:val="both"/>
    </w:pPr>
    <w:rPr>
      <w:rFonts w:ascii="Calibri" w:hAnsi="Calibri" w:eastAsia="宋体" w:cs="Times New Roman"/>
      <w:kern w:val="2"/>
      <w:sz w:val="21"/>
      <w:szCs w:val="24"/>
      <w:lang w:val="en-US" w:eastAsia="zh-CN" w:bidi="ar-SA"/>
    </w:rPr>
  </w:style>
  <w:style w:type="paragraph" w:styleId="9">
    <w:name w:val="No Spacing"/>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7836</Words>
  <Characters>8353</Characters>
  <Lines>59</Lines>
  <Paragraphs>16</Paragraphs>
  <TotalTime>0</TotalTime>
  <ScaleCrop>false</ScaleCrop>
  <LinksUpToDate>false</LinksUpToDate>
  <CharactersWithSpaces>8370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2024-07-01T13:57:00Z</dcterms:created>
  <dc:creator>Administrator</dc:creator>
  <cp:lastModifiedBy>不用粉墨</cp:lastModifiedBy>
  <cp:lastPrinted>2024-09-07T08:05:00Z</cp:lastPrinted>
  <dcterms:modified xsi:type="dcterms:W3CDTF">2024-09-23T02:13:05Z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120297266D5D4315A1E047C79A618346_13</vt:lpwstr>
  </property>
</Properties>
</file>