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jc w:val="center"/>
        <w:rPr>
          <w:rFonts w:hint="eastAsia" w:ascii="仿宋" w:hAnsi="仿宋" w:eastAsia="仿宋" w:cs="仿宋"/>
          <w:b/>
          <w:bCs/>
          <w:sz w:val="48"/>
          <w:szCs w:val="48"/>
          <w:highlight w:val="none"/>
        </w:rPr>
      </w:pPr>
      <w:r>
        <w:rPr>
          <w:rFonts w:hint="eastAsia" w:ascii="仿宋" w:hAnsi="仿宋" w:eastAsia="仿宋" w:cs="仿宋"/>
          <w:b/>
          <w:bCs/>
          <w:sz w:val="48"/>
          <w:szCs w:val="48"/>
          <w:highlight w:val="none"/>
        </w:rPr>
        <w:t>2021年度</w:t>
      </w:r>
      <w:r>
        <w:rPr>
          <w:rFonts w:hint="eastAsia" w:ascii="仿宋" w:hAnsi="仿宋" w:eastAsia="仿宋" w:cs="仿宋"/>
          <w:b/>
          <w:bCs/>
          <w:sz w:val="48"/>
          <w:szCs w:val="48"/>
          <w:highlight w:val="none"/>
          <w:lang w:val="en-US" w:eastAsia="zh-CN"/>
        </w:rPr>
        <w:t>湖南怀化商业供销学校</w:t>
      </w:r>
      <w:r>
        <w:rPr>
          <w:rFonts w:hint="eastAsia" w:ascii="仿宋" w:hAnsi="仿宋" w:eastAsia="仿宋" w:cs="仿宋"/>
          <w:b/>
          <w:bCs/>
          <w:sz w:val="48"/>
          <w:szCs w:val="48"/>
          <w:highlight w:val="none"/>
        </w:rPr>
        <w:t>部门决算</w:t>
      </w:r>
    </w:p>
    <w:p>
      <w:pPr>
        <w:pStyle w:val="21"/>
        <w:spacing w:line="500" w:lineRule="exact"/>
        <w:jc w:val="center"/>
        <w:rPr>
          <w:rFonts w:hint="eastAsia" w:ascii="仿宋" w:hAnsi="仿宋" w:eastAsia="仿宋" w:cs="仿宋"/>
          <w:b w:val="0"/>
          <w:bCs/>
          <w:sz w:val="32"/>
          <w:szCs w:val="32"/>
          <w:highlight w:val="none"/>
        </w:rPr>
      </w:pPr>
    </w:p>
    <w:p>
      <w:pPr>
        <w:pStyle w:val="21"/>
        <w:spacing w:line="500" w:lineRule="exact"/>
        <w:jc w:val="center"/>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目</w:t>
      </w:r>
      <w:r>
        <w:rPr>
          <w:rFonts w:hint="eastAsia" w:ascii="仿宋" w:hAnsi="仿宋" w:eastAsia="仿宋" w:cs="仿宋"/>
          <w:b w:val="0"/>
          <w:bCs/>
          <w:sz w:val="32"/>
          <w:szCs w:val="32"/>
          <w:highlight w:val="none"/>
          <w:lang w:val="en-US" w:eastAsia="zh-CN"/>
        </w:rPr>
        <w:t xml:space="preserve"> </w:t>
      </w:r>
      <w:r>
        <w:rPr>
          <w:rFonts w:hint="eastAsia" w:ascii="仿宋" w:hAnsi="仿宋" w:eastAsia="仿宋" w:cs="仿宋"/>
          <w:b w:val="0"/>
          <w:bCs/>
          <w:sz w:val="32"/>
          <w:szCs w:val="32"/>
          <w:highlight w:val="none"/>
        </w:rPr>
        <w:t>录</w:t>
      </w:r>
    </w:p>
    <w:p>
      <w:pPr>
        <w:pStyle w:val="21"/>
        <w:spacing w:line="500" w:lineRule="exact"/>
        <w:jc w:val="center"/>
        <w:rPr>
          <w:rFonts w:hint="eastAsia" w:ascii="仿宋" w:hAnsi="仿宋" w:eastAsia="仿宋" w:cs="仿宋"/>
          <w:b/>
          <w:sz w:val="32"/>
          <w:szCs w:val="32"/>
          <w:highlight w:val="none"/>
        </w:rPr>
      </w:pPr>
    </w:p>
    <w:p>
      <w:pPr>
        <w:pStyle w:val="21"/>
        <w:spacing w:line="500" w:lineRule="exact"/>
        <w:ind w:firstLine="643"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第一部分</w:t>
      </w:r>
      <w:r>
        <w:rPr>
          <w:rFonts w:hint="eastAsia" w:ascii="仿宋" w:hAnsi="仿宋" w:eastAsia="仿宋" w:cs="仿宋"/>
          <w:b/>
          <w:sz w:val="32"/>
          <w:szCs w:val="32"/>
          <w:highlight w:val="none"/>
          <w:lang w:val="en-US" w:eastAsia="zh-CN"/>
        </w:rPr>
        <w:t xml:space="preserve"> 湖南怀化商业供销学校</w:t>
      </w:r>
      <w:r>
        <w:rPr>
          <w:rFonts w:hint="eastAsia" w:ascii="仿宋" w:hAnsi="仿宋" w:eastAsia="仿宋" w:cs="仿宋"/>
          <w:b/>
          <w:sz w:val="32"/>
          <w:szCs w:val="32"/>
          <w:highlight w:val="none"/>
        </w:rPr>
        <w:t>概况</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一、部门职责</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二、机构设置</w:t>
      </w:r>
    </w:p>
    <w:p>
      <w:pPr>
        <w:pStyle w:val="21"/>
        <w:spacing w:line="500" w:lineRule="exact"/>
        <w:ind w:firstLine="643"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第二部分</w:t>
      </w:r>
      <w:r>
        <w:rPr>
          <w:rFonts w:hint="eastAsia" w:ascii="仿宋" w:hAnsi="仿宋" w:eastAsia="仿宋" w:cs="仿宋"/>
          <w:b/>
          <w:sz w:val="32"/>
          <w:szCs w:val="32"/>
          <w:highlight w:val="none"/>
          <w:lang w:val="en-US" w:eastAsia="zh-CN"/>
        </w:rPr>
        <w:t xml:space="preserve"> </w:t>
      </w:r>
      <w:r>
        <w:rPr>
          <w:rFonts w:hint="eastAsia" w:ascii="仿宋" w:hAnsi="仿宋" w:eastAsia="仿宋" w:cs="仿宋"/>
          <w:b/>
          <w:sz w:val="32"/>
          <w:szCs w:val="32"/>
          <w:highlight w:val="none"/>
        </w:rPr>
        <w:t>2021年度部门决算表</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一、收入支出决算总表</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二、收入决算表</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三、支出决算表</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四、财政拨款收入支出决算总表</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五、一般公共预算财政拨款支出决算表</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六、一般公共预算财政拨款基本支出决算明细表</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七、一般公共预算财政拨款“三公”经费支出决算表</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八、政府性基金预算财政拨款收入支出决算表</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九、国有资本经营预算财政拨款支出决算表</w:t>
      </w:r>
    </w:p>
    <w:p>
      <w:pPr>
        <w:pStyle w:val="21"/>
        <w:spacing w:line="500" w:lineRule="exact"/>
        <w:ind w:firstLine="643"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第三部分</w:t>
      </w:r>
      <w:r>
        <w:rPr>
          <w:rFonts w:hint="eastAsia" w:ascii="仿宋" w:hAnsi="仿宋" w:eastAsia="仿宋" w:cs="仿宋"/>
          <w:b/>
          <w:sz w:val="32"/>
          <w:szCs w:val="32"/>
          <w:highlight w:val="none"/>
          <w:lang w:val="en-US" w:eastAsia="zh-CN"/>
        </w:rPr>
        <w:t xml:space="preserve"> </w:t>
      </w:r>
      <w:r>
        <w:rPr>
          <w:rFonts w:hint="eastAsia" w:ascii="仿宋" w:hAnsi="仿宋" w:eastAsia="仿宋" w:cs="仿宋"/>
          <w:b/>
          <w:sz w:val="32"/>
          <w:szCs w:val="32"/>
          <w:highlight w:val="none"/>
        </w:rPr>
        <w:t>2021年度部门决算情况说明</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一、收入支出决算总体情况说明</w:t>
      </w:r>
    </w:p>
    <w:p>
      <w:pPr>
        <w:spacing w:line="500" w:lineRule="exact"/>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二、收入决算情况说明</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三、支出决算情况说明</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四、财政拨款收入支出决算总体情况说明</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五、一般公共预算财政拨款支出决算情况说明</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六、一般公共预算财政拨款基本支出决算情况说明</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七、一般公共预算财政拨款“三公”经费支出决算情况说明</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八、政府性基金预算收入支出决算情况</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lang w:eastAsia="zh-CN"/>
        </w:rPr>
      </w:pPr>
      <w:r>
        <w:rPr>
          <w:rFonts w:hint="eastAsia" w:ascii="仿宋" w:hAnsi="仿宋" w:eastAsia="仿宋" w:cs="仿宋"/>
          <w:color w:val="000000"/>
          <w:kern w:val="0"/>
          <w:sz w:val="32"/>
          <w:szCs w:val="32"/>
          <w:highlight w:val="none"/>
          <w:lang w:eastAsia="zh-CN"/>
        </w:rPr>
        <w:t>九、国有资本经营预算财政拨款支出决算情况说明</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lang w:eastAsia="zh-CN"/>
        </w:rPr>
        <w:t>十</w:t>
      </w:r>
      <w:r>
        <w:rPr>
          <w:rFonts w:hint="eastAsia" w:ascii="仿宋" w:hAnsi="仿宋" w:eastAsia="仿宋" w:cs="仿宋"/>
          <w:color w:val="000000"/>
          <w:kern w:val="0"/>
          <w:sz w:val="32"/>
          <w:szCs w:val="32"/>
          <w:highlight w:val="none"/>
        </w:rPr>
        <w:t>、机关运行经费支出说明</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十</w:t>
      </w:r>
      <w:r>
        <w:rPr>
          <w:rFonts w:hint="eastAsia" w:ascii="仿宋" w:hAnsi="仿宋" w:eastAsia="仿宋" w:cs="仿宋"/>
          <w:color w:val="000000"/>
          <w:kern w:val="0"/>
          <w:sz w:val="32"/>
          <w:szCs w:val="32"/>
          <w:highlight w:val="none"/>
          <w:lang w:eastAsia="zh-CN"/>
        </w:rPr>
        <w:t>一</w:t>
      </w:r>
      <w:r>
        <w:rPr>
          <w:rFonts w:hint="eastAsia" w:ascii="仿宋" w:hAnsi="仿宋" w:eastAsia="仿宋" w:cs="仿宋"/>
          <w:color w:val="000000"/>
          <w:kern w:val="0"/>
          <w:sz w:val="32"/>
          <w:szCs w:val="32"/>
          <w:highlight w:val="none"/>
        </w:rPr>
        <w:t>、一般性支出情况说明</w:t>
      </w:r>
    </w:p>
    <w:p>
      <w:pPr>
        <w:autoSpaceDE w:val="0"/>
        <w:autoSpaceDN w:val="0"/>
        <w:adjustRightInd w:val="0"/>
        <w:spacing w:line="500" w:lineRule="exact"/>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十</w:t>
      </w:r>
      <w:r>
        <w:rPr>
          <w:rFonts w:hint="eastAsia" w:ascii="仿宋" w:hAnsi="仿宋" w:eastAsia="仿宋" w:cs="仿宋"/>
          <w:color w:val="000000"/>
          <w:kern w:val="0"/>
          <w:sz w:val="32"/>
          <w:szCs w:val="32"/>
          <w:highlight w:val="none"/>
          <w:lang w:eastAsia="zh-CN"/>
        </w:rPr>
        <w:t>二</w:t>
      </w:r>
      <w:r>
        <w:rPr>
          <w:rFonts w:hint="eastAsia" w:ascii="仿宋" w:hAnsi="仿宋" w:eastAsia="仿宋" w:cs="仿宋"/>
          <w:color w:val="000000"/>
          <w:kern w:val="0"/>
          <w:sz w:val="32"/>
          <w:szCs w:val="32"/>
          <w:highlight w:val="none"/>
        </w:rPr>
        <w:t>、</w:t>
      </w:r>
      <w:r>
        <w:rPr>
          <w:rFonts w:hint="eastAsia" w:ascii="仿宋" w:hAnsi="仿宋" w:eastAsia="仿宋" w:cs="仿宋"/>
          <w:color w:val="000000"/>
          <w:kern w:val="0"/>
          <w:sz w:val="32"/>
          <w:szCs w:val="32"/>
          <w:highlight w:val="none"/>
          <w:lang w:eastAsia="zh-CN"/>
        </w:rPr>
        <w:t>关于</w:t>
      </w:r>
      <w:r>
        <w:rPr>
          <w:rFonts w:hint="eastAsia" w:ascii="仿宋" w:hAnsi="仿宋" w:eastAsia="仿宋" w:cs="仿宋"/>
          <w:color w:val="000000"/>
          <w:kern w:val="0"/>
          <w:sz w:val="32"/>
          <w:szCs w:val="32"/>
          <w:highlight w:val="none"/>
        </w:rPr>
        <w:t>政府采购支出说明</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十</w:t>
      </w:r>
      <w:r>
        <w:rPr>
          <w:rFonts w:hint="eastAsia" w:ascii="仿宋" w:hAnsi="仿宋" w:eastAsia="仿宋" w:cs="仿宋"/>
          <w:sz w:val="32"/>
          <w:szCs w:val="32"/>
          <w:highlight w:val="none"/>
          <w:lang w:eastAsia="zh-CN"/>
        </w:rPr>
        <w:t>三</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关于</w:t>
      </w:r>
      <w:r>
        <w:rPr>
          <w:rFonts w:hint="eastAsia" w:ascii="仿宋" w:hAnsi="仿宋" w:eastAsia="仿宋" w:cs="仿宋"/>
          <w:sz w:val="32"/>
          <w:szCs w:val="32"/>
          <w:highlight w:val="none"/>
        </w:rPr>
        <w:t>国有资产占用情况说明</w:t>
      </w:r>
    </w:p>
    <w:p>
      <w:pPr>
        <w:pStyle w:val="21"/>
        <w:spacing w:line="5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十</w:t>
      </w:r>
      <w:r>
        <w:rPr>
          <w:rFonts w:hint="eastAsia" w:ascii="仿宋" w:hAnsi="仿宋" w:eastAsia="仿宋" w:cs="仿宋"/>
          <w:sz w:val="32"/>
          <w:szCs w:val="32"/>
          <w:highlight w:val="none"/>
          <w:lang w:eastAsia="zh-CN"/>
        </w:rPr>
        <w:t>四</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关于</w:t>
      </w:r>
      <w:r>
        <w:rPr>
          <w:rFonts w:hint="eastAsia" w:ascii="仿宋" w:hAnsi="仿宋" w:eastAsia="仿宋" w:cs="仿宋"/>
          <w:sz w:val="32"/>
          <w:szCs w:val="32"/>
          <w:highlight w:val="none"/>
        </w:rPr>
        <w:t>2021年度预算绩效情况说明</w:t>
      </w:r>
    </w:p>
    <w:p>
      <w:pPr>
        <w:autoSpaceDE w:val="0"/>
        <w:autoSpaceDN w:val="0"/>
        <w:adjustRightInd w:val="0"/>
        <w:spacing w:line="500" w:lineRule="exact"/>
        <w:ind w:firstLine="643" w:firstLineChars="200"/>
        <w:jc w:val="left"/>
        <w:rPr>
          <w:rFonts w:hint="eastAsia" w:ascii="仿宋" w:hAnsi="仿宋" w:eastAsia="仿宋" w:cs="仿宋"/>
          <w:b/>
          <w:color w:val="000000"/>
          <w:kern w:val="0"/>
          <w:sz w:val="32"/>
          <w:szCs w:val="32"/>
          <w:highlight w:val="none"/>
        </w:rPr>
      </w:pPr>
      <w:r>
        <w:rPr>
          <w:rFonts w:hint="eastAsia" w:ascii="仿宋" w:hAnsi="仿宋" w:eastAsia="仿宋" w:cs="仿宋"/>
          <w:b/>
          <w:color w:val="000000"/>
          <w:kern w:val="0"/>
          <w:sz w:val="32"/>
          <w:szCs w:val="32"/>
          <w:highlight w:val="none"/>
        </w:rPr>
        <w:t>第四部分</w:t>
      </w:r>
      <w:r>
        <w:rPr>
          <w:rFonts w:hint="eastAsia" w:ascii="仿宋" w:hAnsi="仿宋" w:eastAsia="仿宋" w:cs="仿宋"/>
          <w:b/>
          <w:color w:val="000000"/>
          <w:kern w:val="0"/>
          <w:sz w:val="32"/>
          <w:szCs w:val="32"/>
          <w:highlight w:val="none"/>
          <w:lang w:val="en-US" w:eastAsia="zh-CN"/>
        </w:rPr>
        <w:t xml:space="preserve"> </w:t>
      </w:r>
      <w:r>
        <w:rPr>
          <w:rFonts w:hint="eastAsia" w:ascii="仿宋" w:hAnsi="仿宋" w:eastAsia="仿宋" w:cs="仿宋"/>
          <w:b/>
          <w:color w:val="000000"/>
          <w:kern w:val="0"/>
          <w:sz w:val="32"/>
          <w:szCs w:val="32"/>
          <w:highlight w:val="none"/>
        </w:rPr>
        <w:t>名词解释</w:t>
      </w:r>
    </w:p>
    <w:p>
      <w:pPr>
        <w:autoSpaceDE w:val="0"/>
        <w:autoSpaceDN w:val="0"/>
        <w:adjustRightInd w:val="0"/>
        <w:spacing w:line="500" w:lineRule="exact"/>
        <w:ind w:firstLine="643" w:firstLineChars="200"/>
        <w:jc w:val="left"/>
        <w:rPr>
          <w:rFonts w:hint="eastAsia" w:ascii="仿宋" w:hAnsi="仿宋" w:eastAsia="仿宋" w:cs="仿宋"/>
          <w:b/>
          <w:color w:val="000000"/>
          <w:kern w:val="0"/>
          <w:sz w:val="32"/>
          <w:szCs w:val="32"/>
          <w:highlight w:val="none"/>
        </w:rPr>
      </w:pPr>
      <w:r>
        <w:rPr>
          <w:rFonts w:hint="eastAsia" w:ascii="仿宋" w:hAnsi="仿宋" w:eastAsia="仿宋" w:cs="仿宋"/>
          <w:b/>
          <w:color w:val="000000"/>
          <w:kern w:val="0"/>
          <w:sz w:val="32"/>
          <w:szCs w:val="32"/>
          <w:highlight w:val="none"/>
        </w:rPr>
        <w:t>第五部分</w:t>
      </w:r>
      <w:r>
        <w:rPr>
          <w:rFonts w:hint="eastAsia" w:ascii="仿宋" w:hAnsi="仿宋" w:eastAsia="仿宋" w:cs="仿宋"/>
          <w:b/>
          <w:color w:val="000000"/>
          <w:kern w:val="0"/>
          <w:sz w:val="32"/>
          <w:szCs w:val="32"/>
          <w:highlight w:val="none"/>
          <w:lang w:val="en-US" w:eastAsia="zh-CN"/>
        </w:rPr>
        <w:t xml:space="preserve"> </w:t>
      </w:r>
      <w:r>
        <w:rPr>
          <w:rFonts w:hint="eastAsia" w:ascii="仿宋" w:hAnsi="仿宋" w:eastAsia="仿宋" w:cs="仿宋"/>
          <w:b/>
          <w:color w:val="000000"/>
          <w:kern w:val="0"/>
          <w:sz w:val="32"/>
          <w:szCs w:val="32"/>
          <w:highlight w:val="none"/>
        </w:rPr>
        <w:t>附件</w:t>
      </w:r>
    </w:p>
    <w:p>
      <w:pPr>
        <w:jc w:val="center"/>
        <w:rPr>
          <w:rFonts w:hint="eastAsia" w:ascii="仿宋" w:hAnsi="仿宋" w:eastAsia="仿宋" w:cs="仿宋"/>
          <w:sz w:val="32"/>
          <w:szCs w:val="32"/>
          <w:highlight w:val="none"/>
        </w:rPr>
        <w:sectPr>
          <w:pgSz w:w="11906" w:h="16838"/>
          <w:pgMar w:top="1440" w:right="1803" w:bottom="1440" w:left="1803" w:header="851" w:footer="992" w:gutter="0"/>
          <w:cols w:space="0" w:num="1"/>
          <w:rtlGutter w:val="0"/>
          <w:docGrid w:type="lines" w:linePitch="312" w:charSpace="0"/>
        </w:sectPr>
      </w:pPr>
    </w:p>
    <w:p>
      <w:pPr>
        <w:pStyle w:val="21"/>
        <w:numPr>
          <w:ilvl w:val="0"/>
          <w:numId w:val="0"/>
        </w:numPr>
        <w:jc w:val="center"/>
        <w:rPr>
          <w:rFonts w:hint="eastAsia" w:ascii="仿宋" w:hAnsi="仿宋" w:eastAsia="仿宋" w:cs="仿宋"/>
          <w:b/>
          <w:bCs/>
          <w:sz w:val="32"/>
          <w:szCs w:val="32"/>
          <w:highlight w:val="none"/>
        </w:rPr>
      </w:pPr>
      <w:r>
        <w:rPr>
          <w:rFonts w:hint="eastAsia" w:ascii="仿宋" w:hAnsi="仿宋" w:eastAsia="仿宋" w:cs="仿宋"/>
          <w:b/>
          <w:bCs/>
          <w:color w:val="000000"/>
          <w:kern w:val="0"/>
          <w:sz w:val="32"/>
          <w:szCs w:val="32"/>
          <w:lang w:val="en-US" w:eastAsia="zh-CN" w:bidi="ar-SA"/>
        </w:rPr>
        <w:t>第一部分</w:t>
      </w:r>
      <w:r>
        <w:rPr>
          <w:rFonts w:hint="eastAsia" w:ascii="仿宋" w:hAnsi="仿宋" w:eastAsia="仿宋" w:cs="仿宋"/>
          <w:b/>
          <w:bCs/>
          <w:sz w:val="32"/>
          <w:szCs w:val="32"/>
          <w:highlight w:val="none"/>
          <w:lang w:val="en-US" w:eastAsia="zh-CN"/>
        </w:rPr>
        <w:t>湖南怀化商业供销学校</w:t>
      </w:r>
      <w:r>
        <w:rPr>
          <w:rFonts w:hint="eastAsia" w:ascii="仿宋" w:hAnsi="仿宋" w:eastAsia="仿宋" w:cs="仿宋"/>
          <w:b/>
          <w:bCs/>
          <w:sz w:val="32"/>
          <w:szCs w:val="32"/>
          <w:highlight w:val="none"/>
        </w:rPr>
        <w:t>概况</w:t>
      </w:r>
    </w:p>
    <w:p>
      <w:pPr>
        <w:pStyle w:val="21"/>
        <w:numPr>
          <w:ilvl w:val="0"/>
          <w:numId w:val="0"/>
        </w:numPr>
        <w:jc w:val="center"/>
        <w:rPr>
          <w:rFonts w:hint="eastAsia" w:ascii="仿宋" w:hAnsi="仿宋" w:eastAsia="仿宋" w:cs="仿宋"/>
          <w:b w:val="0"/>
          <w:bCs w:val="0"/>
          <w:sz w:val="32"/>
          <w:szCs w:val="32"/>
          <w:highlight w:val="none"/>
          <w:lang w:val="en-US" w:eastAsia="zh-CN"/>
        </w:rPr>
      </w:pPr>
    </w:p>
    <w:p>
      <w:pPr>
        <w:pStyle w:val="22"/>
        <w:keepNext w:val="0"/>
        <w:keepLines w:val="0"/>
        <w:pageBreakBefore w:val="0"/>
        <w:numPr>
          <w:ilvl w:val="0"/>
          <w:numId w:val="0"/>
        </w:numPr>
        <w:kinsoku/>
        <w:wordWrap/>
        <w:overflowPunct/>
        <w:topLinePunct w:val="0"/>
        <w:autoSpaceDE/>
        <w:autoSpaceDN/>
        <w:bidi w:val="0"/>
        <w:adjustRightInd/>
        <w:snapToGrid/>
        <w:spacing w:line="440" w:lineRule="exact"/>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一、</w:t>
      </w:r>
      <w:r>
        <w:rPr>
          <w:rFonts w:hint="eastAsia" w:ascii="仿宋" w:hAnsi="仿宋" w:eastAsia="仿宋" w:cs="仿宋"/>
          <w:b/>
          <w:bCs/>
          <w:sz w:val="32"/>
          <w:szCs w:val="32"/>
          <w:highlight w:val="none"/>
        </w:rPr>
        <w:t>部门职责</w:t>
      </w:r>
    </w:p>
    <w:p>
      <w:pPr>
        <w:keepNext w:val="0"/>
        <w:keepLines w:val="0"/>
        <w:pageBreakBefore w:val="0"/>
        <w:widowControl/>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bCs/>
          <w:kern w:val="0"/>
          <w:sz w:val="32"/>
          <w:szCs w:val="32"/>
          <w:highlight w:val="none"/>
        </w:rPr>
      </w:pPr>
      <w:r>
        <w:rPr>
          <w:rFonts w:hint="eastAsia" w:ascii="仿宋" w:hAnsi="仿宋" w:eastAsia="仿宋" w:cs="仿宋"/>
          <w:bCs/>
          <w:kern w:val="0"/>
          <w:sz w:val="32"/>
          <w:szCs w:val="32"/>
          <w:highlight w:val="none"/>
        </w:rPr>
        <w:t>湖南怀化商业供销学校是市直正处级中职学校，核定全额拨款事业编制184名，属财政拨款经费包干预算事业单位，一级部门预算单位。学校全面贯彻党的教育方针，落实立德树人根本任务，培养中等专业技能人才，促进经济社会发展，举办商贸财经、旅游服务、文化艺术、电子技术、机械工程等中等学历教育和中高级技工教育；开展中高级技工和预备技师职业技能鉴定业务，承担与职业教育相关的其他社会培训服务。 </w:t>
      </w:r>
    </w:p>
    <w:p>
      <w:pPr>
        <w:keepNext w:val="0"/>
        <w:keepLines w:val="0"/>
        <w:pageBreakBefore w:val="0"/>
        <w:widowControl/>
        <w:kinsoku/>
        <w:wordWrap/>
        <w:overflowPunct/>
        <w:topLinePunct w:val="0"/>
        <w:autoSpaceDE/>
        <w:autoSpaceDN/>
        <w:bidi w:val="0"/>
        <w:adjustRightInd/>
        <w:snapToGrid/>
        <w:spacing w:line="440" w:lineRule="exact"/>
        <w:ind w:firstLine="643" w:firstLineChars="200"/>
        <w:textAlignment w:val="auto"/>
        <w:rPr>
          <w:rFonts w:hint="eastAsia" w:ascii="仿宋" w:hAnsi="仿宋" w:eastAsia="仿宋" w:cs="仿宋"/>
          <w:bCs/>
          <w:kern w:val="0"/>
          <w:sz w:val="32"/>
          <w:szCs w:val="32"/>
          <w:highlight w:val="none"/>
        </w:rPr>
      </w:pPr>
      <w:r>
        <w:rPr>
          <w:rFonts w:hint="eastAsia" w:ascii="仿宋" w:hAnsi="仿宋" w:eastAsia="仿宋" w:cs="仿宋"/>
          <w:b/>
          <w:bCs w:val="0"/>
          <w:kern w:val="0"/>
          <w:sz w:val="32"/>
          <w:szCs w:val="32"/>
          <w:highlight w:val="none"/>
        </w:rPr>
        <w:t>二、机构设置及决算单位构成</w:t>
      </w:r>
    </w:p>
    <w:p>
      <w:pPr>
        <w:keepNext w:val="0"/>
        <w:keepLines w:val="0"/>
        <w:pageBreakBefore w:val="0"/>
        <w:widowControl/>
        <w:kinsoku/>
        <w:wordWrap/>
        <w:overflowPunct/>
        <w:topLinePunct w:val="0"/>
        <w:autoSpaceDE/>
        <w:autoSpaceDN/>
        <w:bidi w:val="0"/>
        <w:adjustRightInd/>
        <w:snapToGrid/>
        <w:spacing w:line="440" w:lineRule="exact"/>
        <w:ind w:firstLine="643" w:firstLineChars="200"/>
        <w:textAlignment w:val="auto"/>
        <w:rPr>
          <w:rFonts w:hint="eastAsia" w:ascii="仿宋" w:hAnsi="仿宋" w:eastAsia="仿宋" w:cs="仿宋"/>
          <w:b/>
          <w:bCs w:val="0"/>
          <w:kern w:val="0"/>
          <w:sz w:val="32"/>
          <w:szCs w:val="32"/>
          <w:highlight w:val="none"/>
        </w:rPr>
      </w:pPr>
      <w:r>
        <w:rPr>
          <w:rFonts w:hint="eastAsia" w:ascii="仿宋" w:hAnsi="仿宋" w:eastAsia="仿宋" w:cs="仿宋"/>
          <w:b/>
          <w:bCs w:val="0"/>
          <w:kern w:val="0"/>
          <w:sz w:val="32"/>
          <w:szCs w:val="32"/>
          <w:highlight w:val="none"/>
        </w:rPr>
        <w:t>（一）内设机构设置</w:t>
      </w:r>
    </w:p>
    <w:p>
      <w:pPr>
        <w:keepNext w:val="0"/>
        <w:keepLines w:val="0"/>
        <w:pageBreakBefore w:val="0"/>
        <w:widowControl/>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bCs/>
          <w:kern w:val="0"/>
          <w:sz w:val="32"/>
          <w:szCs w:val="32"/>
          <w:highlight w:val="none"/>
        </w:rPr>
      </w:pPr>
      <w:r>
        <w:rPr>
          <w:rFonts w:hint="eastAsia" w:ascii="仿宋" w:hAnsi="仿宋" w:eastAsia="仿宋" w:cs="仿宋"/>
          <w:bCs/>
          <w:kern w:val="0"/>
          <w:sz w:val="32"/>
          <w:szCs w:val="32"/>
          <w:highlight w:val="none"/>
        </w:rPr>
        <w:t>湖南怀化商业供销学校作为一级部门预算单位，内设科室为：党政办公室、教务（含培训）科、学保（含招生）科、物业管理科、财务科、监审科共计6个科室</w:t>
      </w:r>
      <w:r>
        <w:rPr>
          <w:rFonts w:hint="eastAsia" w:ascii="仿宋" w:hAnsi="仿宋" w:eastAsia="仿宋" w:cs="仿宋"/>
          <w:bCs/>
          <w:kern w:val="0"/>
          <w:sz w:val="32"/>
          <w:szCs w:val="32"/>
          <w:highlight w:val="none"/>
          <w:lang w:eastAsia="zh-CN"/>
        </w:rPr>
        <w:t>，</w:t>
      </w:r>
      <w:r>
        <w:rPr>
          <w:rFonts w:hint="eastAsia" w:ascii="仿宋" w:hAnsi="仿宋" w:eastAsia="仿宋" w:cs="仿宋"/>
          <w:bCs/>
          <w:kern w:val="0"/>
          <w:sz w:val="32"/>
          <w:szCs w:val="32"/>
          <w:highlight w:val="none"/>
          <w:lang w:val="en-US" w:eastAsia="zh-CN"/>
        </w:rPr>
        <w:t>另设有学校工会、学校团委等组织</w:t>
      </w:r>
      <w:r>
        <w:rPr>
          <w:rFonts w:hint="eastAsia" w:ascii="仿宋" w:hAnsi="仿宋" w:eastAsia="仿宋" w:cs="仿宋"/>
          <w:bCs/>
          <w:kern w:val="0"/>
          <w:sz w:val="32"/>
          <w:szCs w:val="32"/>
          <w:highlight w:val="none"/>
        </w:rPr>
        <w:t>。</w:t>
      </w:r>
    </w:p>
    <w:p>
      <w:pPr>
        <w:keepNext w:val="0"/>
        <w:keepLines w:val="0"/>
        <w:pageBreakBefore w:val="0"/>
        <w:widowControl/>
        <w:kinsoku/>
        <w:wordWrap/>
        <w:overflowPunct/>
        <w:topLinePunct w:val="0"/>
        <w:autoSpaceDE/>
        <w:autoSpaceDN/>
        <w:bidi w:val="0"/>
        <w:adjustRightInd/>
        <w:snapToGrid/>
        <w:spacing w:line="440" w:lineRule="exact"/>
        <w:ind w:firstLine="643" w:firstLineChars="200"/>
        <w:textAlignment w:val="auto"/>
        <w:rPr>
          <w:rFonts w:hint="eastAsia" w:ascii="仿宋" w:hAnsi="仿宋" w:eastAsia="仿宋" w:cs="仿宋"/>
          <w:b/>
          <w:bCs w:val="0"/>
          <w:kern w:val="0"/>
          <w:sz w:val="32"/>
          <w:szCs w:val="32"/>
          <w:highlight w:val="none"/>
        </w:rPr>
      </w:pPr>
      <w:r>
        <w:rPr>
          <w:rFonts w:hint="eastAsia" w:ascii="仿宋" w:hAnsi="仿宋" w:eastAsia="仿宋" w:cs="仿宋"/>
          <w:b/>
          <w:bCs w:val="0"/>
          <w:kern w:val="0"/>
          <w:sz w:val="32"/>
          <w:szCs w:val="32"/>
          <w:highlight w:val="none"/>
          <w:lang w:eastAsia="zh-CN"/>
        </w:rPr>
        <w:t>（</w:t>
      </w:r>
      <w:r>
        <w:rPr>
          <w:rFonts w:hint="eastAsia" w:ascii="仿宋" w:hAnsi="仿宋" w:eastAsia="仿宋" w:cs="仿宋"/>
          <w:b/>
          <w:bCs w:val="0"/>
          <w:kern w:val="0"/>
          <w:sz w:val="32"/>
          <w:szCs w:val="32"/>
          <w:highlight w:val="none"/>
          <w:lang w:val="en-US" w:eastAsia="zh-CN"/>
        </w:rPr>
        <w:t>二</w:t>
      </w:r>
      <w:r>
        <w:rPr>
          <w:rFonts w:hint="eastAsia" w:ascii="仿宋" w:hAnsi="仿宋" w:eastAsia="仿宋" w:cs="仿宋"/>
          <w:b/>
          <w:bCs w:val="0"/>
          <w:kern w:val="0"/>
          <w:sz w:val="32"/>
          <w:szCs w:val="32"/>
          <w:highlight w:val="none"/>
          <w:lang w:eastAsia="zh-CN"/>
        </w:rPr>
        <w:t>）</w:t>
      </w:r>
      <w:r>
        <w:rPr>
          <w:rFonts w:hint="eastAsia" w:ascii="仿宋" w:hAnsi="仿宋" w:eastAsia="仿宋" w:cs="仿宋"/>
          <w:b/>
          <w:bCs w:val="0"/>
          <w:kern w:val="0"/>
          <w:sz w:val="32"/>
          <w:szCs w:val="32"/>
          <w:highlight w:val="none"/>
        </w:rPr>
        <w:t>决算单位构成</w:t>
      </w:r>
    </w:p>
    <w:p>
      <w:pPr>
        <w:keepNext w:val="0"/>
        <w:keepLines w:val="0"/>
        <w:pageBreakBefore w:val="0"/>
        <w:widowControl/>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bCs/>
          <w:kern w:val="0"/>
          <w:sz w:val="32"/>
          <w:szCs w:val="32"/>
          <w:highlight w:val="none"/>
        </w:rPr>
      </w:pPr>
      <w:r>
        <w:rPr>
          <w:rFonts w:hint="eastAsia" w:ascii="仿宋" w:hAnsi="仿宋" w:eastAsia="仿宋" w:cs="仿宋"/>
          <w:bCs/>
          <w:kern w:val="0"/>
          <w:sz w:val="32"/>
          <w:szCs w:val="32"/>
          <w:highlight w:val="none"/>
        </w:rPr>
        <w:t>2021年部门决算公开单位构成包括：湖南怀化商业供销学校本级。</w:t>
      </w:r>
    </w:p>
    <w:p>
      <w:pPr>
        <w:jc w:val="left"/>
        <w:rPr>
          <w:rFonts w:hint="eastAsia" w:ascii="仿宋" w:hAnsi="仿宋" w:eastAsia="仿宋" w:cs="仿宋"/>
          <w:sz w:val="32"/>
          <w:szCs w:val="32"/>
          <w:highlight w:val="none"/>
        </w:rPr>
      </w:pPr>
    </w:p>
    <w:p>
      <w:pPr>
        <w:numPr>
          <w:ilvl w:val="0"/>
          <w:numId w:val="0"/>
        </w:numPr>
        <w:jc w:val="center"/>
        <w:rPr>
          <w:rFonts w:hint="eastAsia" w:ascii="仿宋" w:hAnsi="仿宋" w:eastAsia="仿宋" w:cs="仿宋"/>
          <w:b/>
          <w:bCs/>
          <w:sz w:val="32"/>
          <w:szCs w:val="32"/>
          <w:highlight w:val="none"/>
        </w:rPr>
      </w:pPr>
      <w:r>
        <w:rPr>
          <w:rFonts w:hint="eastAsia" w:ascii="仿宋" w:hAnsi="仿宋" w:eastAsia="仿宋" w:cs="仿宋"/>
          <w:b/>
          <w:bCs/>
          <w:kern w:val="2"/>
          <w:sz w:val="32"/>
          <w:szCs w:val="32"/>
          <w:lang w:val="en-US" w:eastAsia="zh-CN" w:bidi="ar-SA"/>
        </w:rPr>
        <w:t xml:space="preserve">第二部分 </w:t>
      </w:r>
      <w:r>
        <w:rPr>
          <w:rFonts w:hint="eastAsia" w:ascii="仿宋" w:hAnsi="仿宋" w:eastAsia="仿宋" w:cs="仿宋"/>
          <w:b/>
          <w:bCs/>
          <w:sz w:val="32"/>
          <w:szCs w:val="32"/>
          <w:highlight w:val="none"/>
        </w:rPr>
        <w:t>部门决算表</w:t>
      </w:r>
    </w:p>
    <w:p>
      <w:pPr>
        <w:keepNext w:val="0"/>
        <w:keepLines w:val="0"/>
        <w:pageBreakBefore w:val="0"/>
        <w:kinsoku/>
        <w:wordWrap/>
        <w:overflowPunct/>
        <w:topLinePunct w:val="0"/>
        <w:bidi w:val="0"/>
        <w:snapToGrid/>
        <w:spacing w:line="600" w:lineRule="exact"/>
        <w:ind w:firstLine="3200" w:firstLineChars="10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详情见附件）</w:t>
      </w:r>
    </w:p>
    <w:p>
      <w:pPr>
        <w:widowControl w:val="0"/>
        <w:numPr>
          <w:ilvl w:val="0"/>
          <w:numId w:val="0"/>
        </w:numPr>
        <w:jc w:val="both"/>
        <w:rPr>
          <w:rFonts w:hint="eastAsia" w:ascii="仿宋" w:hAnsi="仿宋" w:eastAsia="仿宋" w:cs="仿宋"/>
          <w:sz w:val="32"/>
          <w:szCs w:val="32"/>
          <w:highlight w:val="none"/>
        </w:rPr>
      </w:pPr>
    </w:p>
    <w:p>
      <w:pPr>
        <w:pStyle w:val="21"/>
        <w:jc w:val="center"/>
        <w:rPr>
          <w:rFonts w:hint="eastAsia" w:ascii="仿宋" w:hAnsi="仿宋" w:eastAsia="仿宋" w:cs="仿宋"/>
          <w:sz w:val="32"/>
          <w:szCs w:val="32"/>
          <w:highlight w:val="none"/>
        </w:rPr>
      </w:pPr>
      <w:r>
        <w:rPr>
          <w:rFonts w:hint="eastAsia" w:ascii="仿宋" w:hAnsi="仿宋" w:eastAsia="仿宋" w:cs="仿宋"/>
          <w:b/>
          <w:bCs/>
          <w:sz w:val="32"/>
          <w:szCs w:val="32"/>
          <w:highlight w:val="none"/>
        </w:rPr>
        <w:t>第三部分</w:t>
      </w:r>
      <w:r>
        <w:rPr>
          <w:rFonts w:hint="eastAsia" w:ascii="仿宋" w:hAnsi="仿宋" w:eastAsia="仿宋" w:cs="仿宋"/>
          <w:b/>
          <w:bCs/>
          <w:sz w:val="32"/>
          <w:szCs w:val="32"/>
          <w:highlight w:val="none"/>
          <w:lang w:val="en-US" w:eastAsia="zh-CN"/>
        </w:rPr>
        <w:t xml:space="preserve"> </w:t>
      </w:r>
      <w:r>
        <w:rPr>
          <w:rFonts w:hint="eastAsia" w:ascii="仿宋" w:hAnsi="仿宋" w:eastAsia="仿宋" w:cs="仿宋"/>
          <w:b/>
          <w:bCs/>
          <w:sz w:val="32"/>
          <w:szCs w:val="32"/>
          <w:highlight w:val="none"/>
        </w:rPr>
        <w:t>2021年度部门决算情况说明</w:t>
      </w:r>
    </w:p>
    <w:p>
      <w:pPr>
        <w:pStyle w:val="21"/>
        <w:ind w:firstLine="643"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一、收入支出决算总体情况说明</w:t>
      </w:r>
    </w:p>
    <w:p>
      <w:pPr>
        <w:widowControl w:val="0"/>
        <w:numPr>
          <w:ilvl w:val="0"/>
          <w:numId w:val="0"/>
        </w:numPr>
        <w:jc w:val="both"/>
        <w:rPr>
          <w:rFonts w:hint="eastAsia" w:ascii="仿宋" w:hAnsi="仿宋" w:eastAsia="仿宋" w:cs="仿宋"/>
          <w:sz w:val="32"/>
          <w:szCs w:val="32"/>
          <w:highlight w:val="none"/>
        </w:rPr>
        <w:sectPr>
          <w:pgSz w:w="11906" w:h="16838"/>
          <w:pgMar w:top="1440" w:right="1803" w:bottom="1440" w:left="1803" w:header="851" w:footer="992" w:gutter="0"/>
          <w:cols w:space="0" w:num="1"/>
          <w:rtlGutter w:val="0"/>
          <w:docGrid w:type="lines" w:linePitch="312" w:charSpace="0"/>
        </w:sectPr>
      </w:pPr>
    </w:p>
    <w:p>
      <w:pPr>
        <w:pStyle w:val="21"/>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2021年度收、支总计</w:t>
      </w:r>
      <w:r>
        <w:rPr>
          <w:rFonts w:hint="eastAsia" w:ascii="仿宋" w:hAnsi="仿宋" w:eastAsia="仿宋" w:cs="仿宋"/>
          <w:sz w:val="32"/>
          <w:szCs w:val="32"/>
          <w:highlight w:val="none"/>
          <w:lang w:eastAsia="zh-CN"/>
        </w:rPr>
        <w:t>各</w:t>
      </w:r>
      <w:r>
        <w:rPr>
          <w:rFonts w:hint="eastAsia" w:ascii="仿宋" w:hAnsi="仿宋" w:eastAsia="仿宋" w:cs="仿宋"/>
          <w:sz w:val="32"/>
          <w:szCs w:val="32"/>
          <w:highlight w:val="none"/>
          <w:lang w:val="en-US" w:eastAsia="zh-CN"/>
        </w:rPr>
        <w:t>2459.31</w:t>
      </w:r>
      <w:r>
        <w:rPr>
          <w:rFonts w:hint="eastAsia" w:ascii="仿宋" w:hAnsi="仿宋" w:eastAsia="仿宋" w:cs="仿宋"/>
          <w:sz w:val="32"/>
          <w:szCs w:val="32"/>
          <w:highlight w:val="none"/>
        </w:rPr>
        <w:t>万元。与上年相比，</w:t>
      </w:r>
      <w:r>
        <w:rPr>
          <w:rFonts w:hint="eastAsia" w:ascii="仿宋" w:hAnsi="仿宋" w:eastAsia="仿宋" w:cs="仿宋"/>
          <w:sz w:val="32"/>
          <w:szCs w:val="32"/>
          <w:highlight w:val="none"/>
          <w:lang w:val="en-US" w:eastAsia="zh-CN"/>
        </w:rPr>
        <w:t>金额</w:t>
      </w:r>
      <w:r>
        <w:rPr>
          <w:rFonts w:hint="eastAsia" w:ascii="仿宋" w:hAnsi="仿宋" w:eastAsia="仿宋" w:cs="仿宋"/>
          <w:sz w:val="32"/>
          <w:szCs w:val="32"/>
          <w:highlight w:val="none"/>
        </w:rPr>
        <w:t>减少</w:t>
      </w:r>
      <w:r>
        <w:rPr>
          <w:rFonts w:hint="eastAsia" w:ascii="仿宋" w:hAnsi="仿宋" w:eastAsia="仿宋" w:cs="仿宋"/>
          <w:sz w:val="32"/>
          <w:szCs w:val="32"/>
          <w:highlight w:val="none"/>
          <w:lang w:val="en-US" w:eastAsia="zh-CN"/>
        </w:rPr>
        <w:t>1194.69</w:t>
      </w:r>
      <w:r>
        <w:rPr>
          <w:rFonts w:hint="eastAsia" w:ascii="仿宋" w:hAnsi="仿宋" w:eastAsia="仿宋" w:cs="仿宋"/>
          <w:sz w:val="32"/>
          <w:szCs w:val="32"/>
          <w:highlight w:val="none"/>
        </w:rPr>
        <w:t>万元，减少</w:t>
      </w:r>
      <w:r>
        <w:rPr>
          <w:rFonts w:hint="eastAsia" w:ascii="仿宋" w:hAnsi="仿宋" w:eastAsia="仿宋" w:cs="仿宋"/>
          <w:sz w:val="32"/>
          <w:szCs w:val="32"/>
          <w:highlight w:val="none"/>
          <w:lang w:val="en-US" w:eastAsia="zh-CN"/>
        </w:rPr>
        <w:t>48.58</w:t>
      </w:r>
      <w:r>
        <w:rPr>
          <w:rFonts w:hint="eastAsia" w:ascii="仿宋" w:hAnsi="仿宋" w:eastAsia="仿宋" w:cs="仿宋"/>
          <w:sz w:val="32"/>
          <w:szCs w:val="32"/>
          <w:highlight w:val="none"/>
        </w:rPr>
        <w:t>%，主要是因为</w:t>
      </w:r>
      <w:r>
        <w:rPr>
          <w:rFonts w:hint="eastAsia" w:ascii="仿宋" w:hAnsi="仿宋" w:eastAsia="仿宋" w:cs="仿宋"/>
          <w:sz w:val="32"/>
          <w:szCs w:val="32"/>
          <w:highlight w:val="none"/>
          <w:lang w:val="en-US" w:eastAsia="zh-CN"/>
        </w:rPr>
        <w:t>一般公共预算收入及项目收入减少。</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二、收入决算情况说明</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2021年度收入合计</w:t>
      </w:r>
      <w:r>
        <w:rPr>
          <w:rFonts w:hint="eastAsia" w:ascii="仿宋" w:hAnsi="仿宋" w:eastAsia="仿宋" w:cs="仿宋"/>
          <w:sz w:val="32"/>
          <w:szCs w:val="32"/>
          <w:highlight w:val="none"/>
          <w:lang w:val="en-US" w:eastAsia="zh-CN"/>
        </w:rPr>
        <w:t>2201.18</w:t>
      </w:r>
      <w:r>
        <w:rPr>
          <w:rFonts w:hint="eastAsia" w:ascii="仿宋" w:hAnsi="仿宋" w:eastAsia="仿宋" w:cs="仿宋"/>
          <w:sz w:val="32"/>
          <w:szCs w:val="32"/>
          <w:highlight w:val="none"/>
        </w:rPr>
        <w:t>万元，其中：财政拨款收入</w:t>
      </w:r>
      <w:r>
        <w:rPr>
          <w:rFonts w:hint="eastAsia" w:ascii="仿宋" w:hAnsi="仿宋" w:eastAsia="仿宋" w:cs="仿宋"/>
          <w:sz w:val="32"/>
          <w:szCs w:val="32"/>
          <w:highlight w:val="none"/>
          <w:lang w:val="en-US" w:eastAsia="zh-CN"/>
        </w:rPr>
        <w:t>1947.95</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88.50</w:t>
      </w:r>
      <w:r>
        <w:rPr>
          <w:rFonts w:hint="eastAsia" w:ascii="仿宋" w:hAnsi="仿宋" w:eastAsia="仿宋" w:cs="仿宋"/>
          <w:sz w:val="32"/>
          <w:szCs w:val="32"/>
          <w:highlight w:val="none"/>
        </w:rPr>
        <w:t>%；上级补助收入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%；事业收入</w:t>
      </w:r>
      <w:r>
        <w:rPr>
          <w:rFonts w:hint="eastAsia" w:ascii="仿宋" w:hAnsi="仿宋" w:eastAsia="仿宋" w:cs="仿宋"/>
          <w:sz w:val="32"/>
          <w:szCs w:val="32"/>
          <w:highlight w:val="none"/>
          <w:lang w:val="en-US" w:eastAsia="zh-CN"/>
        </w:rPr>
        <w:t>253.23</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11.5</w:t>
      </w:r>
      <w:r>
        <w:rPr>
          <w:rFonts w:hint="eastAsia" w:ascii="仿宋" w:hAnsi="仿宋" w:eastAsia="仿宋" w:cs="仿宋"/>
          <w:sz w:val="32"/>
          <w:szCs w:val="32"/>
          <w:highlight w:val="none"/>
        </w:rPr>
        <w:t>%；经营收入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%；附属单位上缴收入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%；其他收入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三、支出决算情况说明</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2021年度支出合计</w:t>
      </w:r>
      <w:r>
        <w:rPr>
          <w:rFonts w:hint="eastAsia" w:ascii="仿宋" w:hAnsi="仿宋" w:eastAsia="仿宋" w:cs="仿宋"/>
          <w:sz w:val="32"/>
          <w:szCs w:val="32"/>
          <w:highlight w:val="none"/>
          <w:lang w:val="en-US" w:eastAsia="zh-CN"/>
        </w:rPr>
        <w:t>2459.31</w:t>
      </w:r>
      <w:r>
        <w:rPr>
          <w:rFonts w:hint="eastAsia" w:ascii="仿宋" w:hAnsi="仿宋" w:eastAsia="仿宋" w:cs="仿宋"/>
          <w:sz w:val="32"/>
          <w:szCs w:val="32"/>
          <w:highlight w:val="none"/>
        </w:rPr>
        <w:t>万元，其中：基本支出</w:t>
      </w:r>
      <w:r>
        <w:rPr>
          <w:rFonts w:hint="eastAsia" w:ascii="仿宋" w:hAnsi="仿宋" w:eastAsia="仿宋" w:cs="仿宋"/>
          <w:sz w:val="32"/>
          <w:szCs w:val="32"/>
          <w:highlight w:val="none"/>
          <w:lang w:val="en-US" w:eastAsia="zh-CN"/>
        </w:rPr>
        <w:t>2184.52</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88.83</w:t>
      </w:r>
      <w:r>
        <w:rPr>
          <w:rFonts w:hint="eastAsia" w:ascii="仿宋" w:hAnsi="仿宋" w:eastAsia="仿宋" w:cs="仿宋"/>
          <w:sz w:val="32"/>
          <w:szCs w:val="32"/>
          <w:highlight w:val="none"/>
        </w:rPr>
        <w:t>%；项目支出</w:t>
      </w:r>
      <w:r>
        <w:rPr>
          <w:rFonts w:hint="eastAsia" w:ascii="仿宋" w:hAnsi="仿宋" w:eastAsia="仿宋" w:cs="仿宋"/>
          <w:sz w:val="32"/>
          <w:szCs w:val="32"/>
          <w:highlight w:val="none"/>
          <w:lang w:val="en-US" w:eastAsia="zh-CN"/>
        </w:rPr>
        <w:t>274.8</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11.17</w:t>
      </w:r>
      <w:r>
        <w:rPr>
          <w:rFonts w:hint="eastAsia" w:ascii="仿宋" w:hAnsi="仿宋" w:eastAsia="仿宋" w:cs="仿宋"/>
          <w:sz w:val="32"/>
          <w:szCs w:val="32"/>
          <w:highlight w:val="none"/>
        </w:rPr>
        <w:t>%；上缴上级支出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%；经营支出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%；对附属单位补助支出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四、财政拨款收入支出决算总体情况说明</w:t>
      </w:r>
    </w:p>
    <w:p>
      <w:pPr>
        <w:pStyle w:val="21"/>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 xml:space="preserve">    2021年度财政拨款收、支总计</w:t>
      </w:r>
      <w:r>
        <w:rPr>
          <w:rFonts w:hint="eastAsia" w:ascii="仿宋" w:hAnsi="仿宋" w:eastAsia="仿宋" w:cs="仿宋"/>
          <w:sz w:val="32"/>
          <w:szCs w:val="32"/>
          <w:highlight w:val="none"/>
          <w:lang w:eastAsia="zh-CN"/>
        </w:rPr>
        <w:t>各</w:t>
      </w:r>
      <w:r>
        <w:rPr>
          <w:rFonts w:hint="eastAsia" w:ascii="仿宋" w:hAnsi="仿宋" w:eastAsia="仿宋" w:cs="仿宋"/>
          <w:sz w:val="32"/>
          <w:szCs w:val="32"/>
          <w:highlight w:val="none"/>
          <w:lang w:val="en-US" w:eastAsia="zh-CN"/>
        </w:rPr>
        <w:t>2206.08</w:t>
      </w:r>
      <w:r>
        <w:rPr>
          <w:rFonts w:hint="eastAsia" w:ascii="仿宋" w:hAnsi="仿宋" w:eastAsia="仿宋" w:cs="仿宋"/>
          <w:sz w:val="32"/>
          <w:szCs w:val="32"/>
          <w:highlight w:val="none"/>
        </w:rPr>
        <w:t>万元，与上年相比，减少</w:t>
      </w:r>
      <w:r>
        <w:rPr>
          <w:rFonts w:hint="eastAsia" w:ascii="仿宋" w:hAnsi="仿宋" w:eastAsia="仿宋" w:cs="仿宋"/>
          <w:sz w:val="32"/>
          <w:szCs w:val="32"/>
          <w:highlight w:val="none"/>
          <w:lang w:val="en-US" w:eastAsia="zh-CN"/>
        </w:rPr>
        <w:t>1197.68</w:t>
      </w:r>
      <w:r>
        <w:rPr>
          <w:rFonts w:hint="eastAsia" w:ascii="仿宋" w:hAnsi="仿宋" w:eastAsia="仿宋" w:cs="仿宋"/>
          <w:sz w:val="32"/>
          <w:szCs w:val="32"/>
          <w:highlight w:val="none"/>
        </w:rPr>
        <w:t>万元,减少</w:t>
      </w:r>
      <w:r>
        <w:rPr>
          <w:rFonts w:hint="eastAsia" w:ascii="仿宋" w:hAnsi="仿宋" w:eastAsia="仿宋" w:cs="仿宋"/>
          <w:sz w:val="32"/>
          <w:szCs w:val="32"/>
          <w:highlight w:val="none"/>
          <w:lang w:val="en-US" w:eastAsia="zh-CN"/>
        </w:rPr>
        <w:t>54.29</w:t>
      </w:r>
      <w:r>
        <w:rPr>
          <w:rFonts w:hint="eastAsia" w:ascii="仿宋" w:hAnsi="仿宋" w:eastAsia="仿宋" w:cs="仿宋"/>
          <w:sz w:val="32"/>
          <w:szCs w:val="32"/>
          <w:highlight w:val="none"/>
        </w:rPr>
        <w:t>%，主要是因为</w:t>
      </w:r>
      <w:r>
        <w:rPr>
          <w:rFonts w:hint="eastAsia" w:ascii="仿宋" w:hAnsi="仿宋" w:eastAsia="仿宋" w:cs="仿宋"/>
          <w:sz w:val="32"/>
          <w:szCs w:val="32"/>
          <w:highlight w:val="none"/>
          <w:lang w:val="en-US" w:eastAsia="zh-CN"/>
        </w:rPr>
        <w:t>一般公共预算收入及项目收入减少。</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五、一般公共预算财政拨款支出决算情况说明</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（一）财政拨款支出决算总体情况</w:t>
      </w:r>
    </w:p>
    <w:p>
      <w:pPr>
        <w:pStyle w:val="21"/>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2021年度财政拨款支出</w:t>
      </w:r>
      <w:r>
        <w:rPr>
          <w:rFonts w:hint="eastAsia" w:ascii="仿宋" w:hAnsi="仿宋" w:eastAsia="仿宋" w:cs="仿宋"/>
          <w:sz w:val="32"/>
          <w:szCs w:val="32"/>
          <w:highlight w:val="none"/>
          <w:lang w:val="en-US" w:eastAsia="zh-CN"/>
        </w:rPr>
        <w:t>2206.08</w:t>
      </w:r>
      <w:r>
        <w:rPr>
          <w:rFonts w:hint="eastAsia" w:ascii="仿宋" w:hAnsi="仿宋" w:eastAsia="仿宋" w:cs="仿宋"/>
          <w:sz w:val="32"/>
          <w:szCs w:val="32"/>
          <w:highlight w:val="none"/>
        </w:rPr>
        <w:t>万元，占本年支出合计的</w:t>
      </w:r>
      <w:r>
        <w:rPr>
          <w:rFonts w:hint="eastAsia" w:ascii="仿宋" w:hAnsi="仿宋" w:eastAsia="仿宋" w:cs="仿宋"/>
          <w:sz w:val="32"/>
          <w:szCs w:val="32"/>
          <w:highlight w:val="none"/>
          <w:lang w:val="en-US" w:eastAsia="zh-CN"/>
        </w:rPr>
        <w:t>89.7</w:t>
      </w:r>
      <w:r>
        <w:rPr>
          <w:rFonts w:hint="eastAsia" w:ascii="仿宋" w:hAnsi="仿宋" w:eastAsia="仿宋" w:cs="仿宋"/>
          <w:sz w:val="32"/>
          <w:szCs w:val="32"/>
          <w:highlight w:val="none"/>
        </w:rPr>
        <w:t>%，与上年相比，财政拨款支出减少</w:t>
      </w:r>
      <w:r>
        <w:rPr>
          <w:rFonts w:hint="eastAsia" w:ascii="仿宋" w:hAnsi="仿宋" w:eastAsia="仿宋" w:cs="仿宋"/>
          <w:sz w:val="32"/>
          <w:szCs w:val="32"/>
          <w:highlight w:val="none"/>
          <w:lang w:val="en-US" w:eastAsia="zh-CN"/>
        </w:rPr>
        <w:t>265.62</w:t>
      </w:r>
      <w:r>
        <w:rPr>
          <w:rFonts w:hint="eastAsia" w:ascii="仿宋" w:hAnsi="仿宋" w:eastAsia="仿宋" w:cs="仿宋"/>
          <w:sz w:val="32"/>
          <w:szCs w:val="32"/>
          <w:highlight w:val="none"/>
        </w:rPr>
        <w:t>万元，减少</w:t>
      </w:r>
      <w:r>
        <w:rPr>
          <w:rFonts w:hint="eastAsia" w:ascii="仿宋" w:hAnsi="仿宋" w:eastAsia="仿宋" w:cs="仿宋"/>
          <w:sz w:val="32"/>
          <w:szCs w:val="32"/>
          <w:highlight w:val="none"/>
          <w:lang w:val="en-US" w:eastAsia="zh-CN"/>
        </w:rPr>
        <w:t>12</w:t>
      </w:r>
      <w:r>
        <w:rPr>
          <w:rFonts w:hint="eastAsia" w:ascii="仿宋" w:hAnsi="仿宋" w:eastAsia="仿宋" w:cs="仿宋"/>
          <w:sz w:val="32"/>
          <w:szCs w:val="32"/>
          <w:highlight w:val="none"/>
        </w:rPr>
        <w:t>%，主要是因为</w:t>
      </w:r>
      <w:r>
        <w:rPr>
          <w:rFonts w:hint="eastAsia" w:ascii="仿宋" w:hAnsi="仿宋" w:eastAsia="仿宋" w:cs="仿宋"/>
          <w:sz w:val="32"/>
          <w:szCs w:val="32"/>
          <w:highlight w:val="none"/>
          <w:lang w:val="en-US" w:eastAsia="zh-CN"/>
        </w:rPr>
        <w:t>本年新增项目收入减少，同时项目支出减少所致。</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（二）财政拨款支出决算结构情况</w:t>
      </w:r>
    </w:p>
    <w:p>
      <w:pPr>
        <w:pStyle w:val="21"/>
        <w:ind w:firstLine="640" w:firstLineChars="200"/>
        <w:rPr>
          <w:rFonts w:hint="eastAsia" w:ascii="仿宋" w:hAnsi="仿宋" w:eastAsia="仿宋" w:cs="仿宋"/>
          <w:sz w:val="32"/>
          <w:szCs w:val="32"/>
          <w:highlight w:val="none"/>
          <w:lang w:val="en-US"/>
        </w:rPr>
      </w:pPr>
      <w:r>
        <w:rPr>
          <w:rFonts w:hint="eastAsia" w:ascii="仿宋" w:hAnsi="仿宋" w:eastAsia="仿宋" w:cs="仿宋"/>
          <w:sz w:val="32"/>
          <w:szCs w:val="32"/>
          <w:highlight w:val="none"/>
        </w:rPr>
        <w:t>2021年度财政拨款支出</w:t>
      </w:r>
      <w:r>
        <w:rPr>
          <w:rFonts w:hint="eastAsia" w:ascii="仿宋" w:hAnsi="仿宋" w:eastAsia="仿宋" w:cs="仿宋"/>
          <w:sz w:val="32"/>
          <w:szCs w:val="32"/>
          <w:highlight w:val="none"/>
          <w:lang w:val="en-US" w:eastAsia="zh-CN"/>
        </w:rPr>
        <w:t>2206.08</w:t>
      </w:r>
      <w:r>
        <w:rPr>
          <w:rFonts w:hint="eastAsia" w:ascii="仿宋" w:hAnsi="仿宋" w:eastAsia="仿宋" w:cs="仿宋"/>
          <w:sz w:val="32"/>
          <w:szCs w:val="32"/>
          <w:highlight w:val="none"/>
        </w:rPr>
        <w:t>万元，主要用于以下方面：一般公共服务（类）支出</w:t>
      </w:r>
      <w:r>
        <w:rPr>
          <w:rFonts w:hint="eastAsia" w:ascii="仿宋" w:hAnsi="仿宋" w:eastAsia="仿宋" w:cs="仿宋"/>
          <w:sz w:val="32"/>
          <w:szCs w:val="32"/>
          <w:highlight w:val="none"/>
          <w:lang w:val="en-US" w:eastAsia="zh-CN"/>
        </w:rPr>
        <w:t>79.56</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3.60</w:t>
      </w:r>
      <w:r>
        <w:rPr>
          <w:rFonts w:hint="eastAsia" w:ascii="仿宋" w:hAnsi="仿宋" w:eastAsia="仿宋" w:cs="仿宋"/>
          <w:sz w:val="32"/>
          <w:szCs w:val="32"/>
          <w:highlight w:val="none"/>
        </w:rPr>
        <w:t>%；教育（类）支出</w:t>
      </w:r>
      <w:r>
        <w:rPr>
          <w:rFonts w:hint="eastAsia" w:ascii="仿宋" w:hAnsi="仿宋" w:eastAsia="仿宋" w:cs="仿宋"/>
          <w:sz w:val="32"/>
          <w:szCs w:val="32"/>
          <w:highlight w:val="none"/>
          <w:lang w:val="en-US" w:eastAsia="zh-CN"/>
        </w:rPr>
        <w:t>1823.57</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82.66</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社会保障和就业支出236.83万元，占10.74%；卫生健康支出66.12元，占3%。</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（三）财政拨款支出决算具体情况</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2021年度财政拨款支出年初预算数为</w:t>
      </w:r>
      <w:r>
        <w:rPr>
          <w:rFonts w:hint="eastAsia" w:ascii="仿宋" w:hAnsi="仿宋" w:eastAsia="仿宋" w:cs="仿宋"/>
          <w:sz w:val="32"/>
          <w:szCs w:val="32"/>
          <w:highlight w:val="none"/>
          <w:lang w:val="en-US" w:eastAsia="zh-CN"/>
        </w:rPr>
        <w:t>893.33</w:t>
      </w:r>
      <w:r>
        <w:rPr>
          <w:rFonts w:hint="eastAsia" w:ascii="仿宋" w:hAnsi="仿宋" w:eastAsia="仿宋" w:cs="仿宋"/>
          <w:sz w:val="32"/>
          <w:szCs w:val="32"/>
          <w:highlight w:val="none"/>
        </w:rPr>
        <w:t>万元，支出决算数为</w:t>
      </w:r>
      <w:r>
        <w:rPr>
          <w:rFonts w:hint="eastAsia" w:ascii="仿宋" w:hAnsi="仿宋" w:eastAsia="仿宋" w:cs="仿宋"/>
          <w:sz w:val="32"/>
          <w:szCs w:val="32"/>
          <w:highlight w:val="none"/>
          <w:lang w:val="en-US" w:eastAsia="zh-CN"/>
        </w:rPr>
        <w:t>2206.08</w:t>
      </w:r>
      <w:r>
        <w:rPr>
          <w:rFonts w:hint="eastAsia" w:ascii="仿宋" w:hAnsi="仿宋" w:eastAsia="仿宋" w:cs="仿宋"/>
          <w:sz w:val="32"/>
          <w:szCs w:val="32"/>
          <w:highlight w:val="none"/>
        </w:rPr>
        <w:t>万元，完成年初预算的</w:t>
      </w:r>
      <w:r>
        <w:rPr>
          <w:rFonts w:hint="eastAsia" w:ascii="仿宋" w:hAnsi="仿宋" w:eastAsia="仿宋" w:cs="仿宋"/>
          <w:sz w:val="32"/>
          <w:szCs w:val="32"/>
          <w:highlight w:val="none"/>
          <w:lang w:val="en-US" w:eastAsia="zh-CN"/>
        </w:rPr>
        <w:t>246.95</w:t>
      </w:r>
      <w:r>
        <w:rPr>
          <w:rFonts w:hint="eastAsia" w:ascii="仿宋" w:hAnsi="仿宋" w:eastAsia="仿宋" w:cs="仿宋"/>
          <w:sz w:val="32"/>
          <w:szCs w:val="32"/>
          <w:highlight w:val="none"/>
        </w:rPr>
        <w:t>%，其中：</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1、一般公共服务支出（类）</w:t>
      </w:r>
      <w:r>
        <w:rPr>
          <w:rFonts w:hint="eastAsia" w:ascii="仿宋" w:hAnsi="仿宋" w:eastAsia="仿宋" w:cs="仿宋"/>
          <w:sz w:val="32"/>
          <w:szCs w:val="32"/>
          <w:highlight w:val="none"/>
          <w:lang w:val="en-US" w:eastAsia="zh-CN"/>
        </w:rPr>
        <w:t>财政事务</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val="en-US" w:eastAsia="zh-CN"/>
        </w:rPr>
        <w:t>其他财政事务支出</w:t>
      </w:r>
      <w:r>
        <w:rPr>
          <w:rFonts w:hint="eastAsia" w:ascii="仿宋" w:hAnsi="仿宋" w:eastAsia="仿宋" w:cs="仿宋"/>
          <w:sz w:val="32"/>
          <w:szCs w:val="32"/>
          <w:highlight w:val="none"/>
        </w:rPr>
        <w:t>（项）。</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7.18</w:t>
      </w:r>
      <w:r>
        <w:rPr>
          <w:rFonts w:hint="eastAsia" w:ascii="仿宋" w:hAnsi="仿宋" w:eastAsia="仿宋" w:cs="仿宋"/>
          <w:sz w:val="32"/>
          <w:szCs w:val="32"/>
          <w:highlight w:val="none"/>
        </w:rPr>
        <w:t>万元，决算数大于年初预算数的主要原因是：我校为经费包干单位，年初财政</w:t>
      </w:r>
      <w:r>
        <w:rPr>
          <w:rFonts w:hint="eastAsia" w:ascii="仿宋" w:hAnsi="仿宋" w:eastAsia="仿宋" w:cs="仿宋"/>
          <w:sz w:val="32"/>
          <w:szCs w:val="32"/>
          <w:highlight w:val="none"/>
          <w:lang w:val="en-US" w:eastAsia="zh-CN"/>
        </w:rPr>
        <w:t>无此笔</w:t>
      </w:r>
      <w:r>
        <w:rPr>
          <w:rFonts w:hint="eastAsia" w:ascii="仿宋" w:hAnsi="仿宋" w:eastAsia="仿宋" w:cs="仿宋"/>
          <w:sz w:val="32"/>
          <w:szCs w:val="32"/>
          <w:highlight w:val="none"/>
        </w:rPr>
        <w:t>资金预算安排，年初</w:t>
      </w:r>
      <w:r>
        <w:rPr>
          <w:rFonts w:hint="eastAsia" w:ascii="仿宋" w:hAnsi="仿宋" w:eastAsia="仿宋" w:cs="仿宋"/>
          <w:sz w:val="32"/>
          <w:szCs w:val="32"/>
          <w:highlight w:val="none"/>
          <w:lang w:val="en-US" w:eastAsia="zh-CN"/>
        </w:rPr>
        <w:t>财政</w:t>
      </w:r>
      <w:r>
        <w:rPr>
          <w:rFonts w:hint="eastAsia" w:ascii="仿宋" w:hAnsi="仿宋" w:eastAsia="仿宋" w:cs="仿宋"/>
          <w:sz w:val="32"/>
          <w:szCs w:val="32"/>
          <w:highlight w:val="none"/>
        </w:rPr>
        <w:t>预算仅包括在职人员</w:t>
      </w:r>
      <w:r>
        <w:rPr>
          <w:rFonts w:hint="eastAsia" w:ascii="仿宋" w:hAnsi="仿宋" w:eastAsia="仿宋" w:cs="仿宋"/>
          <w:sz w:val="32"/>
          <w:szCs w:val="32"/>
          <w:highlight w:val="none"/>
          <w:lang w:eastAsia="zh-CN"/>
        </w:rPr>
        <w:t>经费包干、</w:t>
      </w:r>
      <w:r>
        <w:rPr>
          <w:rFonts w:hint="eastAsia" w:ascii="仿宋" w:hAnsi="仿宋" w:eastAsia="仿宋" w:cs="仿宋"/>
          <w:sz w:val="32"/>
          <w:szCs w:val="32"/>
          <w:highlight w:val="none"/>
        </w:rPr>
        <w:t>离退休人员公用经费</w:t>
      </w:r>
      <w:r>
        <w:rPr>
          <w:rFonts w:hint="eastAsia" w:ascii="仿宋" w:hAnsi="仿宋" w:eastAsia="仿宋" w:cs="仿宋"/>
          <w:sz w:val="32"/>
          <w:szCs w:val="32"/>
          <w:highlight w:val="none"/>
          <w:lang w:val="en-US" w:eastAsia="zh-CN"/>
        </w:rPr>
        <w:t>及工会经费</w:t>
      </w:r>
      <w:r>
        <w:rPr>
          <w:rFonts w:hint="eastAsia" w:ascii="仿宋" w:hAnsi="仿宋" w:eastAsia="仿宋" w:cs="仿宋"/>
          <w:sz w:val="32"/>
          <w:szCs w:val="32"/>
          <w:highlight w:val="none"/>
        </w:rPr>
        <w:t>，该项支出主要用于我校财政支农培训项目。资金来源为我校申请的财政支农培训专项资金。</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2、一般公共服务支出（类）</w:t>
      </w:r>
      <w:r>
        <w:rPr>
          <w:rFonts w:hint="eastAsia" w:ascii="仿宋" w:hAnsi="仿宋" w:eastAsia="仿宋" w:cs="仿宋"/>
          <w:sz w:val="32"/>
          <w:szCs w:val="32"/>
          <w:highlight w:val="none"/>
          <w:lang w:val="en-US" w:eastAsia="zh-CN"/>
        </w:rPr>
        <w:t>组织事务</w:t>
      </w:r>
      <w:r>
        <w:rPr>
          <w:rFonts w:hint="eastAsia" w:ascii="仿宋" w:hAnsi="仿宋" w:eastAsia="仿宋" w:cs="仿宋"/>
          <w:sz w:val="32"/>
          <w:szCs w:val="32"/>
          <w:highlight w:val="none"/>
        </w:rPr>
        <w:t>（款）</w:t>
      </w:r>
      <w:r>
        <w:rPr>
          <w:rFonts w:hint="eastAsia" w:ascii="仿宋" w:hAnsi="仿宋" w:eastAsia="仿宋" w:cs="仿宋"/>
          <w:sz w:val="32"/>
          <w:szCs w:val="32"/>
          <w:highlight w:val="none"/>
          <w:lang w:val="en-US" w:eastAsia="zh-CN"/>
        </w:rPr>
        <w:t>其他组织事务支出</w:t>
      </w:r>
      <w:r>
        <w:rPr>
          <w:rFonts w:hint="eastAsia" w:ascii="仿宋" w:hAnsi="仿宋" w:eastAsia="仿宋" w:cs="仿宋"/>
          <w:sz w:val="32"/>
          <w:szCs w:val="32"/>
          <w:highlight w:val="none"/>
        </w:rPr>
        <w:t>（项）。</w:t>
      </w:r>
    </w:p>
    <w:p>
      <w:pPr>
        <w:pStyle w:val="21"/>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年初预算为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68</w:t>
      </w:r>
      <w:r>
        <w:rPr>
          <w:rFonts w:hint="eastAsia" w:ascii="仿宋" w:hAnsi="仿宋" w:eastAsia="仿宋" w:cs="仿宋"/>
          <w:sz w:val="32"/>
          <w:szCs w:val="32"/>
          <w:highlight w:val="none"/>
        </w:rPr>
        <w:t>万元，决算数大于年初预算数的主要原因是：我校为</w:t>
      </w:r>
      <w:r>
        <w:rPr>
          <w:rFonts w:hint="eastAsia" w:ascii="仿宋" w:hAnsi="仿宋" w:eastAsia="仿宋" w:cs="仿宋"/>
          <w:sz w:val="32"/>
          <w:szCs w:val="32"/>
          <w:highlight w:val="none"/>
          <w:lang w:eastAsia="zh-CN"/>
        </w:rPr>
        <w:t>经费包干</w:t>
      </w:r>
      <w:r>
        <w:rPr>
          <w:rFonts w:hint="eastAsia" w:ascii="仿宋" w:hAnsi="仿宋" w:eastAsia="仿宋" w:cs="仿宋"/>
          <w:sz w:val="32"/>
          <w:szCs w:val="32"/>
          <w:highlight w:val="none"/>
        </w:rPr>
        <w:t>单位，年初财政</w:t>
      </w:r>
      <w:r>
        <w:rPr>
          <w:rFonts w:hint="eastAsia" w:ascii="仿宋" w:hAnsi="仿宋" w:eastAsia="仿宋" w:cs="仿宋"/>
          <w:sz w:val="32"/>
          <w:szCs w:val="32"/>
          <w:highlight w:val="none"/>
          <w:lang w:eastAsia="zh-CN"/>
        </w:rPr>
        <w:t>无此笔</w:t>
      </w:r>
      <w:r>
        <w:rPr>
          <w:rFonts w:hint="eastAsia" w:ascii="仿宋" w:hAnsi="仿宋" w:eastAsia="仿宋" w:cs="仿宋"/>
          <w:sz w:val="32"/>
          <w:szCs w:val="32"/>
          <w:highlight w:val="none"/>
        </w:rPr>
        <w:t>资金预算安排，年初预算仅包括</w:t>
      </w:r>
      <w:r>
        <w:rPr>
          <w:rFonts w:hint="eastAsia" w:ascii="仿宋" w:hAnsi="仿宋" w:eastAsia="仿宋" w:cs="仿宋"/>
          <w:sz w:val="32"/>
          <w:szCs w:val="32"/>
          <w:highlight w:val="none"/>
          <w:lang w:eastAsia="zh-CN"/>
        </w:rPr>
        <w:t>在职人员经费包干、离退休人员公用经费及工会经费</w:t>
      </w:r>
      <w:r>
        <w:rPr>
          <w:rFonts w:hint="eastAsia" w:ascii="仿宋" w:hAnsi="仿宋" w:eastAsia="仿宋" w:cs="仿宋"/>
          <w:sz w:val="32"/>
          <w:szCs w:val="32"/>
          <w:highlight w:val="none"/>
        </w:rPr>
        <w:t>，该项支出</w:t>
      </w:r>
      <w:r>
        <w:rPr>
          <w:rFonts w:hint="eastAsia" w:ascii="仿宋" w:hAnsi="仿宋" w:eastAsia="仿宋" w:cs="仿宋"/>
          <w:sz w:val="32"/>
          <w:szCs w:val="32"/>
          <w:highlight w:val="none"/>
          <w:lang w:val="en-US" w:eastAsia="zh-CN"/>
        </w:rPr>
        <w:t>为收到并支付的市五溪智汇柔性人才引进（2020年—2021年度）补助及2021年度引进人才补贴。</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、一般公共服务支出（类</w:t>
      </w:r>
      <w:r>
        <w:rPr>
          <w:rFonts w:hint="eastAsia" w:ascii="仿宋" w:hAnsi="仿宋" w:eastAsia="仿宋" w:cs="仿宋"/>
          <w:sz w:val="32"/>
          <w:szCs w:val="32"/>
          <w:highlight w:val="none"/>
          <w:lang w:val="en-US" w:eastAsia="zh-CN"/>
        </w:rPr>
        <w:t>）其他一般公共服务支出（款）其他一般公共服务支出（项）。</w:t>
      </w:r>
    </w:p>
    <w:p>
      <w:pPr>
        <w:pStyle w:val="21"/>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4.38万元，决算数大于年初预算数的主要原因是：我校为经费包干单位，年初财政无此笔资金预算安排，年初预算仅包括在职人员经费包干、离退休人员公用经费及工会经费，该项支出主要用于教学仪器设备购置。资金主要来源为我校非税收入等其他自筹资金。</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教育支出</w:t>
      </w:r>
      <w:r>
        <w:rPr>
          <w:rFonts w:hint="eastAsia" w:ascii="仿宋" w:hAnsi="仿宋" w:eastAsia="仿宋" w:cs="仿宋"/>
          <w:sz w:val="32"/>
          <w:szCs w:val="32"/>
          <w:highlight w:val="none"/>
        </w:rPr>
        <w:t>（类</w:t>
      </w:r>
      <w:r>
        <w:rPr>
          <w:rFonts w:hint="eastAsia" w:ascii="仿宋" w:hAnsi="仿宋" w:eastAsia="仿宋" w:cs="仿宋"/>
          <w:sz w:val="32"/>
          <w:szCs w:val="32"/>
          <w:highlight w:val="none"/>
          <w:lang w:val="en-US" w:eastAsia="zh-CN"/>
        </w:rPr>
        <w:t>）职业教育（款）中等职业教育（项）。</w:t>
      </w:r>
    </w:p>
    <w:p>
      <w:pPr>
        <w:pStyle w:val="21"/>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776.85万元，决算数大于年初预算数的主要原因是：我校为经费包干单位，年初财政无此笔资金预算安排，年初预算仅包括在职人员经费包干、离退休人员公用经费及工会经费，该项支出主要用于我校相关公用开支。资金主要来源为我校的免学费收入。</w:t>
      </w:r>
    </w:p>
    <w:p>
      <w:pPr>
        <w:pStyle w:val="21"/>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5、教育支出（类）职业教育（款）技校教育（项）。</w:t>
      </w:r>
    </w:p>
    <w:p>
      <w:pPr>
        <w:pStyle w:val="6"/>
        <w:keepNext w:val="0"/>
        <w:keepLines w:val="0"/>
        <w:widowControl/>
        <w:suppressLineNumbers w:val="0"/>
        <w:spacing w:before="0" w:beforeAutospacing="0" w:after="0" w:afterAutospacing="0" w:line="499" w:lineRule="auto"/>
        <w:ind w:right="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893.33万元，支出决算864.72万元，完成年初预算的96.80%，决算数小于年初预算数的主要原因是：年初预算列支的工会经费15.84万元及对个人和家庭的补助12.77万元（退休费0.96万元，离休费11.81万元），财政下拨时未拨缴至该大类中</w:t>
      </w:r>
      <w:r>
        <w:rPr>
          <w:rFonts w:hint="eastAsia" w:ascii="仿宋" w:hAnsi="仿宋" w:eastAsia="仿宋" w:cs="仿宋"/>
          <w:color w:val="auto"/>
          <w:sz w:val="32"/>
          <w:szCs w:val="32"/>
          <w:highlight w:val="none"/>
          <w:lang w:val="en-US" w:eastAsia="zh-CN"/>
        </w:rPr>
        <w:t>，工会经费直接由怀化市总工会据其资金情况计算工会经费直接拨付至校工会账户，财政不拨付此项收入。该项支出主要为我校人员基本工资开支</w:t>
      </w:r>
      <w:r>
        <w:rPr>
          <w:rFonts w:hint="eastAsia" w:ascii="仿宋" w:hAnsi="仿宋" w:eastAsia="仿宋" w:cs="仿宋"/>
          <w:sz w:val="32"/>
          <w:szCs w:val="32"/>
          <w:highlight w:val="none"/>
          <w:lang w:val="en-US" w:eastAsia="zh-CN"/>
        </w:rPr>
        <w:t>。</w:t>
      </w:r>
    </w:p>
    <w:p>
      <w:pPr>
        <w:pStyle w:val="6"/>
        <w:keepNext w:val="0"/>
        <w:keepLines w:val="0"/>
        <w:widowControl/>
        <w:numPr>
          <w:ilvl w:val="0"/>
          <w:numId w:val="0"/>
        </w:numPr>
        <w:suppressLineNumbers w:val="0"/>
        <w:spacing w:before="0" w:beforeAutospacing="0" w:after="0" w:afterAutospacing="0" w:line="499" w:lineRule="auto"/>
        <w:ind w:right="0" w:rightChars="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6、教育支出（类）其他教育支出（款）其他教育支出（项）。</w:t>
      </w:r>
    </w:p>
    <w:p>
      <w:pPr>
        <w:pStyle w:val="6"/>
        <w:keepNext w:val="0"/>
        <w:keepLines w:val="0"/>
        <w:widowControl/>
        <w:suppressLineNumbers w:val="0"/>
        <w:spacing w:before="0" w:beforeAutospacing="0" w:after="0" w:afterAutospacing="0" w:line="499" w:lineRule="auto"/>
        <w:ind w:right="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182万元，决算数大于年初预算数的主要原因是：我校为经费包干单位，年初财政无此笔资金预算安排，年初预算仅包括在职人员经费包干、离退休人员公用经费及工会经费，该项支出主要为我校年终绩效奖金支出及我校教学设备购置开支，资金来源为我校自筹资金。</w:t>
      </w:r>
    </w:p>
    <w:p>
      <w:pPr>
        <w:pStyle w:val="6"/>
        <w:keepNext w:val="0"/>
        <w:keepLines w:val="0"/>
        <w:widowControl/>
        <w:numPr>
          <w:ilvl w:val="0"/>
          <w:numId w:val="0"/>
        </w:numPr>
        <w:suppressLineNumbers w:val="0"/>
        <w:spacing w:before="0" w:beforeAutospacing="0" w:after="0" w:afterAutospacing="0" w:line="499" w:lineRule="auto"/>
        <w:ind w:right="0" w:rightChars="0" w:firstLine="640" w:firstLineChars="200"/>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7、社会保障和就业支出（类）行政事业单位养老支出（款）事业单位离退休（项）。</w:t>
      </w:r>
    </w:p>
    <w:p>
      <w:pPr>
        <w:pStyle w:val="6"/>
        <w:keepNext w:val="0"/>
        <w:keepLines w:val="0"/>
        <w:widowControl/>
        <w:suppressLineNumbers w:val="0"/>
        <w:spacing w:before="0" w:beforeAutospacing="0" w:after="0" w:afterAutospacing="0" w:line="499" w:lineRule="auto"/>
        <w:ind w:right="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13.61万元，决算数大于年初预算数的主要原因是：我校为经费包干单位，年初财政无此笔资金预算安排，年初预算仅包括在职人员经费包干、离退休人员公用经费及工会经费，该项开支主要为离退休人员抚恤费等开支。资金来源为我校自筹资金。</w:t>
      </w:r>
    </w:p>
    <w:p>
      <w:pPr>
        <w:pStyle w:val="6"/>
        <w:keepNext w:val="0"/>
        <w:keepLines w:val="0"/>
        <w:widowControl/>
        <w:numPr>
          <w:ilvl w:val="0"/>
          <w:numId w:val="0"/>
        </w:numPr>
        <w:suppressLineNumbers w:val="0"/>
        <w:spacing w:before="0" w:beforeAutospacing="0" w:after="0" w:afterAutospacing="0" w:line="499" w:lineRule="auto"/>
        <w:ind w:right="0" w:rightChars="0" w:firstLine="640" w:firstLineChars="200"/>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8、社会保障和就业支出（类）行政事业单位养老支出（款）机关事业单位基本养老保险缴费支出（项）。</w:t>
      </w:r>
    </w:p>
    <w:p>
      <w:pPr>
        <w:pStyle w:val="6"/>
        <w:keepNext w:val="0"/>
        <w:keepLines w:val="0"/>
        <w:widowControl/>
        <w:suppressLineNumbers w:val="0"/>
        <w:spacing w:before="0" w:beforeAutospacing="0" w:after="0" w:afterAutospacing="0" w:line="499" w:lineRule="auto"/>
        <w:ind w:right="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131.82万元，决算数大于年初预算数的主要原因是：我校为经费包干单位，年初财政无此笔资金预算安排，年初预算仅包括在职人员经费包干、离退休人员公用经费及工会经费，该项为我校机关养老保险缴费开支。资金来源为我校自筹资金。</w:t>
      </w:r>
    </w:p>
    <w:p>
      <w:pPr>
        <w:pStyle w:val="6"/>
        <w:keepNext w:val="0"/>
        <w:keepLines w:val="0"/>
        <w:widowControl/>
        <w:numPr>
          <w:ilvl w:val="0"/>
          <w:numId w:val="0"/>
        </w:numPr>
        <w:suppressLineNumbers w:val="0"/>
        <w:spacing w:before="0" w:beforeAutospacing="0" w:after="0" w:afterAutospacing="0" w:line="499" w:lineRule="auto"/>
        <w:ind w:right="0" w:rightChars="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9、社会保障和就业支出（类）行政事业单位养老支出（款）其他行政事业单位养老支出（项）。</w:t>
      </w:r>
    </w:p>
    <w:p>
      <w:pPr>
        <w:pStyle w:val="6"/>
        <w:keepNext w:val="0"/>
        <w:keepLines w:val="0"/>
        <w:widowControl/>
        <w:suppressLineNumbers w:val="0"/>
        <w:spacing w:before="0" w:beforeAutospacing="0" w:after="0" w:afterAutospacing="0" w:line="499" w:lineRule="auto"/>
        <w:ind w:right="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7.51万元，决算数大于年初预算数的主要原因是：我校为经费包干单位，年初财政无此笔资金预算安排，年初预算仅包括在职人员经费包干、离退休人员公用经费及工会经费，该项为我校一名离休教师春节一次性奖金及退休教工体检费用。资金来源为我校自筹资金。</w:t>
      </w:r>
    </w:p>
    <w:p>
      <w:pPr>
        <w:pStyle w:val="6"/>
        <w:keepNext w:val="0"/>
        <w:keepLines w:val="0"/>
        <w:widowControl/>
        <w:numPr>
          <w:ilvl w:val="0"/>
          <w:numId w:val="0"/>
        </w:numPr>
        <w:suppressLineNumbers w:val="0"/>
        <w:spacing w:before="0" w:beforeAutospacing="0" w:after="0" w:afterAutospacing="0" w:line="499" w:lineRule="auto"/>
        <w:ind w:right="0" w:rightChars="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10、社会保障和就业支出（类）就业补助（款）高技能人才培养补助（项）。</w:t>
      </w:r>
    </w:p>
    <w:p>
      <w:pPr>
        <w:pStyle w:val="6"/>
        <w:keepNext w:val="0"/>
        <w:keepLines w:val="0"/>
        <w:widowControl/>
        <w:suppressLineNumbers w:val="0"/>
        <w:spacing w:before="0" w:beforeAutospacing="0" w:after="0" w:afterAutospacing="0" w:line="499" w:lineRule="auto"/>
        <w:ind w:right="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43.24万元，决算数大于年初预算数的主要原因是：我校为经费包干单位，年初财政无此笔资金预算安排，年初预算仅包括在职人员经费包干、离退休人员公用经费及工会经费，该项主要用于我校实训设施设备购置。资金来源为我校自筹人才培养补助项目资金。</w:t>
      </w:r>
    </w:p>
    <w:p>
      <w:pPr>
        <w:pStyle w:val="6"/>
        <w:keepNext w:val="0"/>
        <w:keepLines w:val="0"/>
        <w:widowControl/>
        <w:numPr>
          <w:ilvl w:val="0"/>
          <w:numId w:val="0"/>
        </w:numPr>
        <w:suppressLineNumbers w:val="0"/>
        <w:spacing w:before="0" w:beforeAutospacing="0" w:after="0" w:afterAutospacing="0" w:line="499" w:lineRule="auto"/>
        <w:ind w:left="0" w:leftChars="0" w:right="0" w:rightChars="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11、社会保障和就业支出（类）就业补助（款）其他就业补助支出（项）。</w:t>
      </w:r>
    </w:p>
    <w:p>
      <w:pPr>
        <w:pStyle w:val="6"/>
        <w:keepNext w:val="0"/>
        <w:keepLines w:val="0"/>
        <w:widowControl/>
        <w:suppressLineNumbers w:val="0"/>
        <w:spacing w:before="0" w:beforeAutospacing="0" w:after="0" w:afterAutospacing="0" w:line="499" w:lineRule="auto"/>
        <w:ind w:left="0" w:right="0" w:firstLine="64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40.65万元，决算数大于年初预算数的主要原因是：我校为经费包干单位，年初财政无此笔资金预算安排，年初预算仅包括在职人员经费包干、离退休人员公用经费及工会经费，该项主要用于实训耗材的购置。资金来源为我校自筹的人才培养补助专项资金。</w:t>
      </w:r>
    </w:p>
    <w:p>
      <w:pPr>
        <w:pStyle w:val="6"/>
        <w:keepNext w:val="0"/>
        <w:keepLines w:val="0"/>
        <w:widowControl/>
        <w:numPr>
          <w:ilvl w:val="0"/>
          <w:numId w:val="0"/>
        </w:numPr>
        <w:suppressLineNumbers w:val="0"/>
        <w:spacing w:before="0" w:beforeAutospacing="0" w:after="0" w:afterAutospacing="0" w:line="499" w:lineRule="auto"/>
        <w:ind w:left="0" w:leftChars="0" w:right="0" w:rightChars="0" w:firstLine="640" w:firstLineChars="20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12、卫生健康支出（类）行政事业单位医疗（款）事业单位医疗（项）。</w:t>
      </w:r>
    </w:p>
    <w:p>
      <w:pPr>
        <w:pStyle w:val="6"/>
        <w:keepNext w:val="0"/>
        <w:keepLines w:val="0"/>
        <w:widowControl/>
        <w:suppressLineNumbers w:val="0"/>
        <w:spacing w:before="0" w:beforeAutospacing="0" w:after="0" w:afterAutospacing="0" w:line="499" w:lineRule="auto"/>
        <w:ind w:left="0" w:right="0" w:firstLine="64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年初预算为0万元，支出决算为66.12万元，决算数大于年初预算数的主要原因是：我校为经费包干单位，年初财政无此笔资金预算安排，年初预算仅包括在职人员经费包干、离退休人员公用经费及工会经费，该项支出全部为职工基本医疗保险缴费。</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六、一般公共预算财政拨款基本支出决算情况说明</w:t>
      </w:r>
    </w:p>
    <w:p>
      <w:pPr>
        <w:pStyle w:val="21"/>
        <w:ind w:firstLine="640" w:firstLineChars="200"/>
        <w:rPr>
          <w:rFonts w:hint="eastAsia" w:ascii="仿宋" w:hAnsi="仿宋" w:eastAsia="仿宋" w:cs="仿宋"/>
          <w:i/>
          <w:color w:val="FF0000"/>
          <w:sz w:val="32"/>
          <w:szCs w:val="32"/>
          <w:highlight w:val="none"/>
        </w:rPr>
      </w:pPr>
      <w:r>
        <w:rPr>
          <w:rFonts w:hint="eastAsia" w:ascii="仿宋" w:hAnsi="仿宋" w:eastAsia="仿宋" w:cs="仿宋"/>
          <w:sz w:val="32"/>
          <w:szCs w:val="32"/>
          <w:highlight w:val="none"/>
        </w:rPr>
        <w:t>2021年度财政拨款基本支出</w:t>
      </w:r>
      <w:r>
        <w:rPr>
          <w:rFonts w:hint="eastAsia" w:ascii="仿宋" w:hAnsi="仿宋" w:eastAsia="仿宋" w:cs="仿宋"/>
          <w:sz w:val="32"/>
          <w:szCs w:val="32"/>
          <w:highlight w:val="none"/>
          <w:lang w:val="en-US" w:eastAsia="zh-CN"/>
        </w:rPr>
        <w:t>1931.29</w:t>
      </w:r>
      <w:r>
        <w:rPr>
          <w:rFonts w:hint="eastAsia" w:ascii="仿宋" w:hAnsi="仿宋" w:eastAsia="仿宋" w:cs="仿宋"/>
          <w:sz w:val="32"/>
          <w:szCs w:val="32"/>
          <w:highlight w:val="none"/>
        </w:rPr>
        <w:t>万元，其中：人员经费</w:t>
      </w:r>
      <w:r>
        <w:rPr>
          <w:rFonts w:hint="eastAsia" w:ascii="仿宋" w:hAnsi="仿宋" w:eastAsia="仿宋" w:cs="仿宋"/>
          <w:sz w:val="32"/>
          <w:szCs w:val="32"/>
          <w:highlight w:val="none"/>
          <w:lang w:val="en-US" w:eastAsia="zh-CN"/>
        </w:rPr>
        <w:t>1677.66</w:t>
      </w:r>
      <w:r>
        <w:rPr>
          <w:rFonts w:hint="eastAsia" w:ascii="仿宋" w:hAnsi="仿宋" w:eastAsia="仿宋" w:cs="仿宋"/>
          <w:sz w:val="32"/>
          <w:szCs w:val="32"/>
          <w:highlight w:val="none"/>
        </w:rPr>
        <w:t>万元，占基本支出的</w:t>
      </w:r>
      <w:r>
        <w:rPr>
          <w:rFonts w:hint="eastAsia" w:ascii="仿宋" w:hAnsi="仿宋" w:eastAsia="仿宋" w:cs="仿宋"/>
          <w:sz w:val="32"/>
          <w:szCs w:val="32"/>
          <w:highlight w:val="none"/>
          <w:lang w:val="en-US" w:eastAsia="zh-CN"/>
        </w:rPr>
        <w:t>86.87</w:t>
      </w:r>
      <w:r>
        <w:rPr>
          <w:rFonts w:hint="eastAsia" w:ascii="仿宋" w:hAnsi="仿宋" w:eastAsia="仿宋" w:cs="仿宋"/>
          <w:sz w:val="32"/>
          <w:szCs w:val="32"/>
          <w:highlight w:val="none"/>
        </w:rPr>
        <w:t>%,主要包括基本工资、津贴补贴、奖金、</w:t>
      </w:r>
      <w:r>
        <w:rPr>
          <w:rFonts w:hint="eastAsia" w:ascii="仿宋" w:hAnsi="仿宋" w:eastAsia="仿宋" w:cs="仿宋"/>
          <w:sz w:val="32"/>
          <w:szCs w:val="32"/>
          <w:highlight w:val="none"/>
          <w:lang w:val="en-US" w:eastAsia="zh-CN"/>
        </w:rPr>
        <w:t>机关事业单位基本养老保险缴费、职工基本医疗保险缴费、对个人和家庭的补助等</w:t>
      </w:r>
      <w:r>
        <w:rPr>
          <w:rFonts w:hint="eastAsia" w:ascii="仿宋" w:hAnsi="仿宋" w:eastAsia="仿宋" w:cs="仿宋"/>
          <w:sz w:val="32"/>
          <w:szCs w:val="32"/>
          <w:highlight w:val="none"/>
        </w:rPr>
        <w:t>；公用经费</w:t>
      </w:r>
      <w:r>
        <w:rPr>
          <w:rFonts w:hint="eastAsia" w:ascii="仿宋" w:hAnsi="仿宋" w:eastAsia="仿宋" w:cs="仿宋"/>
          <w:sz w:val="32"/>
          <w:szCs w:val="32"/>
          <w:highlight w:val="none"/>
          <w:lang w:val="en-US" w:eastAsia="zh-CN"/>
        </w:rPr>
        <w:t>253.63</w:t>
      </w:r>
      <w:r>
        <w:rPr>
          <w:rFonts w:hint="eastAsia" w:ascii="仿宋" w:hAnsi="仿宋" w:eastAsia="仿宋" w:cs="仿宋"/>
          <w:sz w:val="32"/>
          <w:szCs w:val="32"/>
          <w:highlight w:val="none"/>
        </w:rPr>
        <w:t>万元，占基本支出的</w:t>
      </w:r>
      <w:r>
        <w:rPr>
          <w:rFonts w:hint="eastAsia" w:ascii="仿宋" w:hAnsi="仿宋" w:eastAsia="仿宋" w:cs="仿宋"/>
          <w:sz w:val="32"/>
          <w:szCs w:val="32"/>
          <w:highlight w:val="none"/>
          <w:lang w:val="en-US" w:eastAsia="zh-CN"/>
        </w:rPr>
        <w:t>13.13</w:t>
      </w:r>
      <w:r>
        <w:rPr>
          <w:rFonts w:hint="eastAsia" w:ascii="仿宋" w:hAnsi="仿宋" w:eastAsia="仿宋" w:cs="仿宋"/>
          <w:sz w:val="32"/>
          <w:szCs w:val="32"/>
          <w:highlight w:val="none"/>
        </w:rPr>
        <w:t>%，主要包括办公费、</w:t>
      </w:r>
      <w:r>
        <w:rPr>
          <w:rFonts w:hint="eastAsia" w:ascii="仿宋" w:hAnsi="仿宋" w:eastAsia="仿宋" w:cs="仿宋"/>
          <w:sz w:val="32"/>
          <w:szCs w:val="32"/>
          <w:highlight w:val="none"/>
          <w:lang w:val="en-US" w:eastAsia="zh-CN"/>
        </w:rPr>
        <w:t>水电费</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差旅费、专用材料费、工会经费等</w:t>
      </w:r>
      <w:r>
        <w:rPr>
          <w:rFonts w:hint="eastAsia" w:ascii="仿宋" w:hAnsi="仿宋" w:eastAsia="仿宋" w:cs="仿宋"/>
          <w:sz w:val="32"/>
          <w:szCs w:val="32"/>
          <w:highlight w:val="none"/>
        </w:rPr>
        <w:t>。</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七、一般公共预算财政拨款“三公”经费支出决算情况说明</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（一）“三公”经费财政拨款支出决算总体情况说明</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2021年度“三公”经费财政拨款支出预算为</w:t>
      </w:r>
      <w:r>
        <w:rPr>
          <w:rFonts w:hint="eastAsia" w:ascii="仿宋" w:hAnsi="仿宋" w:eastAsia="仿宋" w:cs="仿宋"/>
          <w:sz w:val="32"/>
          <w:szCs w:val="32"/>
          <w:highlight w:val="none"/>
          <w:lang w:val="en-US" w:eastAsia="zh-CN"/>
        </w:rPr>
        <w:t>1.89</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0.19</w:t>
      </w:r>
      <w:r>
        <w:rPr>
          <w:rFonts w:hint="eastAsia" w:ascii="仿宋" w:hAnsi="仿宋" w:eastAsia="仿宋" w:cs="仿宋"/>
          <w:sz w:val="32"/>
          <w:szCs w:val="32"/>
          <w:highlight w:val="none"/>
        </w:rPr>
        <w:t>万元，完成预算的</w:t>
      </w:r>
      <w:r>
        <w:rPr>
          <w:rFonts w:hint="eastAsia" w:ascii="仿宋" w:hAnsi="仿宋" w:eastAsia="仿宋" w:cs="仿宋"/>
          <w:sz w:val="32"/>
          <w:szCs w:val="32"/>
          <w:highlight w:val="none"/>
          <w:lang w:val="en-US" w:eastAsia="zh-CN"/>
        </w:rPr>
        <w:t>10.05</w:t>
      </w:r>
      <w:r>
        <w:rPr>
          <w:rFonts w:hint="eastAsia" w:ascii="仿宋" w:hAnsi="仿宋" w:eastAsia="仿宋" w:cs="仿宋"/>
          <w:sz w:val="32"/>
          <w:szCs w:val="32"/>
          <w:highlight w:val="none"/>
        </w:rPr>
        <w:t>%，其中：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fill="FFFFFF"/>
          <w:lang w:eastAsia="zh-CN"/>
        </w:rPr>
      </w:pPr>
      <w:r>
        <w:rPr>
          <w:rFonts w:hint="eastAsia" w:ascii="仿宋" w:hAnsi="仿宋" w:eastAsia="仿宋" w:cs="仿宋"/>
          <w:i w:val="0"/>
          <w:iCs w:val="0"/>
          <w:caps w:val="0"/>
          <w:color w:val="auto"/>
          <w:spacing w:val="0"/>
          <w:sz w:val="32"/>
          <w:szCs w:val="32"/>
          <w:shd w:val="clear" w:fill="FFFFFF"/>
        </w:rPr>
        <w:t>因公出国（境）费支出预算为0万元，支出决算为0万元，决算数与年初预算数持平，主要原因</w:t>
      </w:r>
      <w:r>
        <w:rPr>
          <w:rFonts w:hint="eastAsia" w:ascii="仿宋" w:hAnsi="仿宋" w:eastAsia="仿宋" w:cs="仿宋"/>
          <w:i w:val="0"/>
          <w:iCs w:val="0"/>
          <w:caps w:val="0"/>
          <w:color w:val="auto"/>
          <w:spacing w:val="0"/>
          <w:sz w:val="32"/>
          <w:szCs w:val="32"/>
          <w:shd w:val="clear" w:fill="FFFFFF"/>
          <w:lang w:eastAsia="zh-CN"/>
        </w:rPr>
        <w:t>按预算执行，</w:t>
      </w:r>
      <w:r>
        <w:rPr>
          <w:rFonts w:hint="eastAsia" w:ascii="仿宋" w:hAnsi="仿宋" w:eastAsia="仿宋" w:cs="仿宋"/>
          <w:i w:val="0"/>
          <w:iCs w:val="0"/>
          <w:caps w:val="0"/>
          <w:color w:val="auto"/>
          <w:spacing w:val="0"/>
          <w:sz w:val="32"/>
          <w:szCs w:val="32"/>
          <w:shd w:val="clear" w:fill="FFFFFF"/>
        </w:rPr>
        <w:t>与上年数持平</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主要原因</w:t>
      </w:r>
      <w:r>
        <w:rPr>
          <w:rFonts w:hint="eastAsia" w:ascii="仿宋" w:hAnsi="仿宋" w:eastAsia="仿宋" w:cs="仿宋"/>
          <w:i w:val="0"/>
          <w:iCs w:val="0"/>
          <w:caps w:val="0"/>
          <w:color w:val="auto"/>
          <w:spacing w:val="0"/>
          <w:sz w:val="32"/>
          <w:szCs w:val="32"/>
          <w:shd w:val="clear" w:fill="FFFFFF"/>
          <w:lang w:eastAsia="zh-CN"/>
        </w:rPr>
        <w:t>本年度未安排因公出国（境）。</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公务接待费支出预算为</w:t>
      </w:r>
      <w:r>
        <w:rPr>
          <w:rFonts w:hint="eastAsia" w:ascii="仿宋" w:hAnsi="仿宋" w:eastAsia="仿宋" w:cs="仿宋"/>
          <w:sz w:val="32"/>
          <w:szCs w:val="32"/>
          <w:highlight w:val="none"/>
          <w:lang w:val="en-US" w:eastAsia="zh-CN"/>
        </w:rPr>
        <w:t>1.89</w:t>
      </w:r>
      <w:r>
        <w:rPr>
          <w:rFonts w:hint="eastAsia" w:ascii="仿宋" w:hAnsi="仿宋" w:eastAsia="仿宋" w:cs="仿宋"/>
          <w:sz w:val="32"/>
          <w:szCs w:val="32"/>
          <w:highlight w:val="none"/>
        </w:rPr>
        <w:t>万元，支出决算为</w:t>
      </w:r>
      <w:r>
        <w:rPr>
          <w:rFonts w:hint="eastAsia" w:ascii="仿宋" w:hAnsi="仿宋" w:eastAsia="仿宋" w:cs="仿宋"/>
          <w:sz w:val="32"/>
          <w:szCs w:val="32"/>
          <w:highlight w:val="none"/>
          <w:lang w:val="en-US" w:eastAsia="zh-CN"/>
        </w:rPr>
        <w:t>0.19</w:t>
      </w:r>
      <w:r>
        <w:rPr>
          <w:rFonts w:hint="eastAsia" w:ascii="仿宋" w:hAnsi="仿宋" w:eastAsia="仿宋" w:cs="仿宋"/>
          <w:sz w:val="32"/>
          <w:szCs w:val="32"/>
          <w:highlight w:val="none"/>
        </w:rPr>
        <w:t>万元，完成预算的</w:t>
      </w:r>
      <w:r>
        <w:rPr>
          <w:rFonts w:hint="eastAsia" w:ascii="仿宋" w:hAnsi="仿宋" w:eastAsia="仿宋" w:cs="仿宋"/>
          <w:sz w:val="32"/>
          <w:szCs w:val="32"/>
          <w:highlight w:val="none"/>
          <w:lang w:val="en-US" w:eastAsia="zh-CN"/>
        </w:rPr>
        <w:t>10.05</w:t>
      </w:r>
      <w:r>
        <w:rPr>
          <w:rFonts w:hint="eastAsia" w:ascii="仿宋" w:hAnsi="仿宋" w:eastAsia="仿宋" w:cs="仿宋"/>
          <w:sz w:val="32"/>
          <w:szCs w:val="32"/>
          <w:highlight w:val="none"/>
        </w:rPr>
        <w:t>%，决算数小于预算数的主要原因是我校严控“三公”经费开支，特别是对公务接待费相关开支内容严格按照相关文件要求，抓严抓实每一环节，与上年相比减少</w:t>
      </w:r>
      <w:r>
        <w:rPr>
          <w:rFonts w:hint="eastAsia" w:ascii="仿宋" w:hAnsi="仿宋" w:eastAsia="仿宋" w:cs="仿宋"/>
          <w:sz w:val="32"/>
          <w:szCs w:val="32"/>
          <w:highlight w:val="none"/>
          <w:lang w:val="en-US" w:eastAsia="zh-CN"/>
        </w:rPr>
        <w:t>0.1</w:t>
      </w:r>
      <w:r>
        <w:rPr>
          <w:rFonts w:hint="eastAsia" w:ascii="仿宋" w:hAnsi="仿宋" w:eastAsia="仿宋" w:cs="仿宋"/>
          <w:sz w:val="32"/>
          <w:szCs w:val="32"/>
          <w:highlight w:val="none"/>
        </w:rPr>
        <w:t>万元，减少</w:t>
      </w:r>
      <w:r>
        <w:rPr>
          <w:rFonts w:hint="eastAsia" w:ascii="仿宋" w:hAnsi="仿宋" w:eastAsia="仿宋" w:cs="仿宋"/>
          <w:sz w:val="32"/>
          <w:szCs w:val="32"/>
          <w:highlight w:val="none"/>
          <w:lang w:val="en-US" w:eastAsia="zh-CN"/>
        </w:rPr>
        <w:t>52.63</w:t>
      </w:r>
      <w:r>
        <w:rPr>
          <w:rFonts w:hint="eastAsia" w:ascii="仿宋" w:hAnsi="仿宋" w:eastAsia="仿宋" w:cs="仿宋"/>
          <w:sz w:val="32"/>
          <w:szCs w:val="32"/>
          <w:highlight w:val="none"/>
        </w:rPr>
        <w:t>%,减少的主要原因是我校</w:t>
      </w:r>
      <w:r>
        <w:rPr>
          <w:rFonts w:hint="eastAsia" w:ascii="仿宋" w:hAnsi="仿宋" w:eastAsia="仿宋" w:cs="仿宋"/>
          <w:sz w:val="32"/>
          <w:szCs w:val="32"/>
          <w:highlight w:val="none"/>
          <w:lang w:val="en-US" w:eastAsia="zh-CN"/>
        </w:rPr>
        <w:t>在政策上开源节流，厉行节约，本年开支的接待费主要为校企合作企业来校交流发生的业务招待费，今年</w:t>
      </w:r>
      <w:r>
        <w:rPr>
          <w:rFonts w:hint="eastAsia" w:ascii="仿宋" w:hAnsi="仿宋" w:eastAsia="仿宋" w:cs="仿宋"/>
          <w:sz w:val="32"/>
          <w:szCs w:val="32"/>
          <w:highlight w:val="none"/>
        </w:rPr>
        <w:t>接待人次</w:t>
      </w:r>
      <w:r>
        <w:rPr>
          <w:rFonts w:hint="eastAsia" w:ascii="仿宋" w:hAnsi="仿宋" w:eastAsia="仿宋" w:cs="仿宋"/>
          <w:sz w:val="32"/>
          <w:szCs w:val="32"/>
          <w:highlight w:val="none"/>
          <w:lang w:val="en-US" w:eastAsia="zh-CN"/>
        </w:rPr>
        <w:t>较去年有</w:t>
      </w:r>
      <w:r>
        <w:rPr>
          <w:rFonts w:hint="eastAsia" w:ascii="仿宋" w:hAnsi="仿宋" w:eastAsia="仿宋" w:cs="仿宋"/>
          <w:sz w:val="32"/>
          <w:szCs w:val="32"/>
          <w:highlight w:val="none"/>
        </w:rPr>
        <w:t>一定程度减少。我校为经费包干单位，财政没有安排“三公”经费拨款，我校的“三公”经费支出来源于我校自筹资金。</w:t>
      </w:r>
    </w:p>
    <w:p>
      <w:pPr>
        <w:pStyle w:val="21"/>
        <w:ind w:firstLine="640" w:firstLineChars="200"/>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公务用车购置费及运行维护费支出预算为0万元，支出决算为0万元，决算数与年初预算数持平主要原因</w:t>
      </w:r>
      <w:r>
        <w:rPr>
          <w:rFonts w:hint="eastAsia" w:ascii="仿宋" w:hAnsi="仿宋" w:eastAsia="仿宋" w:cs="仿宋"/>
          <w:i w:val="0"/>
          <w:iCs w:val="0"/>
          <w:caps w:val="0"/>
          <w:color w:val="auto"/>
          <w:spacing w:val="0"/>
          <w:sz w:val="32"/>
          <w:szCs w:val="32"/>
          <w:shd w:val="clear" w:fill="FFFFFF"/>
          <w:lang w:eastAsia="zh-CN"/>
        </w:rPr>
        <w:t>按预算执行，</w:t>
      </w:r>
      <w:r>
        <w:rPr>
          <w:rFonts w:hint="eastAsia" w:ascii="仿宋" w:hAnsi="仿宋" w:eastAsia="仿宋" w:cs="仿宋"/>
          <w:i w:val="0"/>
          <w:iCs w:val="0"/>
          <w:caps w:val="0"/>
          <w:color w:val="auto"/>
          <w:spacing w:val="0"/>
          <w:sz w:val="32"/>
          <w:szCs w:val="32"/>
          <w:shd w:val="clear" w:fill="FFFFFF"/>
        </w:rPr>
        <w:t>与上年数持平</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主要原因是厉行节约，减少开支</w:t>
      </w:r>
      <w:r>
        <w:rPr>
          <w:rFonts w:hint="eastAsia" w:ascii="仿宋" w:hAnsi="仿宋" w:eastAsia="仿宋" w:cs="仿宋"/>
          <w:i w:val="0"/>
          <w:iCs w:val="0"/>
          <w:caps w:val="0"/>
          <w:color w:val="auto"/>
          <w:spacing w:val="0"/>
          <w:sz w:val="32"/>
          <w:szCs w:val="32"/>
          <w:shd w:val="clear" w:fill="FFFFFF"/>
        </w:rPr>
        <w:t>。</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（二）“三公”经费财政拨款支出决算具体情况说明</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2021年度“三公”经费财政拨款支出决算中，公务接待费支出决算</w:t>
      </w:r>
      <w:r>
        <w:rPr>
          <w:rFonts w:hint="eastAsia" w:ascii="仿宋" w:hAnsi="仿宋" w:eastAsia="仿宋" w:cs="仿宋"/>
          <w:sz w:val="32"/>
          <w:szCs w:val="32"/>
          <w:highlight w:val="none"/>
          <w:lang w:val="en-US" w:eastAsia="zh-CN"/>
        </w:rPr>
        <w:t>0.19</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%,因公出国（境）费支出决算</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%,公务用车购置费及运行维护费支出决算</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%。其中：</w:t>
      </w:r>
    </w:p>
    <w:p>
      <w:pPr>
        <w:pStyle w:val="21"/>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1、因公出国（境）费支出决算为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万元，全年安排因公出国（境）团组</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个，累计</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人次</w:t>
      </w:r>
      <w:r>
        <w:rPr>
          <w:rFonts w:hint="eastAsia" w:ascii="仿宋" w:hAnsi="仿宋" w:eastAsia="仿宋" w:cs="仿宋"/>
          <w:sz w:val="32"/>
          <w:szCs w:val="32"/>
          <w:highlight w:val="none"/>
          <w:lang w:eastAsia="zh-CN"/>
        </w:rPr>
        <w:t>。</w:t>
      </w:r>
    </w:p>
    <w:p>
      <w:pPr>
        <w:pStyle w:val="21"/>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2、公务接待费支出决算为</w:t>
      </w:r>
      <w:r>
        <w:rPr>
          <w:rFonts w:hint="eastAsia" w:ascii="仿宋" w:hAnsi="仿宋" w:eastAsia="仿宋" w:cs="仿宋"/>
          <w:sz w:val="32"/>
          <w:szCs w:val="32"/>
          <w:highlight w:val="none"/>
          <w:lang w:val="en-US" w:eastAsia="zh-CN"/>
        </w:rPr>
        <w:t>0.19</w:t>
      </w:r>
      <w:r>
        <w:rPr>
          <w:rFonts w:hint="eastAsia" w:ascii="仿宋" w:hAnsi="仿宋" w:eastAsia="仿宋" w:cs="仿宋"/>
          <w:sz w:val="32"/>
          <w:szCs w:val="32"/>
          <w:highlight w:val="none"/>
        </w:rPr>
        <w:t>万元，全年共接待来访团组</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个、来宾</w:t>
      </w:r>
      <w:r>
        <w:rPr>
          <w:rFonts w:hint="eastAsia" w:ascii="仿宋" w:hAnsi="仿宋" w:eastAsia="仿宋" w:cs="仿宋"/>
          <w:sz w:val="32"/>
          <w:szCs w:val="32"/>
          <w:highlight w:val="none"/>
          <w:lang w:val="en-US" w:eastAsia="zh-CN"/>
        </w:rPr>
        <w:t>22</w:t>
      </w:r>
      <w:r>
        <w:rPr>
          <w:rFonts w:hint="eastAsia" w:ascii="仿宋" w:hAnsi="仿宋" w:eastAsia="仿宋" w:cs="仿宋"/>
          <w:sz w:val="32"/>
          <w:szCs w:val="32"/>
          <w:highlight w:val="none"/>
        </w:rPr>
        <w:t>人次，主要是</w:t>
      </w:r>
      <w:r>
        <w:rPr>
          <w:rFonts w:hint="eastAsia" w:ascii="仿宋" w:hAnsi="仿宋" w:eastAsia="仿宋" w:cs="仿宋"/>
          <w:sz w:val="32"/>
          <w:szCs w:val="32"/>
          <w:highlight w:val="none"/>
          <w:lang w:val="en-US" w:eastAsia="zh-CN"/>
        </w:rPr>
        <w:t>接待深圳市京木科技有限公司洽谈校企合作业务开支的接待费、新晃扶罗镇东风村村支两委来校进行对接工作公务接待费、惠州TCL移动通信有限公司洽谈校企合作业务开支的发生的接待费发生的接待支出。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sz w:val="32"/>
          <w:szCs w:val="32"/>
          <w:highlight w:val="none"/>
        </w:rPr>
        <w:t>3、</w:t>
      </w:r>
      <w:r>
        <w:rPr>
          <w:rFonts w:hint="eastAsia" w:ascii="仿宋" w:hAnsi="仿宋" w:eastAsia="仿宋" w:cs="仿宋"/>
          <w:i w:val="0"/>
          <w:iCs w:val="0"/>
          <w:caps w:val="0"/>
          <w:color w:val="auto"/>
          <w:spacing w:val="0"/>
          <w:sz w:val="32"/>
          <w:szCs w:val="32"/>
          <w:shd w:val="clear" w:fill="FFFFFF"/>
        </w:rPr>
        <w:t>公务用车购置费及运行维护费支出决算为</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万元，其中：公务用车购置费</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万元，更新公务用车</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辆。公务用车运行维护费</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万元，截止202</w:t>
      </w:r>
      <w:r>
        <w:rPr>
          <w:rFonts w:hint="eastAsia" w:ascii="仿宋" w:hAnsi="仿宋" w:eastAsia="仿宋" w:cs="仿宋"/>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rPr>
        <w:t>年12月31日，我单位开支财政拨款的公务用车保有量为</w:t>
      </w:r>
      <w:r>
        <w:rPr>
          <w:rFonts w:hint="eastAsia" w:ascii="仿宋" w:hAnsi="仿宋" w:eastAsia="仿宋" w:cs="仿宋"/>
          <w:i w:val="0"/>
          <w:iCs w:val="0"/>
          <w:caps w:val="0"/>
          <w:color w:val="auto"/>
          <w:spacing w:val="0"/>
          <w:sz w:val="32"/>
          <w:szCs w:val="32"/>
          <w:shd w:val="clear" w:fill="FFFFFF"/>
          <w:lang w:val="en-US" w:eastAsia="zh-CN"/>
        </w:rPr>
        <w:t>0</w:t>
      </w:r>
      <w:r>
        <w:rPr>
          <w:rFonts w:hint="eastAsia" w:ascii="仿宋" w:hAnsi="仿宋" w:eastAsia="仿宋" w:cs="仿宋"/>
          <w:i w:val="0"/>
          <w:iCs w:val="0"/>
          <w:caps w:val="0"/>
          <w:color w:val="auto"/>
          <w:spacing w:val="0"/>
          <w:sz w:val="32"/>
          <w:szCs w:val="32"/>
          <w:shd w:val="clear" w:fill="FFFFFF"/>
        </w:rPr>
        <w:t>辆</w:t>
      </w:r>
      <w:r>
        <w:rPr>
          <w:rFonts w:hint="eastAsia" w:ascii="仿宋" w:hAnsi="仿宋" w:eastAsia="仿宋" w:cs="仿宋"/>
          <w:i w:val="0"/>
          <w:iCs w:val="0"/>
          <w:caps w:val="0"/>
          <w:color w:val="auto"/>
          <w:spacing w:val="0"/>
          <w:sz w:val="32"/>
          <w:szCs w:val="32"/>
          <w:shd w:val="clear" w:fill="FFFFFF"/>
          <w:lang w:eastAsia="zh-CN"/>
        </w:rPr>
        <w:t>。</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八、政府性基金预算收入支出决算情况</w:t>
      </w:r>
    </w:p>
    <w:p>
      <w:pPr>
        <w:pStyle w:val="21"/>
        <w:ind w:firstLine="640" w:firstLineChars="20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我校无政府性基金收入，也没有政府性基金支出。</w:t>
      </w:r>
    </w:p>
    <w:p>
      <w:pPr>
        <w:pStyle w:val="21"/>
        <w:numPr>
          <w:ilvl w:val="0"/>
          <w:numId w:val="0"/>
        </w:numPr>
        <w:ind w:firstLine="640" w:firstLineChars="200"/>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lang w:val="en-US" w:eastAsia="zh-CN" w:bidi="ar-SA"/>
        </w:rPr>
        <w:t>九、</w:t>
      </w:r>
      <w:r>
        <w:rPr>
          <w:rFonts w:hint="eastAsia" w:ascii="仿宋" w:hAnsi="仿宋" w:eastAsia="仿宋" w:cs="仿宋"/>
          <w:b/>
          <w:bCs/>
          <w:color w:val="auto"/>
          <w:kern w:val="2"/>
          <w:sz w:val="32"/>
          <w:szCs w:val="32"/>
          <w:highlight w:val="none"/>
          <w:lang w:val="en-US" w:eastAsia="zh-CN" w:bidi="ar-SA"/>
        </w:rPr>
        <w:t>国有资本经营预算财政拨款支出决算情况说明</w:t>
      </w:r>
    </w:p>
    <w:p>
      <w:pPr>
        <w:pStyle w:val="21"/>
        <w:numPr>
          <w:ilvl w:val="0"/>
          <w:numId w:val="0"/>
        </w:numPr>
        <w:ind w:firstLine="640" w:firstLineChars="20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本部门无</w:t>
      </w:r>
      <w:r>
        <w:rPr>
          <w:rFonts w:hint="eastAsia" w:ascii="仿宋" w:hAnsi="仿宋" w:eastAsia="仿宋" w:cs="仿宋"/>
          <w:b w:val="0"/>
          <w:bCs w:val="0"/>
          <w:color w:val="auto"/>
          <w:kern w:val="2"/>
          <w:sz w:val="32"/>
          <w:szCs w:val="32"/>
          <w:highlight w:val="none"/>
          <w:lang w:val="en-US" w:eastAsia="zh-CN" w:bidi="ar-SA"/>
        </w:rPr>
        <w:t>国有资本经营预算财政拨款支出</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lang w:eastAsia="zh-CN"/>
        </w:rPr>
        <w:t>十</w:t>
      </w:r>
      <w:r>
        <w:rPr>
          <w:rFonts w:hint="eastAsia" w:ascii="仿宋" w:hAnsi="仿宋" w:eastAsia="仿宋" w:cs="仿宋"/>
          <w:b/>
          <w:sz w:val="32"/>
          <w:szCs w:val="32"/>
          <w:highlight w:val="none"/>
        </w:rPr>
        <w:t>、机关运行经费支出说明</w:t>
      </w:r>
    </w:p>
    <w:p>
      <w:pPr>
        <w:pStyle w:val="21"/>
        <w:ind w:firstLine="640" w:firstLineChars="20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本部门2021年度机关运行经费支出0万元。因我校为非参公管理的事业单位，2021年我校一般公共预算拨款的机关运行经费决算数为0万元。</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十</w:t>
      </w:r>
      <w:r>
        <w:rPr>
          <w:rFonts w:hint="eastAsia" w:ascii="仿宋" w:hAnsi="仿宋" w:eastAsia="仿宋" w:cs="仿宋"/>
          <w:b/>
          <w:sz w:val="32"/>
          <w:szCs w:val="32"/>
          <w:highlight w:val="none"/>
          <w:lang w:eastAsia="zh-CN"/>
        </w:rPr>
        <w:t>一</w:t>
      </w:r>
      <w:r>
        <w:rPr>
          <w:rFonts w:hint="eastAsia" w:ascii="仿宋" w:hAnsi="仿宋" w:eastAsia="仿宋" w:cs="仿宋"/>
          <w:b/>
          <w:sz w:val="32"/>
          <w:szCs w:val="32"/>
          <w:highlight w:val="none"/>
        </w:rPr>
        <w:t>、一般性支出情况说明</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2021年本部门开支会议费</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万元；开支培训费</w:t>
      </w:r>
      <w:r>
        <w:rPr>
          <w:rFonts w:hint="eastAsia" w:ascii="仿宋" w:hAnsi="仿宋" w:eastAsia="仿宋" w:cs="仿宋"/>
          <w:sz w:val="32"/>
          <w:szCs w:val="32"/>
          <w:highlight w:val="none"/>
          <w:lang w:val="en-US" w:eastAsia="zh-CN"/>
        </w:rPr>
        <w:t>4.87</w:t>
      </w:r>
      <w:r>
        <w:rPr>
          <w:rFonts w:hint="eastAsia" w:ascii="仿宋" w:hAnsi="仿宋" w:eastAsia="仿宋" w:cs="仿宋"/>
          <w:sz w:val="32"/>
          <w:szCs w:val="32"/>
          <w:highlight w:val="none"/>
        </w:rPr>
        <w:t>万元，用于</w:t>
      </w:r>
      <w:r>
        <w:rPr>
          <w:rFonts w:hint="eastAsia" w:ascii="仿宋" w:hAnsi="仿宋" w:eastAsia="仿宋" w:cs="仿宋"/>
          <w:sz w:val="32"/>
          <w:szCs w:val="32"/>
          <w:highlight w:val="none"/>
          <w:lang w:val="en-US" w:eastAsia="zh-CN"/>
        </w:rPr>
        <w:t>我校班主任党史学习教育开支、班主任工作室建设项目培训、电子商务和ERP沙盘教学技能培训</w:t>
      </w:r>
      <w:r>
        <w:rPr>
          <w:rFonts w:hint="eastAsia" w:ascii="仿宋" w:hAnsi="仿宋" w:eastAsia="仿宋" w:cs="仿宋"/>
          <w:sz w:val="32"/>
          <w:szCs w:val="32"/>
          <w:highlight w:val="none"/>
        </w:rPr>
        <w:t>，人数</w:t>
      </w:r>
      <w:r>
        <w:rPr>
          <w:rFonts w:hint="eastAsia" w:ascii="仿宋" w:hAnsi="仿宋" w:eastAsia="仿宋" w:cs="仿宋"/>
          <w:sz w:val="32"/>
          <w:szCs w:val="32"/>
          <w:highlight w:val="none"/>
          <w:lang w:val="en-US" w:eastAsia="zh-CN"/>
        </w:rPr>
        <w:t>47</w:t>
      </w:r>
      <w:r>
        <w:rPr>
          <w:rFonts w:hint="eastAsia" w:ascii="仿宋" w:hAnsi="仿宋" w:eastAsia="仿宋" w:cs="仿宋"/>
          <w:sz w:val="32"/>
          <w:szCs w:val="32"/>
          <w:highlight w:val="none"/>
        </w:rPr>
        <w:t>人，内容为</w:t>
      </w:r>
      <w:r>
        <w:rPr>
          <w:rFonts w:hint="eastAsia" w:ascii="仿宋" w:hAnsi="仿宋" w:eastAsia="仿宋" w:cs="仿宋"/>
          <w:sz w:val="32"/>
          <w:szCs w:val="32"/>
          <w:highlight w:val="none"/>
          <w:lang w:val="en-US" w:eastAsia="zh-CN"/>
        </w:rPr>
        <w:t>班主任党史学习及业务能力培训、电子商务教学技能培训、ERP沙盘教学技能培训</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年我校没有举办节庆、晚会、论坛、赛事活动。我校一般性支出资金来源为我校自筹资金。</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十</w:t>
      </w:r>
      <w:r>
        <w:rPr>
          <w:rFonts w:hint="eastAsia" w:ascii="仿宋" w:hAnsi="仿宋" w:eastAsia="仿宋" w:cs="仿宋"/>
          <w:b/>
          <w:sz w:val="32"/>
          <w:szCs w:val="32"/>
          <w:highlight w:val="none"/>
          <w:lang w:eastAsia="zh-CN"/>
        </w:rPr>
        <w:t>二</w:t>
      </w:r>
      <w:r>
        <w:rPr>
          <w:rFonts w:hint="eastAsia" w:ascii="仿宋" w:hAnsi="仿宋" w:eastAsia="仿宋" w:cs="仿宋"/>
          <w:b/>
          <w:sz w:val="32"/>
          <w:szCs w:val="32"/>
          <w:highlight w:val="none"/>
        </w:rPr>
        <w:t>、政府采购支出说明</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21"/>
        <w:ind w:firstLine="640" w:firstLineChars="200"/>
        <w:rPr>
          <w:rFonts w:hint="eastAsia" w:ascii="仿宋" w:hAnsi="仿宋" w:eastAsia="仿宋" w:cs="仿宋"/>
          <w:b/>
          <w:sz w:val="32"/>
          <w:szCs w:val="32"/>
          <w:highlight w:val="none"/>
        </w:rPr>
      </w:pPr>
      <w:r>
        <w:rPr>
          <w:rFonts w:hint="eastAsia" w:ascii="仿宋" w:hAnsi="仿宋" w:eastAsia="仿宋" w:cs="仿宋"/>
          <w:b/>
          <w:sz w:val="32"/>
          <w:szCs w:val="32"/>
          <w:highlight w:val="none"/>
        </w:rPr>
        <w:t>十</w:t>
      </w:r>
      <w:r>
        <w:rPr>
          <w:rFonts w:hint="eastAsia" w:ascii="仿宋" w:hAnsi="仿宋" w:eastAsia="仿宋" w:cs="仿宋"/>
          <w:b/>
          <w:sz w:val="32"/>
          <w:szCs w:val="32"/>
          <w:highlight w:val="none"/>
          <w:lang w:eastAsia="zh-CN"/>
        </w:rPr>
        <w:t>三</w:t>
      </w:r>
      <w:r>
        <w:rPr>
          <w:rFonts w:hint="eastAsia" w:ascii="仿宋" w:hAnsi="仿宋" w:eastAsia="仿宋" w:cs="仿宋"/>
          <w:b/>
          <w:sz w:val="32"/>
          <w:szCs w:val="32"/>
          <w:highlight w:val="none"/>
        </w:rPr>
        <w:t>、国有资产占用情况说明</w:t>
      </w:r>
    </w:p>
    <w:p>
      <w:pPr>
        <w:pStyle w:val="21"/>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截至2020年12月31日，本单位共有车辆0辆，其中，主要领导干部用车0辆，机要通信用车0辆、应急保障用车0辆、执法执勤用车0辆、特种专业技术用车0辆、其他用车0辆；单位价值50万元以上通用设备2套，为变压器和工业机器人；单位价值100万元以上专用设备0台（套）。</w:t>
      </w:r>
    </w:p>
    <w:p>
      <w:pPr>
        <w:pStyle w:val="21"/>
        <w:ind w:firstLine="640" w:firstLineChars="200"/>
        <w:rPr>
          <w:rFonts w:hint="eastAsia" w:ascii="仿宋" w:hAnsi="仿宋" w:eastAsia="仿宋" w:cs="仿宋"/>
          <w:color w:val="000000"/>
          <w:kern w:val="0"/>
          <w:sz w:val="32"/>
          <w:szCs w:val="32"/>
          <w:highlight w:val="none"/>
        </w:rPr>
      </w:pPr>
      <w:r>
        <w:rPr>
          <w:rFonts w:hint="eastAsia" w:ascii="仿宋" w:hAnsi="仿宋" w:eastAsia="仿宋" w:cs="仿宋"/>
          <w:b/>
          <w:sz w:val="32"/>
          <w:szCs w:val="32"/>
          <w:highlight w:val="none"/>
        </w:rPr>
        <w:t>十</w:t>
      </w:r>
      <w:r>
        <w:rPr>
          <w:rFonts w:hint="eastAsia" w:ascii="仿宋" w:hAnsi="仿宋" w:eastAsia="仿宋" w:cs="仿宋"/>
          <w:b/>
          <w:sz w:val="32"/>
          <w:szCs w:val="32"/>
          <w:highlight w:val="none"/>
          <w:lang w:eastAsia="zh-CN"/>
        </w:rPr>
        <w:t>四</w:t>
      </w:r>
      <w:r>
        <w:rPr>
          <w:rFonts w:hint="eastAsia" w:ascii="仿宋" w:hAnsi="仿宋" w:eastAsia="仿宋" w:cs="仿宋"/>
          <w:b/>
          <w:sz w:val="32"/>
          <w:szCs w:val="32"/>
          <w:highlight w:val="none"/>
        </w:rPr>
        <w:t>、2021年度预算绩效情况说明</w:t>
      </w:r>
    </w:p>
    <w:p>
      <w:pPr>
        <w:autoSpaceDE w:val="0"/>
        <w:autoSpaceDN w:val="0"/>
        <w:adjustRightInd w:val="0"/>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根据预算绩效管理要求，我</w:t>
      </w:r>
      <w:r>
        <w:rPr>
          <w:rFonts w:hint="eastAsia" w:ascii="仿宋" w:hAnsi="仿宋" w:eastAsia="仿宋" w:cs="仿宋"/>
          <w:color w:val="000000"/>
          <w:kern w:val="0"/>
          <w:sz w:val="32"/>
          <w:szCs w:val="32"/>
          <w:highlight w:val="none"/>
          <w:lang w:val="en-US" w:eastAsia="zh-CN"/>
        </w:rPr>
        <w:t>单位</w:t>
      </w:r>
      <w:r>
        <w:rPr>
          <w:rFonts w:hint="eastAsia" w:ascii="仿宋" w:hAnsi="仿宋" w:eastAsia="仿宋" w:cs="仿宋"/>
          <w:color w:val="000000"/>
          <w:kern w:val="0"/>
          <w:sz w:val="32"/>
          <w:szCs w:val="32"/>
          <w:highlight w:val="none"/>
        </w:rPr>
        <w:t>组织对2021年度一般公共预算项目支出全面开展绩效自评，其中，一级项目</w:t>
      </w:r>
      <w:r>
        <w:rPr>
          <w:rFonts w:hint="eastAsia" w:ascii="仿宋" w:hAnsi="仿宋" w:eastAsia="仿宋" w:cs="仿宋"/>
          <w:color w:val="000000"/>
          <w:kern w:val="0"/>
          <w:sz w:val="32"/>
          <w:szCs w:val="32"/>
          <w:highlight w:val="none"/>
          <w:lang w:val="en-US" w:eastAsia="zh-CN"/>
        </w:rPr>
        <w:t>1</w:t>
      </w:r>
      <w:r>
        <w:rPr>
          <w:rFonts w:hint="eastAsia" w:ascii="仿宋" w:hAnsi="仿宋" w:eastAsia="仿宋" w:cs="仿宋"/>
          <w:color w:val="000000"/>
          <w:kern w:val="0"/>
          <w:sz w:val="32"/>
          <w:szCs w:val="32"/>
          <w:highlight w:val="none"/>
        </w:rPr>
        <w:t>个，共涉及资金</w:t>
      </w:r>
      <w:r>
        <w:rPr>
          <w:rFonts w:hint="eastAsia" w:ascii="仿宋" w:hAnsi="仿宋" w:eastAsia="仿宋" w:cs="仿宋"/>
          <w:color w:val="auto"/>
          <w:spacing w:val="-2"/>
          <w:sz w:val="32"/>
          <w:szCs w:val="32"/>
          <w:highlight w:val="none"/>
          <w:lang w:val="en-US" w:eastAsia="zh-CN"/>
        </w:rPr>
        <w:t>99.37</w:t>
      </w:r>
      <w:r>
        <w:rPr>
          <w:rFonts w:hint="eastAsia" w:ascii="仿宋" w:hAnsi="仿宋" w:eastAsia="仿宋" w:cs="仿宋"/>
          <w:color w:val="000000"/>
          <w:kern w:val="0"/>
          <w:sz w:val="32"/>
          <w:szCs w:val="32"/>
          <w:highlight w:val="none"/>
        </w:rPr>
        <w:t>万元，占一般公共预算项目支出总额的</w:t>
      </w:r>
      <w:r>
        <w:rPr>
          <w:rFonts w:hint="eastAsia" w:ascii="仿宋" w:hAnsi="仿宋" w:eastAsia="仿宋" w:cs="仿宋"/>
          <w:color w:val="000000"/>
          <w:kern w:val="0"/>
          <w:sz w:val="32"/>
          <w:szCs w:val="32"/>
          <w:highlight w:val="none"/>
          <w:lang w:val="en-US" w:eastAsia="zh-CN"/>
        </w:rPr>
        <w:t>36.16</w:t>
      </w:r>
      <w:r>
        <w:rPr>
          <w:rFonts w:hint="eastAsia" w:ascii="仿宋" w:hAnsi="仿宋" w:eastAsia="仿宋" w:cs="仿宋"/>
          <w:color w:val="000000"/>
          <w:kern w:val="0"/>
          <w:sz w:val="32"/>
          <w:szCs w:val="32"/>
          <w:highlight w:val="none"/>
        </w:rPr>
        <w:t>%。</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组织对</w:t>
      </w:r>
      <w:r>
        <w:rPr>
          <w:rFonts w:hint="eastAsia" w:ascii="仿宋" w:hAnsi="仿宋" w:eastAsia="仿宋" w:cs="仿宋"/>
          <w:color w:val="000000"/>
          <w:kern w:val="0"/>
          <w:sz w:val="32"/>
          <w:szCs w:val="32"/>
          <w:highlight w:val="none"/>
          <w:lang w:val="en-US" w:eastAsia="zh-CN"/>
        </w:rPr>
        <w:t>本</w:t>
      </w:r>
      <w:r>
        <w:rPr>
          <w:rFonts w:hint="eastAsia" w:ascii="仿宋" w:hAnsi="仿宋" w:eastAsia="仿宋" w:cs="仿宋"/>
          <w:color w:val="000000"/>
          <w:kern w:val="0"/>
          <w:sz w:val="32"/>
          <w:szCs w:val="32"/>
          <w:highlight w:val="none"/>
        </w:rPr>
        <w:t>单位开展整体支出绩效评价，涉及一般公共预算支出</w:t>
      </w:r>
      <w:r>
        <w:rPr>
          <w:rFonts w:hint="eastAsia" w:ascii="仿宋" w:hAnsi="仿宋" w:eastAsia="仿宋" w:cs="仿宋"/>
          <w:color w:val="000000"/>
          <w:kern w:val="0"/>
          <w:sz w:val="32"/>
          <w:szCs w:val="32"/>
          <w:highlight w:val="none"/>
          <w:lang w:val="en-US" w:eastAsia="zh-CN"/>
        </w:rPr>
        <w:t>2206.08</w:t>
      </w:r>
      <w:r>
        <w:rPr>
          <w:rFonts w:hint="eastAsia" w:ascii="仿宋" w:hAnsi="仿宋" w:eastAsia="仿宋" w:cs="仿宋"/>
          <w:color w:val="000000"/>
          <w:kern w:val="0"/>
          <w:sz w:val="32"/>
          <w:szCs w:val="32"/>
          <w:highlight w:val="none"/>
        </w:rPr>
        <w:t>万元。从评价情况来看，</w:t>
      </w:r>
      <w:r>
        <w:rPr>
          <w:rFonts w:hint="eastAsia" w:ascii="仿宋" w:hAnsi="仿宋" w:eastAsia="仿宋" w:cs="仿宋"/>
          <w:color w:val="000000"/>
          <w:kern w:val="0"/>
          <w:sz w:val="32"/>
          <w:szCs w:val="32"/>
          <w:highlight w:val="none"/>
          <w:lang w:val="en-US" w:eastAsia="zh-CN"/>
        </w:rPr>
        <w:t>我校将进一步加强精准预算力度，科学设置预算绩效指标，根据我校资产管理实际情况，继续优化预算项目的科学管理管控</w:t>
      </w:r>
      <w:r>
        <w:rPr>
          <w:rFonts w:hint="eastAsia" w:ascii="仿宋" w:hAnsi="仿宋" w:eastAsia="仿宋" w:cs="仿宋"/>
          <w:color w:val="000000"/>
          <w:kern w:val="0"/>
          <w:sz w:val="32"/>
          <w:szCs w:val="32"/>
          <w:highlight w:val="none"/>
        </w:rPr>
        <w:t>。</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本单位无重点项目，因此无重点项目绩效报告。</w:t>
      </w:r>
      <w:bookmarkStart w:id="0" w:name="_GoBack"/>
      <w:bookmarkEnd w:id="0"/>
    </w:p>
    <w:p>
      <w:pPr>
        <w:pStyle w:val="21"/>
        <w:jc w:val="both"/>
        <w:rPr>
          <w:rFonts w:hint="eastAsia" w:ascii="仿宋" w:hAnsi="仿宋" w:eastAsia="仿宋" w:cs="仿宋"/>
          <w:sz w:val="32"/>
          <w:szCs w:val="32"/>
          <w:highlight w:val="none"/>
        </w:rPr>
      </w:pPr>
    </w:p>
    <w:p>
      <w:pPr>
        <w:pStyle w:val="21"/>
        <w:numPr>
          <w:ilvl w:val="0"/>
          <w:numId w:val="0"/>
        </w:numPr>
        <w:jc w:val="center"/>
        <w:rPr>
          <w:rFonts w:hint="eastAsia" w:ascii="仿宋" w:hAnsi="仿宋" w:eastAsia="仿宋" w:cs="仿宋"/>
          <w:b/>
          <w:bCs/>
          <w:color w:val="000000"/>
          <w:kern w:val="0"/>
          <w:sz w:val="32"/>
          <w:szCs w:val="32"/>
          <w:highlight w:val="none"/>
        </w:rPr>
      </w:pPr>
      <w:r>
        <w:rPr>
          <w:rFonts w:hint="eastAsia" w:ascii="仿宋" w:hAnsi="仿宋" w:eastAsia="仿宋" w:cs="仿宋"/>
          <w:b/>
          <w:bCs/>
          <w:color w:val="000000"/>
          <w:kern w:val="0"/>
          <w:sz w:val="32"/>
          <w:szCs w:val="32"/>
          <w:lang w:val="en-US" w:eastAsia="zh-CN" w:bidi="ar-SA"/>
        </w:rPr>
        <w:t xml:space="preserve">第四部分 </w:t>
      </w:r>
      <w:r>
        <w:rPr>
          <w:rFonts w:hint="eastAsia" w:ascii="仿宋" w:hAnsi="仿宋" w:eastAsia="仿宋" w:cs="仿宋"/>
          <w:b/>
          <w:bCs/>
          <w:color w:val="000000"/>
          <w:kern w:val="0"/>
          <w:sz w:val="32"/>
          <w:szCs w:val="32"/>
          <w:highlight w:val="none"/>
        </w:rPr>
        <w:t>名词解释</w:t>
      </w:r>
    </w:p>
    <w:p>
      <w:pPr>
        <w:pStyle w:val="21"/>
        <w:numPr>
          <w:ilvl w:val="0"/>
          <w:numId w:val="0"/>
        </w:numPr>
        <w:jc w:val="center"/>
        <w:rPr>
          <w:rFonts w:hint="eastAsia" w:ascii="仿宋" w:hAnsi="仿宋" w:eastAsia="仿宋" w:cs="仿宋"/>
          <w:b/>
          <w:bCs/>
          <w:color w:val="000000"/>
          <w:kern w:val="0"/>
          <w:sz w:val="32"/>
          <w:szCs w:val="32"/>
          <w:highlight w:val="none"/>
        </w:rPr>
      </w:pPr>
    </w:p>
    <w:p>
      <w:pPr>
        <w:pStyle w:val="21"/>
        <w:numPr>
          <w:ilvl w:val="0"/>
          <w:numId w:val="0"/>
        </w:numPr>
        <w:ind w:firstLine="640" w:firstLineChars="200"/>
        <w:jc w:val="both"/>
        <w:rPr>
          <w:rFonts w:hint="eastAsia" w:ascii="仿宋" w:hAnsi="仿宋" w:eastAsia="仿宋" w:cs="仿宋"/>
          <w:color w:val="000000"/>
          <w:kern w:val="0"/>
          <w:sz w:val="32"/>
          <w:szCs w:val="32"/>
          <w:highlight w:val="none"/>
          <w:lang w:val="en-US" w:eastAsia="zh-CN"/>
        </w:rPr>
      </w:pPr>
      <w:r>
        <w:rPr>
          <w:rFonts w:hint="eastAsia" w:ascii="仿宋" w:hAnsi="仿宋" w:eastAsia="仿宋" w:cs="仿宋"/>
          <w:color w:val="000000"/>
          <w:kern w:val="0"/>
          <w:sz w:val="32"/>
          <w:szCs w:val="32"/>
          <w:highlight w:val="none"/>
        </w:rPr>
        <w:t>一、</w:t>
      </w:r>
      <w:r>
        <w:rPr>
          <w:rFonts w:hint="eastAsia" w:ascii="仿宋" w:hAnsi="仿宋" w:eastAsia="仿宋" w:cs="仿宋"/>
          <w:color w:val="000000"/>
          <w:kern w:val="0"/>
          <w:sz w:val="32"/>
          <w:szCs w:val="32"/>
          <w:highlight w:val="none"/>
          <w:lang w:val="en-US" w:eastAsia="zh-CN"/>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ind w:firstLine="640" w:firstLineChars="200"/>
        <w:jc w:val="left"/>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w:t>
      </w:r>
      <w:r>
        <w:rPr>
          <w:rFonts w:hint="eastAsia" w:ascii="仿宋" w:hAnsi="仿宋" w:eastAsia="仿宋" w:cs="仿宋"/>
          <w:color w:val="000000"/>
          <w:kern w:val="0"/>
          <w:sz w:val="32"/>
          <w:szCs w:val="32"/>
          <w:highlight w:val="none"/>
          <w:lang w:val="en-US" w:eastAsia="zh-CN"/>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21"/>
        <w:jc w:val="both"/>
        <w:rPr>
          <w:rFonts w:hint="eastAsia" w:ascii="仿宋" w:hAnsi="仿宋" w:eastAsia="仿宋" w:cs="仿宋"/>
          <w:sz w:val="32"/>
          <w:szCs w:val="32"/>
          <w:highlight w:val="none"/>
        </w:rPr>
      </w:pPr>
    </w:p>
    <w:p>
      <w:pPr>
        <w:pStyle w:val="21"/>
        <w:jc w:val="center"/>
        <w:rPr>
          <w:rFonts w:hint="eastAsia" w:ascii="仿宋" w:hAnsi="仿宋" w:eastAsia="仿宋" w:cs="仿宋"/>
          <w:b/>
          <w:bCs/>
          <w:color w:val="000000"/>
          <w:kern w:val="0"/>
          <w:sz w:val="32"/>
          <w:szCs w:val="32"/>
          <w:highlight w:val="none"/>
        </w:rPr>
      </w:pPr>
      <w:r>
        <w:rPr>
          <w:rFonts w:hint="eastAsia" w:ascii="仿宋" w:hAnsi="仿宋" w:eastAsia="仿宋" w:cs="仿宋"/>
          <w:b/>
          <w:bCs/>
          <w:sz w:val="32"/>
          <w:szCs w:val="32"/>
          <w:highlight w:val="none"/>
        </w:rPr>
        <w:t>第五部分</w:t>
      </w:r>
      <w:r>
        <w:rPr>
          <w:rFonts w:hint="eastAsia" w:ascii="仿宋" w:hAnsi="仿宋" w:eastAsia="仿宋" w:cs="仿宋"/>
          <w:b/>
          <w:bCs/>
          <w:sz w:val="32"/>
          <w:szCs w:val="32"/>
          <w:highlight w:val="none"/>
          <w:lang w:val="en-US" w:eastAsia="zh-CN"/>
        </w:rPr>
        <w:t xml:space="preserve"> </w:t>
      </w:r>
      <w:r>
        <w:rPr>
          <w:rFonts w:hint="eastAsia" w:ascii="仿宋" w:hAnsi="仿宋" w:eastAsia="仿宋" w:cs="仿宋"/>
          <w:b/>
          <w:bCs/>
          <w:color w:val="000000"/>
          <w:kern w:val="0"/>
          <w:sz w:val="32"/>
          <w:szCs w:val="32"/>
          <w:highlight w:val="none"/>
        </w:rPr>
        <w:t>附件</w:t>
      </w:r>
    </w:p>
    <w:p>
      <w:pPr>
        <w:widowControl/>
        <w:jc w:val="center"/>
        <w:rPr>
          <w:rFonts w:hint="eastAsia" w:ascii="仿宋" w:hAnsi="仿宋" w:eastAsia="仿宋" w:cs="仿宋"/>
          <w:b/>
          <w:bCs/>
          <w:color w:val="000000"/>
          <w:kern w:val="0"/>
          <w:sz w:val="32"/>
          <w:szCs w:val="32"/>
          <w:highlight w:val="none"/>
        </w:rPr>
      </w:pPr>
    </w:p>
    <w:p>
      <w:pPr>
        <w:widowControl/>
        <w:jc w:val="center"/>
        <w:rPr>
          <w:rFonts w:hint="eastAsia" w:ascii="仿宋" w:hAnsi="仿宋" w:eastAsia="仿宋" w:cs="仿宋"/>
          <w:b/>
          <w:bCs/>
          <w:color w:val="000000"/>
          <w:kern w:val="0"/>
          <w:sz w:val="32"/>
          <w:szCs w:val="32"/>
          <w:highlight w:val="none"/>
        </w:rPr>
        <w:sectPr>
          <w:pgSz w:w="11906" w:h="16838"/>
          <w:pgMar w:top="1440" w:right="1803" w:bottom="1440" w:left="1803" w:header="851" w:footer="992" w:gutter="0"/>
          <w:cols w:space="0" w:num="1"/>
          <w:rtlGutter w:val="0"/>
          <w:docGrid w:type="linesAndChars" w:linePitch="312" w:charSpace="0"/>
        </w:sectPr>
      </w:pPr>
    </w:p>
    <w:p>
      <w:pPr>
        <w:pStyle w:val="30"/>
        <w:spacing w:line="360" w:lineRule="auto"/>
        <w:jc w:val="center"/>
        <w:rPr>
          <w:rFonts w:hint="eastAsia" w:ascii="仿宋" w:hAnsi="仿宋" w:eastAsia="仿宋" w:cs="仿宋"/>
          <w:b/>
          <w:spacing w:val="-2"/>
          <w:sz w:val="32"/>
          <w:szCs w:val="32"/>
          <w:highlight w:val="none"/>
        </w:rPr>
      </w:pPr>
      <w:r>
        <w:rPr>
          <w:rFonts w:hint="eastAsia" w:ascii="仿宋" w:hAnsi="仿宋" w:eastAsia="仿宋" w:cs="仿宋"/>
          <w:b/>
          <w:bCs/>
          <w:sz w:val="32"/>
          <w:szCs w:val="32"/>
          <w:highlight w:val="none"/>
        </w:rPr>
        <w:t>2021年度</w:t>
      </w:r>
      <w:r>
        <w:rPr>
          <w:rFonts w:hint="eastAsia" w:ascii="仿宋" w:hAnsi="仿宋" w:eastAsia="仿宋" w:cs="仿宋"/>
          <w:b/>
          <w:bCs/>
          <w:sz w:val="32"/>
          <w:szCs w:val="32"/>
          <w:highlight w:val="none"/>
          <w:lang w:val="en-US" w:eastAsia="zh-CN"/>
        </w:rPr>
        <w:t>湖南怀化商业供销学校</w:t>
      </w:r>
      <w:r>
        <w:rPr>
          <w:rFonts w:hint="eastAsia" w:ascii="仿宋" w:hAnsi="仿宋" w:eastAsia="仿宋" w:cs="仿宋"/>
          <w:b/>
          <w:bCs/>
          <w:sz w:val="32"/>
          <w:szCs w:val="32"/>
          <w:highlight w:val="none"/>
        </w:rPr>
        <w:t>整体支出绩效自评报告</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spacing w:val="-2"/>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spacing w:val="-2"/>
          <w:sz w:val="32"/>
          <w:szCs w:val="32"/>
          <w:highlight w:val="none"/>
        </w:rPr>
      </w:pPr>
      <w:r>
        <w:rPr>
          <w:rFonts w:hint="eastAsia" w:ascii="仿宋" w:hAnsi="仿宋" w:eastAsia="仿宋" w:cs="仿宋"/>
          <w:b/>
          <w:spacing w:val="-2"/>
          <w:sz w:val="32"/>
          <w:szCs w:val="32"/>
          <w:highlight w:val="none"/>
        </w:rPr>
        <w:t>一、部门概况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b/>
          <w:bCs/>
          <w:spacing w:val="-2"/>
          <w:sz w:val="32"/>
          <w:szCs w:val="32"/>
          <w:highlight w:val="none"/>
        </w:rPr>
      </w:pPr>
      <w:r>
        <w:rPr>
          <w:rFonts w:hint="eastAsia" w:ascii="仿宋" w:hAnsi="仿宋" w:eastAsia="仿宋" w:cs="仿宋"/>
          <w:b/>
          <w:bCs/>
          <w:spacing w:val="-2"/>
          <w:sz w:val="32"/>
          <w:szCs w:val="32"/>
          <w:highlight w:val="none"/>
        </w:rPr>
        <w:t>（一）</w:t>
      </w:r>
      <w:r>
        <w:rPr>
          <w:rFonts w:hint="eastAsia" w:ascii="仿宋" w:hAnsi="仿宋" w:eastAsia="仿宋" w:cs="仿宋"/>
          <w:b/>
          <w:bCs/>
          <w:spacing w:val="-2"/>
          <w:sz w:val="32"/>
          <w:szCs w:val="32"/>
          <w:highlight w:val="none"/>
          <w:lang w:val="en-US" w:eastAsia="zh-CN"/>
        </w:rPr>
        <w:t>学校</w:t>
      </w:r>
      <w:r>
        <w:rPr>
          <w:rFonts w:hint="eastAsia" w:ascii="仿宋" w:hAnsi="仿宋" w:eastAsia="仿宋" w:cs="仿宋"/>
          <w:b/>
          <w:bCs/>
          <w:spacing w:val="-2"/>
          <w:sz w:val="32"/>
          <w:szCs w:val="32"/>
          <w:highlight w:val="none"/>
        </w:rPr>
        <w:t>基本情况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1.学校概况：湖南怀化商业供销学校于2012年8月由原湖南怀化商业学校和湖南怀化高级技工学校合并组建，是怀化市人民政府直属的正处级全额拨款公办职业学校。实行湖南怀化商业供销学校、湖南怀化商业学校、湖南省怀化高级技工学校三位一体运作。现为国家级重点中职学校、国家级重点技工学校、国家级行业示范校、湖南省示范性中职学校，国家级技能型紧缺人才培养基地，湖南省高技能人才培训基地，全国国防教育特色学校。我校</w:t>
      </w:r>
      <w:r>
        <w:rPr>
          <w:rFonts w:hint="eastAsia" w:ascii="仿宋" w:hAnsi="仿宋" w:eastAsia="仿宋" w:cs="仿宋"/>
          <w:spacing w:val="-2"/>
          <w:sz w:val="32"/>
          <w:szCs w:val="32"/>
          <w:highlight w:val="none"/>
        </w:rPr>
        <w:t>主要职能</w:t>
      </w:r>
      <w:r>
        <w:rPr>
          <w:rFonts w:hint="eastAsia" w:ascii="仿宋" w:hAnsi="仿宋" w:eastAsia="仿宋" w:cs="仿宋"/>
          <w:spacing w:val="-2"/>
          <w:sz w:val="32"/>
          <w:szCs w:val="32"/>
          <w:highlight w:val="none"/>
          <w:lang w:val="en-US" w:eastAsia="zh-CN"/>
        </w:rPr>
        <w:t>为全面贯彻党的教育方针，培养中等专业技能人才，促进经济社会发展，举办商贸财经、旅游服务、文化艺术、电子技术、机械工程等类中等学历教育和中高级技工教育；开展中高级技工和预备技师职业技能鉴定以及非学历培训业务，承担与职业教育相关的其它社会服务。</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机构设置：我校是市直正处级中职学校，属财政全额拨款预算单位，一级部门预算单位。学校编制人数为184人，2021年末在编在岗教职工128人（不含公招人才引进等已到岗但尚未入编人员），退休人员121人，离休人员1人，长期聘用人员14人。</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湖南怀化商业供销学校作为一级部门预算单位，内设科室为：党政办公室、教务科、学保科、物业管理科、财务科、监审科共计6个科室。另外，设有校工会、校团委等组织。</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highlight w:val="none"/>
        </w:rPr>
      </w:pPr>
      <w:r>
        <w:rPr>
          <w:rFonts w:hint="eastAsia" w:ascii="仿宋" w:hAnsi="仿宋" w:eastAsia="仿宋" w:cs="仿宋"/>
          <w:spacing w:val="-2"/>
          <w:sz w:val="32"/>
          <w:szCs w:val="32"/>
          <w:highlight w:val="none"/>
          <w:lang w:val="en-US" w:eastAsia="zh-CN"/>
        </w:rPr>
        <w:t>学校</w:t>
      </w:r>
      <w:r>
        <w:rPr>
          <w:rFonts w:hint="eastAsia" w:ascii="仿宋" w:hAnsi="仿宋" w:eastAsia="仿宋" w:cs="仿宋"/>
          <w:spacing w:val="-2"/>
          <w:sz w:val="32"/>
          <w:szCs w:val="32"/>
          <w:highlight w:val="none"/>
        </w:rPr>
        <w:t>整体支出规模、使用方向和主要内容、涉及范围等。</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我校2021年度总收入2201.18万元。其中：一般公共预算财政拨款收入1947.95万元，事业收入253.23万元。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我校2021年度部门整体支出为2459.31万元。其中：基本支出2184.51万元，项目支出274.8万元。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部门整体支出主要内容为：工资福利支出1659.49万元；商品和服务支出378.85万元；对个人和家庭的补助支出304.6万元；资本性支出116.37万元。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部门整体支出涉及内容主要为：人员经费开支、学校教学相关费用支出、改善办学条件项目开支、教育教学项目开支等相关支出。</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b/>
          <w:spacing w:val="-2"/>
          <w:sz w:val="32"/>
          <w:szCs w:val="32"/>
          <w:highlight w:val="none"/>
        </w:rPr>
      </w:pPr>
      <w:r>
        <w:rPr>
          <w:rFonts w:hint="eastAsia" w:ascii="仿宋" w:hAnsi="仿宋" w:eastAsia="仿宋" w:cs="仿宋"/>
          <w:b/>
          <w:spacing w:val="-2"/>
          <w:sz w:val="32"/>
          <w:szCs w:val="32"/>
          <w:highlight w:val="none"/>
        </w:rPr>
        <w:t>二、部门整体支出管理及使用情况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3"/>
        <w:textAlignment w:val="auto"/>
        <w:rPr>
          <w:rFonts w:hint="eastAsia" w:ascii="仿宋" w:hAnsi="仿宋" w:eastAsia="仿宋" w:cs="仿宋"/>
          <w:b/>
          <w:spacing w:val="-2"/>
          <w:sz w:val="32"/>
          <w:szCs w:val="32"/>
          <w:highlight w:val="none"/>
        </w:rPr>
      </w:pPr>
      <w:r>
        <w:rPr>
          <w:rFonts w:hint="eastAsia" w:ascii="仿宋" w:hAnsi="仿宋" w:eastAsia="仿宋" w:cs="仿宋"/>
          <w:b/>
          <w:spacing w:val="-2"/>
          <w:sz w:val="32"/>
          <w:szCs w:val="32"/>
          <w:highlight w:val="none"/>
        </w:rPr>
        <w:t>（一）基本支出</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基本支出主要用途：</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1.工资福利支出1659.49万元。主要用于发放我校教职工基本工资、津贴补贴、年终一次性奖金、绩效工资、机关事业单位基本养老保险缴费、职业年金缴费、住房公积金、职工基本医疗保险缴费等相关人员支出。</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1"/>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2.商品和服务支出378.85万元。主要用于我校正常教育教学活动开支及日常公用经费开支，其中办公费17.24万元主要为我校办公用品、耗材开支及刊物订阅；专用材料费39.25万元主要为我校烹饪、数控、电商专业实习实训耗材及体育专用材料费开支。</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3.对个人和家庭补助304.6万元。主要为离退休人员开支和我校“高层次及急需紧缺人才”补助支出。</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4.资本性支出116.37万元。主要为我校改善办学条件项目开支及学生实习实训设施设备购置开支。</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highlight w:val="none"/>
        </w:rPr>
      </w:pPr>
      <w:r>
        <w:rPr>
          <w:rFonts w:hint="eastAsia" w:ascii="仿宋" w:hAnsi="仿宋" w:eastAsia="仿宋" w:cs="仿宋"/>
          <w:spacing w:val="-2"/>
          <w:sz w:val="32"/>
          <w:szCs w:val="32"/>
          <w:highlight w:val="none"/>
          <w:lang w:val="en-US" w:eastAsia="zh-CN"/>
        </w:rPr>
        <w:t>我校为财政拨款经费包干预算事业单位，“三公经费”为学校自筹资金开支。2021年“三公经费”共开支0.24万元，其中公务接待费0.24万元（其中一般公共预算开支0.19万元）,接待人数22人，接待批次4批；公务用车费0万元；因公出国（境）费0万元。“三公经费”开支总额严格控制在2021年学校年初预算数1.89万元范围内。</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3"/>
        <w:textAlignment w:val="auto"/>
        <w:rPr>
          <w:rFonts w:hint="eastAsia" w:ascii="仿宋" w:hAnsi="仿宋" w:eastAsia="仿宋" w:cs="仿宋"/>
          <w:b/>
          <w:spacing w:val="-2"/>
          <w:sz w:val="32"/>
          <w:szCs w:val="32"/>
          <w:highlight w:val="none"/>
        </w:rPr>
      </w:pPr>
      <w:r>
        <w:rPr>
          <w:rFonts w:hint="eastAsia" w:ascii="仿宋" w:hAnsi="仿宋" w:eastAsia="仿宋" w:cs="仿宋"/>
          <w:b/>
          <w:spacing w:val="-2"/>
          <w:sz w:val="32"/>
          <w:szCs w:val="32"/>
          <w:highlight w:val="none"/>
        </w:rPr>
        <w:t>（二）专项支出</w:t>
      </w:r>
    </w:p>
    <w:p>
      <w:pPr>
        <w:widowControl/>
        <w:shd w:val="clear" w:color="auto" w:fill="FFFFFF"/>
        <w:spacing w:line="600" w:lineRule="atLeast"/>
        <w:ind w:firstLine="640"/>
        <w:rPr>
          <w:rFonts w:hint="eastAsia" w:ascii="仿宋" w:hAnsi="仿宋" w:eastAsia="仿宋" w:cs="仿宋"/>
          <w:spacing w:val="-2"/>
          <w:sz w:val="32"/>
          <w:szCs w:val="32"/>
          <w:highlight w:val="none"/>
        </w:rPr>
      </w:pPr>
      <w:r>
        <w:rPr>
          <w:rFonts w:hint="eastAsia" w:ascii="仿宋" w:hAnsi="仿宋" w:eastAsia="仿宋" w:cs="仿宋"/>
          <w:spacing w:val="-2"/>
          <w:sz w:val="32"/>
          <w:szCs w:val="32"/>
          <w:highlight w:val="none"/>
        </w:rPr>
        <w:t>1、专项资金安排落实、总投入等情况分析。</w:t>
      </w:r>
    </w:p>
    <w:p>
      <w:pPr>
        <w:widowControl/>
        <w:shd w:val="clear" w:color="auto" w:fill="FFFFFF"/>
        <w:spacing w:line="600" w:lineRule="atLeast"/>
        <w:ind w:firstLine="640"/>
        <w:rPr>
          <w:rFonts w:hint="eastAsia" w:ascii="仿宋" w:hAnsi="仿宋" w:eastAsia="仿宋" w:cs="仿宋"/>
          <w:spacing w:val="-2"/>
          <w:sz w:val="32"/>
          <w:szCs w:val="32"/>
          <w:highlight w:val="none"/>
        </w:rPr>
      </w:pPr>
      <w:r>
        <w:rPr>
          <w:rFonts w:hint="eastAsia" w:ascii="仿宋" w:hAnsi="仿宋" w:eastAsia="仿宋" w:cs="仿宋"/>
          <w:color w:val="auto"/>
          <w:spacing w:val="-2"/>
          <w:sz w:val="32"/>
          <w:szCs w:val="32"/>
          <w:highlight w:val="none"/>
          <w:lang w:val="en-US" w:eastAsia="zh-CN"/>
        </w:rPr>
        <w:t>2021年我校收到财政下拨改善中职学校办学条件中央资金87万元,2021年总支出99.37万元（其中52.56万元为2021年下达项目资金，余额46.81万元以前年度结转资金）。主要投入项目有校园环境改善（绿化、堡坎、文化墙等）、男女生宿舍维修等。</w:t>
      </w:r>
    </w:p>
    <w:p>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rPr>
        <w:t>专项资金（主要指财政资金）实际使用情况分析。</w:t>
      </w:r>
      <w:r>
        <w:rPr>
          <w:rFonts w:hint="eastAsia" w:ascii="仿宋" w:hAnsi="仿宋" w:eastAsia="仿宋" w:cs="仿宋"/>
          <w:spacing w:val="-2"/>
          <w:sz w:val="32"/>
          <w:szCs w:val="32"/>
          <w:highlight w:val="none"/>
          <w:lang w:val="en-US" w:eastAsia="zh-CN"/>
        </w:rPr>
        <w:t>见表1《中职改善办学条件资金使用情况表》。</w:t>
      </w:r>
    </w:p>
    <w:p>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表1：中职改善办学条件资金使用情况表</w:t>
      </w:r>
    </w:p>
    <w:tbl>
      <w:tblPr>
        <w:tblStyle w:val="9"/>
        <w:tblpPr w:leftFromText="180" w:rightFromText="180" w:vertAnchor="text" w:horzAnchor="page" w:tblpX="1855" w:tblpY="344"/>
        <w:tblOverlap w:val="never"/>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6"/>
        <w:gridCol w:w="1815"/>
        <w:gridCol w:w="5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日期</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金额（万元）</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2月5日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0.2</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校园绿化工程完工结算审计费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2月5日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0.17</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汽修实训保管室拉闸门安装及耗材费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2月5日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19.50</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校园绿化工程款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3月12日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2.37</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男生宿舍楼南面堡坎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4月23日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0.15</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校园文化墙工程造价咨询费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4月26日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11.63</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校园文化墙工程款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7月12日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3.07</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教师办公桌椅购置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9月18日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37.78</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男生楼南侧堡坎工程款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9月29日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0.30</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消防验收图纸设计审图技术咨询费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仿宋" w:hAnsi="仿宋" w:eastAsia="仿宋" w:cs="仿宋"/>
                <w:spacing w:val="-2"/>
                <w:kern w:val="2"/>
                <w:sz w:val="32"/>
                <w:szCs w:val="32"/>
                <w:highlight w:val="none"/>
                <w:vertAlign w:val="baseline"/>
                <w:lang w:val="en-US" w:eastAsia="zh-CN" w:bidi="ar-SA"/>
              </w:rPr>
            </w:pPr>
            <w:r>
              <w:rPr>
                <w:rFonts w:hint="eastAsia" w:ascii="仿宋" w:hAnsi="仿宋" w:eastAsia="仿宋" w:cs="仿宋"/>
                <w:spacing w:val="-2"/>
                <w:sz w:val="32"/>
                <w:szCs w:val="32"/>
                <w:highlight w:val="none"/>
                <w:vertAlign w:val="baseline"/>
                <w:lang w:val="en-US" w:eastAsia="zh-CN"/>
              </w:rPr>
              <w:t>9月30日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仿宋" w:hAnsi="仿宋" w:eastAsia="仿宋" w:cs="仿宋"/>
                <w:spacing w:val="-2"/>
                <w:kern w:val="2"/>
                <w:sz w:val="32"/>
                <w:szCs w:val="32"/>
                <w:highlight w:val="none"/>
                <w:vertAlign w:val="baseline"/>
                <w:lang w:val="en-US" w:eastAsia="zh-CN" w:bidi="ar-SA"/>
              </w:rPr>
            </w:pPr>
            <w:r>
              <w:rPr>
                <w:rFonts w:hint="eastAsia" w:ascii="仿宋" w:hAnsi="仿宋" w:eastAsia="仿宋" w:cs="仿宋"/>
                <w:spacing w:val="-2"/>
                <w:sz w:val="32"/>
                <w:szCs w:val="32"/>
                <w:highlight w:val="none"/>
                <w:vertAlign w:val="baseline"/>
                <w:lang w:val="en-US" w:eastAsia="zh-CN"/>
              </w:rPr>
              <w:t>3.37</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仿宋" w:hAnsi="仿宋" w:eastAsia="仿宋" w:cs="仿宋"/>
                <w:spacing w:val="-2"/>
                <w:kern w:val="2"/>
                <w:sz w:val="32"/>
                <w:szCs w:val="32"/>
                <w:highlight w:val="none"/>
                <w:vertAlign w:val="baseline"/>
                <w:lang w:val="en-US" w:eastAsia="zh-CN" w:bidi="ar-SA"/>
              </w:rPr>
            </w:pPr>
            <w:r>
              <w:rPr>
                <w:rFonts w:hint="eastAsia" w:ascii="仿宋" w:hAnsi="仿宋" w:eastAsia="仿宋" w:cs="仿宋"/>
                <w:spacing w:val="-2"/>
                <w:sz w:val="32"/>
                <w:szCs w:val="32"/>
                <w:highlight w:val="none"/>
                <w:vertAlign w:val="baseline"/>
                <w:lang w:val="en-US" w:eastAsia="zh-CN"/>
              </w:rPr>
              <w:t>消防设备维修款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仿宋" w:hAnsi="仿宋" w:eastAsia="仿宋" w:cs="仿宋"/>
                <w:spacing w:val="-2"/>
                <w:kern w:val="2"/>
                <w:sz w:val="32"/>
                <w:szCs w:val="32"/>
                <w:highlight w:val="none"/>
                <w:vertAlign w:val="baseline"/>
                <w:lang w:val="en-US" w:eastAsia="zh-CN" w:bidi="ar-SA"/>
              </w:rPr>
            </w:pPr>
            <w:r>
              <w:rPr>
                <w:rFonts w:hint="eastAsia" w:ascii="仿宋" w:hAnsi="仿宋" w:eastAsia="仿宋" w:cs="仿宋"/>
                <w:spacing w:val="-2"/>
                <w:sz w:val="32"/>
                <w:szCs w:val="32"/>
                <w:highlight w:val="none"/>
                <w:vertAlign w:val="baseline"/>
                <w:lang w:val="en-US" w:eastAsia="zh-CN"/>
              </w:rPr>
              <w:t>9月30日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仿宋" w:hAnsi="仿宋" w:eastAsia="仿宋" w:cs="仿宋"/>
                <w:spacing w:val="-2"/>
                <w:kern w:val="2"/>
                <w:sz w:val="32"/>
                <w:szCs w:val="32"/>
                <w:highlight w:val="none"/>
                <w:vertAlign w:val="baseline"/>
                <w:lang w:val="en-US" w:eastAsia="zh-CN" w:bidi="ar-SA"/>
              </w:rPr>
            </w:pPr>
            <w:r>
              <w:rPr>
                <w:rFonts w:hint="eastAsia" w:ascii="仿宋" w:hAnsi="仿宋" w:eastAsia="仿宋" w:cs="仿宋"/>
                <w:spacing w:val="-2"/>
                <w:sz w:val="32"/>
                <w:szCs w:val="32"/>
                <w:highlight w:val="none"/>
                <w:vertAlign w:val="baseline"/>
                <w:lang w:val="en-US" w:eastAsia="zh-CN"/>
              </w:rPr>
              <w:t>0.75</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仿宋" w:hAnsi="仿宋" w:eastAsia="仿宋" w:cs="仿宋"/>
                <w:spacing w:val="-2"/>
                <w:kern w:val="2"/>
                <w:sz w:val="32"/>
                <w:szCs w:val="32"/>
                <w:highlight w:val="none"/>
                <w:vertAlign w:val="baseline"/>
                <w:lang w:val="en-US" w:eastAsia="zh-CN" w:bidi="ar-SA"/>
              </w:rPr>
            </w:pPr>
            <w:r>
              <w:rPr>
                <w:rFonts w:hint="eastAsia" w:ascii="仿宋" w:hAnsi="仿宋" w:eastAsia="仿宋" w:cs="仿宋"/>
                <w:spacing w:val="-2"/>
                <w:sz w:val="32"/>
                <w:szCs w:val="32"/>
                <w:highlight w:val="none"/>
                <w:vertAlign w:val="baseline"/>
                <w:lang w:val="en-US" w:eastAsia="zh-CN"/>
              </w:rPr>
              <w:t>校园广场及道路硬化工程质保金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10月25日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2.78</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男生楼排污管道维修费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10月25日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1.09</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女生楼铁架床、床板购置费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10月25日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0.72</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校园绿化养护费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10月26日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0.50</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6月—10月空调安装维修费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11月19日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0.23</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笃学楼空调维修，宿舍空气能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仿宋" w:hAnsi="仿宋" w:eastAsia="仿宋" w:cs="仿宋"/>
                <w:spacing w:val="-2"/>
                <w:kern w:val="2"/>
                <w:sz w:val="32"/>
                <w:szCs w:val="32"/>
                <w:highlight w:val="none"/>
                <w:vertAlign w:val="baseline"/>
                <w:lang w:val="en-US" w:eastAsia="zh-CN" w:bidi="ar-SA"/>
              </w:rPr>
            </w:pPr>
            <w:r>
              <w:rPr>
                <w:rFonts w:hint="eastAsia" w:ascii="仿宋" w:hAnsi="仿宋" w:eastAsia="仿宋" w:cs="仿宋"/>
                <w:spacing w:val="-2"/>
                <w:sz w:val="32"/>
                <w:szCs w:val="32"/>
                <w:highlight w:val="none"/>
                <w:vertAlign w:val="baseline"/>
                <w:lang w:val="en-US" w:eastAsia="zh-CN"/>
              </w:rPr>
              <w:t>11月23日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仿宋" w:hAnsi="仿宋" w:eastAsia="仿宋" w:cs="仿宋"/>
                <w:spacing w:val="-2"/>
                <w:kern w:val="2"/>
                <w:sz w:val="32"/>
                <w:szCs w:val="32"/>
                <w:highlight w:val="none"/>
                <w:vertAlign w:val="baseline"/>
                <w:lang w:val="en-US" w:eastAsia="zh-CN" w:bidi="ar-SA"/>
              </w:rPr>
            </w:pPr>
            <w:r>
              <w:rPr>
                <w:rFonts w:hint="eastAsia" w:ascii="仿宋" w:hAnsi="仿宋" w:eastAsia="仿宋" w:cs="仿宋"/>
                <w:spacing w:val="-2"/>
                <w:sz w:val="32"/>
                <w:szCs w:val="32"/>
                <w:highlight w:val="none"/>
                <w:vertAlign w:val="baseline"/>
                <w:lang w:val="en-US" w:eastAsia="zh-CN"/>
              </w:rPr>
              <w:t>1.89</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center"/>
              <w:textAlignment w:val="auto"/>
              <w:rPr>
                <w:rFonts w:hint="eastAsia" w:ascii="仿宋" w:hAnsi="仿宋" w:eastAsia="仿宋" w:cs="仿宋"/>
                <w:spacing w:val="-2"/>
                <w:kern w:val="2"/>
                <w:sz w:val="32"/>
                <w:szCs w:val="32"/>
                <w:highlight w:val="none"/>
                <w:vertAlign w:val="baseline"/>
                <w:lang w:val="en-US" w:eastAsia="zh-CN" w:bidi="ar-SA"/>
              </w:rPr>
            </w:pPr>
            <w:r>
              <w:rPr>
                <w:rFonts w:hint="eastAsia" w:ascii="仿宋" w:hAnsi="仿宋" w:eastAsia="仿宋" w:cs="仿宋"/>
                <w:spacing w:val="-2"/>
                <w:sz w:val="32"/>
                <w:szCs w:val="32"/>
                <w:highlight w:val="none"/>
                <w:vertAlign w:val="baseline"/>
                <w:lang w:val="en-US" w:eastAsia="zh-CN"/>
              </w:rPr>
              <w:t>教师、实训室风扇采购及安装费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11月23日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1.38</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篮球场北侧安装不锈钢防护栏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11月23日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6.54</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办公楼前花坛拆除及人行道砖铺设费用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11月23日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格致楼窗帘购置、安装费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11月23日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0.41</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办公楼前石凳购置安装费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11月23日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0.84</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校园日常维修用品购置费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11月23日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0.23</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校园日常维修用品购置费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11月23日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0.16</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校园日常维修用品购置费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12月17日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1.44</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学保科监控维修费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12月17日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0.19</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校园篮球场维修费用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12月17日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0.28</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校园篮球场维修费用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12月27日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0.20</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校园室外乒乓球台购置费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12月27日</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0.20</w:t>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消防整改项目造价咨询费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r>
              <w:rPr>
                <w:rFonts w:hint="eastAsia" w:ascii="仿宋" w:hAnsi="仿宋" w:eastAsia="仿宋" w:cs="仿宋"/>
                <w:spacing w:val="-2"/>
                <w:sz w:val="32"/>
                <w:szCs w:val="32"/>
                <w:highlight w:val="none"/>
                <w:vertAlign w:val="baseline"/>
                <w:lang w:val="en-US" w:eastAsia="zh-CN"/>
              </w:rPr>
              <w:t>合计</w:t>
            </w:r>
          </w:p>
        </w:tc>
        <w:tc>
          <w:tcPr>
            <w:tcW w:w="181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eastAsia="zh-CN"/>
              </w:rPr>
            </w:pPr>
            <w:r>
              <w:rPr>
                <w:rFonts w:hint="eastAsia" w:ascii="仿宋" w:hAnsi="仿宋" w:eastAsia="仿宋" w:cs="仿宋"/>
                <w:spacing w:val="-2"/>
                <w:sz w:val="32"/>
                <w:szCs w:val="32"/>
                <w:highlight w:val="none"/>
                <w:vertAlign w:val="baseline"/>
                <w:lang w:eastAsia="zh-CN"/>
              </w:rPr>
              <w:fldChar w:fldCharType="begin"/>
            </w:r>
            <w:r>
              <w:rPr>
                <w:rFonts w:hint="eastAsia" w:ascii="仿宋" w:hAnsi="仿宋" w:eastAsia="仿宋" w:cs="仿宋"/>
                <w:spacing w:val="-2"/>
                <w:sz w:val="32"/>
                <w:szCs w:val="32"/>
                <w:highlight w:val="none"/>
                <w:vertAlign w:val="baseline"/>
                <w:lang w:eastAsia="zh-CN"/>
              </w:rPr>
              <w:instrText xml:space="preserve"> = sum(B2:B30) \* MERGEFORMAT </w:instrText>
            </w:r>
            <w:r>
              <w:rPr>
                <w:rFonts w:hint="eastAsia" w:ascii="仿宋" w:hAnsi="仿宋" w:eastAsia="仿宋" w:cs="仿宋"/>
                <w:spacing w:val="-2"/>
                <w:sz w:val="32"/>
                <w:szCs w:val="32"/>
                <w:highlight w:val="none"/>
                <w:vertAlign w:val="baseline"/>
                <w:lang w:eastAsia="zh-CN"/>
              </w:rPr>
              <w:fldChar w:fldCharType="separate"/>
            </w:r>
            <w:r>
              <w:rPr>
                <w:rFonts w:hint="eastAsia" w:ascii="仿宋" w:hAnsi="仿宋" w:eastAsia="仿宋" w:cs="仿宋"/>
                <w:spacing w:val="-2"/>
                <w:sz w:val="32"/>
                <w:szCs w:val="32"/>
                <w:highlight w:val="none"/>
                <w:vertAlign w:val="baseline"/>
                <w:lang w:eastAsia="zh-CN"/>
              </w:rPr>
              <w:t>99.37</w:t>
            </w:r>
            <w:r>
              <w:rPr>
                <w:rFonts w:hint="eastAsia" w:ascii="仿宋" w:hAnsi="仿宋" w:eastAsia="仿宋" w:cs="仿宋"/>
                <w:spacing w:val="-2"/>
                <w:sz w:val="32"/>
                <w:szCs w:val="32"/>
                <w:highlight w:val="none"/>
                <w:vertAlign w:val="baseline"/>
                <w:lang w:eastAsia="zh-CN"/>
              </w:rPr>
              <w:fldChar w:fldCharType="end"/>
            </w:r>
          </w:p>
        </w:tc>
        <w:tc>
          <w:tcPr>
            <w:tcW w:w="5805"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420" w:lineRule="exact"/>
              <w:jc w:val="center"/>
              <w:textAlignment w:val="auto"/>
              <w:rPr>
                <w:rFonts w:hint="eastAsia" w:ascii="仿宋" w:hAnsi="仿宋" w:eastAsia="仿宋" w:cs="仿宋"/>
                <w:spacing w:val="-2"/>
                <w:sz w:val="32"/>
                <w:szCs w:val="32"/>
                <w:highlight w:val="none"/>
                <w:vertAlign w:val="baseline"/>
                <w:lang w:val="en-US" w:eastAsia="zh-CN"/>
              </w:rPr>
            </w:pPr>
          </w:p>
        </w:tc>
      </w:tr>
    </w:tbl>
    <w:p>
      <w:pPr>
        <w:widowControl/>
        <w:numPr>
          <w:ilvl w:val="0"/>
          <w:numId w:val="0"/>
        </w:numPr>
        <w:shd w:val="clear" w:color="auto" w:fill="FFFFFF"/>
        <w:spacing w:line="600" w:lineRule="atLeast"/>
        <w:ind w:firstLine="632" w:firstLineChars="200"/>
        <w:rPr>
          <w:rFonts w:hint="eastAsia" w:ascii="仿宋" w:hAnsi="仿宋" w:eastAsia="仿宋" w:cs="仿宋"/>
          <w:spacing w:val="-2"/>
          <w:sz w:val="32"/>
          <w:szCs w:val="32"/>
          <w:highlight w:val="none"/>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rPr>
      </w:pPr>
      <w:r>
        <w:rPr>
          <w:rFonts w:hint="eastAsia" w:ascii="仿宋" w:hAnsi="仿宋" w:eastAsia="仿宋" w:cs="仿宋"/>
          <w:spacing w:val="-2"/>
          <w:sz w:val="32"/>
          <w:szCs w:val="32"/>
          <w:highlight w:val="none"/>
          <w:lang w:val="en-US" w:eastAsia="zh-CN"/>
        </w:rPr>
        <w:t>2.</w:t>
      </w:r>
      <w:r>
        <w:rPr>
          <w:rFonts w:hint="eastAsia" w:ascii="仿宋" w:hAnsi="仿宋" w:eastAsia="仿宋" w:cs="仿宋"/>
          <w:spacing w:val="-2"/>
          <w:sz w:val="32"/>
          <w:szCs w:val="32"/>
          <w:highlight w:val="none"/>
        </w:rPr>
        <w:t>专项资金管理情况分析，主要包括管理制度、办法的制订及执行情况。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为规范省、市财政局下拨我校专项资金的管理，明确职责，规范程序，完善机制，提高专项资金的使用效益，根据省财政厅、省教育厅、市政府、市教育局等有关专项资金的管理制度和实施细则，结合我校实际情况，制定了专项资金管理制定。</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专项资金管理坚持公开透明，规范合理的原则，实行统一协调、明确责任、各司其责、权责统一的管理方式。</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我校建立健全了专项资金管理制度。专项资金管理专题会议由校党委书记、校长、分管财务领导、专项资金业务涉及分管领导、财务科长、专项资金使用业务科室负责人等组成。会议主要研究确定项目专项年度使用方案、专项资金分配方案及其他事宜。重大项目的操作方案及资金安排意见由校党委会研究决定。</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spacing w:val="-2"/>
          <w:sz w:val="32"/>
          <w:szCs w:val="32"/>
          <w:highlight w:val="none"/>
          <w:lang w:val="en-US" w:eastAsia="zh-CN"/>
        </w:rPr>
        <w:t>我校设置教务科专人负责对专项资金的申报、使用进行统筹安排，校财务科、监审科分别对资金使用、项目验收进行核算与监管。财务科对项目资金的拨付下达及使用进行管控，项目部落实项目资金具体使用并协同财务科对专项资金使用进行管理。</w:t>
      </w:r>
    </w:p>
    <w:p>
      <w:pPr>
        <w:pStyle w:val="7"/>
        <w:keepNext w:val="0"/>
        <w:keepLines w:val="0"/>
        <w:pageBreakBefore w:val="0"/>
        <w:widowControl/>
        <w:numPr>
          <w:ilvl w:val="0"/>
          <w:numId w:val="0"/>
        </w:numPr>
        <w:kinsoku/>
        <w:wordWrap/>
        <w:overflowPunct/>
        <w:topLinePunct w:val="0"/>
        <w:autoSpaceDE/>
        <w:autoSpaceDN/>
        <w:bidi w:val="0"/>
        <w:adjustRightInd/>
        <w:snapToGrid/>
        <w:spacing w:after="0" w:afterLines="0" w:line="520" w:lineRule="exact"/>
        <w:ind w:left="0" w:leftChars="0" w:firstLine="638" w:firstLineChars="202"/>
        <w:textAlignment w:val="auto"/>
        <w:rPr>
          <w:rFonts w:hint="eastAsia" w:ascii="仿宋" w:hAnsi="仿宋" w:eastAsia="仿宋" w:cs="仿宋"/>
          <w:spacing w:val="-2"/>
          <w:kern w:val="2"/>
          <w:sz w:val="32"/>
          <w:szCs w:val="32"/>
          <w:highlight w:val="none"/>
          <w:lang w:val="en-US" w:eastAsia="zh-CN" w:bidi="ar-SA"/>
        </w:rPr>
      </w:pPr>
      <w:r>
        <w:rPr>
          <w:rFonts w:hint="eastAsia" w:ascii="仿宋" w:hAnsi="仿宋" w:eastAsia="仿宋" w:cs="仿宋"/>
          <w:spacing w:val="-2"/>
          <w:kern w:val="2"/>
          <w:sz w:val="32"/>
          <w:szCs w:val="32"/>
          <w:highlight w:val="none"/>
          <w:lang w:val="en-US" w:eastAsia="zh-CN" w:bidi="ar-SA"/>
        </w:rPr>
        <w:t>校财务分管领导牵头，会同监审科组织对专项资金使用情况进行综合审计，确保专项资金发挥最大效益。</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spacing w:val="-2"/>
          <w:sz w:val="32"/>
          <w:szCs w:val="32"/>
          <w:highlight w:val="none"/>
        </w:rPr>
      </w:pPr>
      <w:r>
        <w:rPr>
          <w:rFonts w:hint="eastAsia" w:ascii="仿宋" w:hAnsi="仿宋" w:eastAsia="仿宋" w:cs="仿宋"/>
          <w:b/>
          <w:spacing w:val="-2"/>
          <w:sz w:val="32"/>
          <w:szCs w:val="32"/>
          <w:highlight w:val="none"/>
        </w:rPr>
        <w:t>三、部门专项组织实施情况</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spacing w:val="-2"/>
          <w:sz w:val="32"/>
          <w:szCs w:val="32"/>
          <w:highlight w:val="none"/>
        </w:rPr>
      </w:pPr>
      <w:r>
        <w:rPr>
          <w:rFonts w:hint="eastAsia" w:ascii="仿宋" w:hAnsi="仿宋" w:eastAsia="仿宋" w:cs="仿宋"/>
          <w:spacing w:val="-2"/>
          <w:sz w:val="32"/>
          <w:szCs w:val="32"/>
          <w:highlight w:val="none"/>
        </w:rPr>
        <w:t>（一）专项组织情况分析，主要包括项目招投标、调整、竣工验收等情况。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1"/>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我校教务科专人负责对项目招投标进行统一管理，同时建立专项资金合同管理台账，对项目工程合同进行统一监管。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1"/>
        <w:jc w:val="left"/>
        <w:textAlignment w:val="auto"/>
        <w:rPr>
          <w:rFonts w:hint="eastAsia" w:ascii="仿宋" w:hAnsi="仿宋" w:eastAsia="仿宋" w:cs="仿宋"/>
          <w:color w:val="auto"/>
          <w:spacing w:val="-2"/>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项目竣工验收由项目所涉科室牵头，协同财务科、监审科进行项目验收并出具验收报告。</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left="0" w:leftChars="0" w:firstLine="638" w:firstLineChars="202"/>
        <w:textAlignment w:val="auto"/>
        <w:rPr>
          <w:rFonts w:hint="eastAsia" w:ascii="仿宋" w:hAnsi="仿宋" w:eastAsia="仿宋" w:cs="仿宋"/>
          <w:spacing w:val="-2"/>
          <w:sz w:val="32"/>
          <w:szCs w:val="32"/>
          <w:highlight w:val="none"/>
        </w:rPr>
      </w:pPr>
      <w:r>
        <w:rPr>
          <w:rFonts w:hint="eastAsia" w:ascii="仿宋" w:hAnsi="仿宋" w:eastAsia="仿宋" w:cs="仿宋"/>
          <w:spacing w:val="-2"/>
          <w:sz w:val="32"/>
          <w:szCs w:val="32"/>
          <w:highlight w:val="none"/>
          <w:lang w:eastAsia="zh-CN"/>
        </w:rPr>
        <w:t>（</w:t>
      </w:r>
      <w:r>
        <w:rPr>
          <w:rFonts w:hint="eastAsia" w:ascii="仿宋" w:hAnsi="仿宋" w:eastAsia="仿宋" w:cs="仿宋"/>
          <w:spacing w:val="-2"/>
          <w:sz w:val="32"/>
          <w:szCs w:val="32"/>
          <w:highlight w:val="none"/>
          <w:lang w:val="en-US" w:eastAsia="zh-CN"/>
        </w:rPr>
        <w:t>二</w:t>
      </w:r>
      <w:r>
        <w:rPr>
          <w:rFonts w:hint="eastAsia" w:ascii="仿宋" w:hAnsi="仿宋" w:eastAsia="仿宋" w:cs="仿宋"/>
          <w:spacing w:val="-2"/>
          <w:sz w:val="32"/>
          <w:szCs w:val="32"/>
          <w:highlight w:val="none"/>
          <w:lang w:eastAsia="zh-CN"/>
        </w:rPr>
        <w:t>）</w:t>
      </w:r>
      <w:r>
        <w:rPr>
          <w:rFonts w:hint="eastAsia" w:ascii="仿宋" w:hAnsi="仿宋" w:eastAsia="仿宋" w:cs="仿宋"/>
          <w:spacing w:val="-2"/>
          <w:sz w:val="32"/>
          <w:szCs w:val="32"/>
          <w:highlight w:val="none"/>
        </w:rPr>
        <w:t>专项管理情况分析，主要包括项目管理制度建设、日常检查监督管理等情况。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项目管理制定相关管理办法报经校党委批准通过，行文发布。项目监管由监审科牵头协同财务科进行监督管理。</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b/>
          <w:spacing w:val="-2"/>
          <w:sz w:val="32"/>
          <w:szCs w:val="32"/>
          <w:highlight w:val="none"/>
        </w:rPr>
      </w:pPr>
      <w:r>
        <w:rPr>
          <w:rFonts w:hint="eastAsia" w:ascii="仿宋" w:hAnsi="仿宋" w:eastAsia="仿宋" w:cs="仿宋"/>
          <w:b/>
          <w:spacing w:val="-2"/>
          <w:sz w:val="32"/>
          <w:szCs w:val="32"/>
          <w:highlight w:val="none"/>
        </w:rPr>
        <w:t>四、资产管理情况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（一）固定资产管理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固定资产实行由管理部门、使用部门、财务部门各司其职的原则，使用部门、管理部门负责资产的直接管理，财务部门负责核算和监督、检查管理。各部门职责如下：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1.使用部门。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（1）建立和贯彻固定资产的使用、保管责任制度，保证固定资产的安全、完整。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（2）正确使用固定资产，做好维护与保养。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2.实物管理部门。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由物业管理科负责管理。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（1）设置固定资产台账，做到分管、使用、财务三账合一，账账相符，账实相符。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（2）根据学校领导审批的采购报告，做好资产的购置工作，并安排专人负责验收、调拨、维修、处置等事宜。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（3）对使用部门资产的维护、管理和使用情况进行指导检查。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（4）定期组织清查盘点，处理盈亏报废，提出盘点报告。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（5）健全资产档案资料，编制固定资产编号，制作并粘贴自定资产标签。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（6）定期与财务部门核对台账，保证台账与财务账簿相符。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3.财务部门。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负责核算固定资产的价值和数量。核算范围包括原价、折旧、净值和固定资产清理以及在建工程、待处理固定资产净损失等。建立健全固定资产的核算体系，设置固定资产总账、明细账，按固定资产的类别、使用部门进行核算，正确填报有关会计报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（1）办理固定资产购置、转移、调拨、盈亏报废等财务手续。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（2）正确计提折旧。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（3）组织并参与物业管理科对固定资产的清查盘点工作。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right="0" w:firstLine="632" w:firstLineChars="20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（4）建立固定资产台账，及时反映固定资产的增、减变动等情况，做到账实相符。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（二）资产采购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1.严格按照资产采购流程，遵守《湖南怀化商业供销学校政府采购内部控制制度》进行资产采购。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2.资产送达时，应由申请部门或人员、采购人员、管理部门共同验收数量、检查品质及规格，是否符合使用需求，是否与采购合同、发票内容相符，验收合格后，办理入库、领用、出库事宜。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3.财务部依据发票登记固定资产明细账、编制固定资产卡片账。财务应复核各项单据的签核是否完整，复核订购数量与验收数量是否一致。如有差异，应向有关责任科室追查原因，并作适当处理。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（三）资产保管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原则上，物业管理科安排专人对学校的资产进行统一保管，科室领用由科室安排专人进行保管，个人领用，由个人进行保管，并对领用资产的完整性负责。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实训设备：由实训操作间管理人员进行保管。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机房：机房管理员为机房的负责人。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若中途使用部门或人员发生变更，需做好资产交接手续，由交接后的使用部门或人员为保管人，并报物业管理科登记备案。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（四）资产的清理与处置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固定资产清理需符合清理条件，具体包括使用期满、灾祸损毁、或虽未达到使用年限但已经无法使用及其他确需报废的情况。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对学校所有固定资产，每年进行一次重点清查、以物对账、以账对物，做到账表相符，账账相符，账实相符。发生盈亏、报废等及时处理并进行账务调整，保持固定资产账、卡、物相一致。每年固定资产清查都要留有书面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学校在进行资产清查时，要在学校领导的安排下，由物业管理科具体负责，组织相关人员参加。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清查方法以核实账务、实地盘点为主，抽查、临时盘点的方法为辅，以达到摸清家底、保证资产安全的目的。发现差错应查明原因，经批准后，进行调账，并指定人员写出报告，以便核查。</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b/>
          <w:spacing w:val="-2"/>
          <w:sz w:val="32"/>
          <w:szCs w:val="32"/>
          <w:highlight w:val="none"/>
        </w:rPr>
      </w:pPr>
      <w:r>
        <w:rPr>
          <w:rFonts w:hint="eastAsia" w:ascii="仿宋" w:hAnsi="仿宋" w:eastAsia="仿宋" w:cs="仿宋"/>
          <w:b/>
          <w:spacing w:val="-2"/>
          <w:sz w:val="32"/>
          <w:szCs w:val="32"/>
          <w:highlight w:val="none"/>
        </w:rPr>
        <w:t>五、部门整体支出绩效情况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(一)经济性分析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2021年我校实行精准预算，对预算项目实施全程、全方位的科学管控，分科室进行预算监管，同时制定内部控制管理制度，对资金实施进行管理、控制，厉行节约，科学管控。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（二）效率性分析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我校设监审科对单位资金、资产、项目和日常教学活动进行监管，根据学校制定的相关管理办法和措施对专项完成的进度和质量、对学校日常管理进行监管。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不定期召开党委会、校务会对学校日常工作及日常事务实施情况进行总结，对实施不到位的科室及部门进行严肃批评，实行“办事黄、红牌警告”制，加强对学校办事情况的监管。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项目使用方面根据项目实施预算表有监审科牵头对项目资金管理效率进行监管。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（三）可持续性分析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555555"/>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一年来在学校领导班子的科学统筹、真抓实干下，师生员工团结一心，攻坚克难，学校在教育教学、教研教改、教学竞赛和育人管理等方面进行了积极的探索改革，不断改善办学条件，在校园设施环境、师资队伍力量、教学教学教改、学生教育管理上取得了一定的成绩，社会影响力和可持续发展上持续提升。</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b/>
          <w:spacing w:val="-2"/>
          <w:sz w:val="32"/>
          <w:szCs w:val="32"/>
          <w:highlight w:val="none"/>
        </w:rPr>
      </w:pPr>
      <w:r>
        <w:rPr>
          <w:rFonts w:hint="eastAsia" w:ascii="仿宋" w:hAnsi="仿宋" w:eastAsia="仿宋" w:cs="仿宋"/>
          <w:b/>
          <w:spacing w:val="-2"/>
          <w:sz w:val="32"/>
          <w:szCs w:val="32"/>
          <w:highlight w:val="none"/>
        </w:rPr>
        <w:t>六、存在的主要问题</w:t>
      </w:r>
    </w:p>
    <w:p>
      <w:pPr>
        <w:keepNext w:val="0"/>
        <w:keepLines w:val="0"/>
        <w:pageBreakBefore w:val="0"/>
        <w:widowControl/>
        <w:kinsoku/>
        <w:wordWrap/>
        <w:overflowPunct/>
        <w:topLinePunct w:val="0"/>
        <w:autoSpaceDE/>
        <w:autoSpaceDN/>
        <w:bidi w:val="0"/>
        <w:adjustRightInd/>
        <w:snapToGrid/>
        <w:spacing w:line="520" w:lineRule="exact"/>
        <w:ind w:firstLine="632" w:firstLineChars="200"/>
        <w:jc w:val="left"/>
        <w:textAlignment w:val="auto"/>
        <w:rPr>
          <w:rFonts w:hint="eastAsia" w:ascii="仿宋" w:hAnsi="仿宋" w:eastAsia="仿宋" w:cs="仿宋"/>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进一步加强精准预算力度，科学设置预算绩效指标，根据我校资产管理实际情况，继续优化预算项目的科学管理管控</w:t>
      </w:r>
      <w:r>
        <w:rPr>
          <w:rFonts w:hint="eastAsia" w:ascii="仿宋" w:hAnsi="仿宋" w:eastAsia="仿宋" w:cs="仿宋"/>
          <w:sz w:val="32"/>
          <w:szCs w:val="32"/>
          <w:highlight w:val="none"/>
        </w:rPr>
        <w:t>。</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textAlignment w:val="auto"/>
        <w:rPr>
          <w:rFonts w:hint="eastAsia" w:ascii="仿宋" w:hAnsi="仿宋" w:eastAsia="仿宋" w:cs="仿宋"/>
          <w:b/>
          <w:spacing w:val="-2"/>
          <w:sz w:val="32"/>
          <w:szCs w:val="32"/>
          <w:highlight w:val="none"/>
        </w:rPr>
      </w:pPr>
      <w:r>
        <w:rPr>
          <w:rFonts w:hint="eastAsia" w:ascii="仿宋" w:hAnsi="仿宋" w:eastAsia="仿宋" w:cs="仿宋"/>
          <w:b/>
          <w:spacing w:val="-2"/>
          <w:sz w:val="32"/>
          <w:szCs w:val="32"/>
          <w:highlight w:val="none"/>
        </w:rPr>
        <w:t>七、改进措施和有关建议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1.部门整体绩效评价工作是一项长期性的工作、专业型强，工作量大，建议能够进一步开展相关业务培训，加强单位之间的经验交流；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20" w:lineRule="exact"/>
        <w:ind w:left="0" w:right="0" w:firstLine="640"/>
        <w:jc w:val="left"/>
        <w:textAlignment w:val="auto"/>
        <w:rPr>
          <w:rFonts w:hint="eastAsia" w:ascii="仿宋" w:hAnsi="仿宋" w:eastAsia="仿宋" w:cs="仿宋"/>
          <w:sz w:val="32"/>
          <w:szCs w:val="32"/>
          <w:highlight w:val="none"/>
        </w:rPr>
      </w:pPr>
      <w:r>
        <w:rPr>
          <w:rFonts w:hint="eastAsia" w:ascii="仿宋" w:hAnsi="仿宋" w:eastAsia="仿宋" w:cs="仿宋"/>
          <w:i w:val="0"/>
          <w:iCs w:val="0"/>
          <w:caps w:val="0"/>
          <w:color w:val="auto"/>
          <w:spacing w:val="-2"/>
          <w:kern w:val="0"/>
          <w:sz w:val="32"/>
          <w:szCs w:val="32"/>
          <w:highlight w:val="none"/>
          <w:shd w:val="clear" w:color="auto" w:fill="FFFFFF"/>
          <w:lang w:val="en-US" w:eastAsia="zh-CN" w:bidi="ar"/>
        </w:rPr>
        <w:t>2.希望相关部门在统筹年度预算时能够切实考虑中职学校实际情况，加大资金扶持力度。</w:t>
      </w:r>
    </w:p>
    <w:p>
      <w:pPr>
        <w:ind w:firstLine="640" w:firstLineChars="200"/>
        <w:jc w:val="left"/>
        <w:rPr>
          <w:rFonts w:hint="eastAsia" w:ascii="仿宋" w:hAnsi="仿宋" w:eastAsia="仿宋" w:cs="仿宋"/>
          <w:color w:val="000000"/>
          <w:kern w:val="0"/>
          <w:sz w:val="32"/>
          <w:szCs w:val="32"/>
          <w:highlight w:val="none"/>
        </w:rPr>
      </w:pPr>
    </w:p>
    <w:sectPr>
      <w:pgSz w:w="11906" w:h="16838"/>
      <w:pgMar w:top="1440" w:right="1803" w:bottom="1440" w:left="1803"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E4EF3"/>
    <w:multiLevelType w:val="singleLevel"/>
    <w:tmpl w:val="8ECE4EF3"/>
    <w:lvl w:ilvl="0" w:tentative="0">
      <w:start w:val="2"/>
      <w:numFmt w:val="chineseCounting"/>
      <w:suff w:val="nothing"/>
      <w:lvlText w:val="（%1）"/>
      <w:lvlJc w:val="left"/>
      <w:rPr>
        <w:rFonts w:hint="eastAsia"/>
      </w:rPr>
    </w:lvl>
  </w:abstractNum>
  <w:abstractNum w:abstractNumId="1">
    <w:nsid w:val="464BFE44"/>
    <w:multiLevelType w:val="singleLevel"/>
    <w:tmpl w:val="464BFE44"/>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5237BC9"/>
    <w:rsid w:val="05263B5D"/>
    <w:rsid w:val="0664367E"/>
    <w:rsid w:val="06891405"/>
    <w:rsid w:val="0BBE7D7A"/>
    <w:rsid w:val="0DC0763F"/>
    <w:rsid w:val="0EC55C42"/>
    <w:rsid w:val="116F705B"/>
    <w:rsid w:val="14566B63"/>
    <w:rsid w:val="154F7A8A"/>
    <w:rsid w:val="168801D3"/>
    <w:rsid w:val="16B0772A"/>
    <w:rsid w:val="17D50BA7"/>
    <w:rsid w:val="1AA650F3"/>
    <w:rsid w:val="1ABD2416"/>
    <w:rsid w:val="1E4B54CB"/>
    <w:rsid w:val="1EC65D3D"/>
    <w:rsid w:val="1FA503BC"/>
    <w:rsid w:val="20563C0C"/>
    <w:rsid w:val="214252E7"/>
    <w:rsid w:val="21847540"/>
    <w:rsid w:val="24D30868"/>
    <w:rsid w:val="288C6C48"/>
    <w:rsid w:val="2FF973E4"/>
    <w:rsid w:val="30A177E9"/>
    <w:rsid w:val="31A31F0E"/>
    <w:rsid w:val="33FE0884"/>
    <w:rsid w:val="34164C19"/>
    <w:rsid w:val="389B15E2"/>
    <w:rsid w:val="39445338"/>
    <w:rsid w:val="3A563FC1"/>
    <w:rsid w:val="3BD010E6"/>
    <w:rsid w:val="3C031962"/>
    <w:rsid w:val="3F6950C3"/>
    <w:rsid w:val="40531CD9"/>
    <w:rsid w:val="425923D9"/>
    <w:rsid w:val="433911FF"/>
    <w:rsid w:val="48447419"/>
    <w:rsid w:val="48F9745D"/>
    <w:rsid w:val="49FF09F9"/>
    <w:rsid w:val="4C2E4051"/>
    <w:rsid w:val="4CB924F1"/>
    <w:rsid w:val="4EA85552"/>
    <w:rsid w:val="4FB70C06"/>
    <w:rsid w:val="50D54BA3"/>
    <w:rsid w:val="516F558D"/>
    <w:rsid w:val="51ED4DB3"/>
    <w:rsid w:val="56D843D3"/>
    <w:rsid w:val="59B23EE1"/>
    <w:rsid w:val="5ADB7ABD"/>
    <w:rsid w:val="5AF96961"/>
    <w:rsid w:val="5D6806DE"/>
    <w:rsid w:val="60786768"/>
    <w:rsid w:val="618172C6"/>
    <w:rsid w:val="67B74A33"/>
    <w:rsid w:val="6A55141C"/>
    <w:rsid w:val="6E07266A"/>
    <w:rsid w:val="6F3D06BE"/>
    <w:rsid w:val="7113070D"/>
    <w:rsid w:val="7C2F2B4A"/>
    <w:rsid w:val="7D586B10"/>
    <w:rsid w:val="7DAC0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Balloon Text"/>
    <w:basedOn w:val="1"/>
    <w:link w:val="23"/>
    <w:semiHidden/>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7">
    <w:name w:val="Body Text First Indent 2"/>
    <w:basedOn w:val="2"/>
    <w:qFormat/>
    <w:uiPriority w:val="99"/>
    <w:pPr>
      <w:widowControl/>
      <w:spacing w:afterLines="100" w:line="360" w:lineRule="auto"/>
      <w:ind w:left="200" w:firstLine="210" w:firstLineChars="200"/>
      <w:jc w:val="left"/>
    </w:pPr>
    <w:rPr>
      <w:kern w:val="28"/>
      <w:sz w:val="24"/>
      <w:lang w:val="zh-C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semiHidden/>
    <w:unhideWhenUsed/>
    <w:qFormat/>
    <w:uiPriority w:val="99"/>
    <w:rPr>
      <w:color w:val="333333"/>
      <w:u w:val="none"/>
    </w:rPr>
  </w:style>
  <w:style w:type="character" w:styleId="12">
    <w:name w:val="Emphasis"/>
    <w:basedOn w:val="10"/>
    <w:qFormat/>
    <w:uiPriority w:val="20"/>
  </w:style>
  <w:style w:type="character" w:styleId="13">
    <w:name w:val="HTML Definition"/>
    <w:basedOn w:val="10"/>
    <w:semiHidden/>
    <w:unhideWhenUsed/>
    <w:qFormat/>
    <w:uiPriority w:val="99"/>
  </w:style>
  <w:style w:type="character" w:styleId="14">
    <w:name w:val="HTML Acronym"/>
    <w:basedOn w:val="10"/>
    <w:semiHidden/>
    <w:unhideWhenUsed/>
    <w:qFormat/>
    <w:uiPriority w:val="99"/>
  </w:style>
  <w:style w:type="character" w:styleId="15">
    <w:name w:val="HTML Variable"/>
    <w:basedOn w:val="10"/>
    <w:semiHidden/>
    <w:unhideWhenUsed/>
    <w:qFormat/>
    <w:uiPriority w:val="99"/>
  </w:style>
  <w:style w:type="character" w:styleId="16">
    <w:name w:val="Hyperlink"/>
    <w:basedOn w:val="10"/>
    <w:semiHidden/>
    <w:unhideWhenUsed/>
    <w:qFormat/>
    <w:uiPriority w:val="99"/>
    <w:rPr>
      <w:color w:val="333333"/>
      <w:u w:val="none"/>
    </w:rPr>
  </w:style>
  <w:style w:type="character" w:styleId="17">
    <w:name w:val="HTML Code"/>
    <w:basedOn w:val="10"/>
    <w:semiHidden/>
    <w:unhideWhenUsed/>
    <w:qFormat/>
    <w:uiPriority w:val="99"/>
    <w:rPr>
      <w:rFonts w:ascii="Courier New" w:hAnsi="Courier New"/>
      <w:sz w:val="20"/>
    </w:rPr>
  </w:style>
  <w:style w:type="character" w:styleId="18">
    <w:name w:val="HTML Cite"/>
    <w:basedOn w:val="10"/>
    <w:semiHidden/>
    <w:unhideWhenUsed/>
    <w:qFormat/>
    <w:uiPriority w:val="99"/>
  </w:style>
  <w:style w:type="character" w:customStyle="1" w:styleId="19">
    <w:name w:val="页眉 Char"/>
    <w:basedOn w:val="10"/>
    <w:link w:val="5"/>
    <w:qFormat/>
    <w:uiPriority w:val="99"/>
    <w:rPr>
      <w:sz w:val="18"/>
      <w:szCs w:val="18"/>
    </w:rPr>
  </w:style>
  <w:style w:type="character" w:customStyle="1" w:styleId="20">
    <w:name w:val="页脚 Char"/>
    <w:basedOn w:val="10"/>
    <w:link w:val="4"/>
    <w:qFormat/>
    <w:uiPriority w:val="99"/>
    <w:rPr>
      <w:sz w:val="18"/>
      <w:szCs w:val="18"/>
    </w:rPr>
  </w:style>
  <w:style w:type="paragraph" w:customStyle="1" w:styleId="2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22">
    <w:name w:val="List Paragraph"/>
    <w:basedOn w:val="1"/>
    <w:qFormat/>
    <w:uiPriority w:val="34"/>
    <w:pPr>
      <w:ind w:firstLine="420" w:firstLineChars="200"/>
    </w:pPr>
  </w:style>
  <w:style w:type="character" w:customStyle="1" w:styleId="23">
    <w:name w:val="批注框文本 Char"/>
    <w:basedOn w:val="10"/>
    <w:link w:val="3"/>
    <w:semiHidden/>
    <w:qFormat/>
    <w:uiPriority w:val="99"/>
    <w:rPr>
      <w:sz w:val="18"/>
      <w:szCs w:val="18"/>
    </w:rPr>
  </w:style>
  <w:style w:type="character" w:customStyle="1" w:styleId="24">
    <w:name w:val="wx-space"/>
    <w:basedOn w:val="10"/>
    <w:qFormat/>
    <w:uiPriority w:val="0"/>
  </w:style>
  <w:style w:type="character" w:customStyle="1" w:styleId="25">
    <w:name w:val="wx-space1"/>
    <w:basedOn w:val="10"/>
    <w:qFormat/>
    <w:uiPriority w:val="0"/>
  </w:style>
  <w:style w:type="character" w:customStyle="1" w:styleId="26">
    <w:name w:val="hover"/>
    <w:basedOn w:val="10"/>
    <w:qFormat/>
    <w:uiPriority w:val="0"/>
  </w:style>
  <w:style w:type="character" w:customStyle="1" w:styleId="27">
    <w:name w:val="hover1"/>
    <w:basedOn w:val="10"/>
    <w:qFormat/>
    <w:uiPriority w:val="0"/>
    <w:rPr>
      <w:color w:val="000000"/>
      <w:shd w:val="clear" w:fill="FFFFFF"/>
    </w:rPr>
  </w:style>
  <w:style w:type="character" w:customStyle="1" w:styleId="28">
    <w:name w:val="docinfo_title"/>
    <w:basedOn w:val="10"/>
    <w:qFormat/>
    <w:uiPriority w:val="0"/>
    <w:rPr>
      <w:b/>
      <w:bCs/>
    </w:rPr>
  </w:style>
  <w:style w:type="character" w:customStyle="1" w:styleId="29">
    <w:name w:val="last-child"/>
    <w:basedOn w:val="10"/>
    <w:qFormat/>
    <w:uiPriority w:val="0"/>
    <w:rPr>
      <w:color w:val="4389C6"/>
    </w:rPr>
  </w:style>
  <w:style w:type="paragraph" w:customStyle="1" w:styleId="30">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9889</Words>
  <Characters>10617</Characters>
  <Lines>69</Lines>
  <Paragraphs>19</Paragraphs>
  <TotalTime>44</TotalTime>
  <ScaleCrop>false</ScaleCrop>
  <LinksUpToDate>false</LinksUpToDate>
  <CharactersWithSpaces>10631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2022-09-05T00:53:00Z</cp:lastPrinted>
  <dcterms:modified xsi:type="dcterms:W3CDTF">2023-10-05T05:53:52Z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51D08688CE3F489E8129B6B465945599</vt:lpwstr>
  </property>
</Properties>
</file>