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960" w:firstLineChars="200"/>
        <w:jc w:val="center"/>
        <w:rPr>
          <w:rFonts w:hAnsi="黑体"/>
          <w:bCs/>
          <w:color w:val="auto"/>
          <w:sz w:val="48"/>
          <w:szCs w:val="48"/>
        </w:rPr>
      </w:pPr>
      <w:r>
        <w:rPr>
          <w:rFonts w:hint="eastAsia" w:hAnsi="黑体"/>
          <w:bCs/>
          <w:color w:val="auto"/>
          <w:sz w:val="48"/>
          <w:szCs w:val="48"/>
        </w:rPr>
        <w:t>2021年度怀化广播电视大学部门决算</w:t>
      </w:r>
    </w:p>
    <w:p>
      <w:pPr>
        <w:pStyle w:val="10"/>
        <w:spacing w:line="500" w:lineRule="exact"/>
        <w:jc w:val="center"/>
        <w:rPr>
          <w:b/>
          <w:color w:val="auto"/>
          <w:sz w:val="36"/>
          <w:szCs w:val="28"/>
        </w:rPr>
      </w:pPr>
    </w:p>
    <w:p>
      <w:pPr>
        <w:pStyle w:val="10"/>
        <w:spacing w:line="600" w:lineRule="exact"/>
        <w:ind w:firstLine="640" w:firstLineChars="200"/>
        <w:jc w:val="center"/>
        <w:rPr>
          <w:b/>
          <w:color w:val="auto"/>
          <w:sz w:val="36"/>
          <w:szCs w:val="28"/>
        </w:rPr>
      </w:pPr>
      <w:r>
        <w:rPr>
          <w:rFonts w:hint="eastAsia" w:ascii="Times New Roman" w:hAnsi="Times New Roman" w:cs="Times New Roman"/>
          <w:bCs/>
          <w:color w:val="auto"/>
          <w:sz w:val="32"/>
          <w:szCs w:val="32"/>
        </w:rPr>
        <w:t>目录</w:t>
      </w:r>
    </w:p>
    <w:p>
      <w:pPr>
        <w:pStyle w:val="10"/>
        <w:spacing w:line="600" w:lineRule="exact"/>
        <w:ind w:firstLine="640" w:firstLineChars="200"/>
        <w:rPr>
          <w:rFonts w:ascii="仿宋_GB2312" w:hAnsi="仿宋_GB2312" w:cs="仿宋_GB2312"/>
          <w:b/>
          <w:color w:val="auto"/>
          <w:sz w:val="28"/>
          <w:szCs w:val="28"/>
        </w:rPr>
      </w:pPr>
      <w:r>
        <w:rPr>
          <w:rFonts w:hint="eastAsia" w:ascii="Times New Roman" w:hAnsi="Times New Roman" w:cs="Times New Roman"/>
          <w:b/>
          <w:bCs/>
          <w:color w:val="auto"/>
          <w:sz w:val="32"/>
          <w:szCs w:val="32"/>
        </w:rPr>
        <w:t>第一部分部门概况</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一、部门职责</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二、机构设置</w:t>
      </w:r>
    </w:p>
    <w:p>
      <w:pPr>
        <w:pStyle w:val="10"/>
        <w:spacing w:line="600" w:lineRule="exact"/>
        <w:ind w:firstLine="640" w:firstLineChars="200"/>
        <w:rPr>
          <w:rFonts w:ascii="仿宋_GB2312" w:hAnsi="仿宋_GB2312" w:cs="仿宋_GB2312"/>
          <w:b/>
          <w:color w:val="auto"/>
          <w:sz w:val="28"/>
          <w:szCs w:val="28"/>
        </w:rPr>
      </w:pPr>
      <w:r>
        <w:rPr>
          <w:rFonts w:hint="eastAsia" w:ascii="Times New Roman" w:hAnsi="Times New Roman" w:cs="Times New Roman"/>
          <w:b/>
          <w:bCs/>
          <w:color w:val="auto"/>
          <w:sz w:val="32"/>
          <w:szCs w:val="32"/>
        </w:rPr>
        <w:t>第二部分</w:t>
      </w:r>
      <w:r>
        <w:rPr>
          <w:rFonts w:ascii="Times New Roman" w:hAnsi="Times New Roman" w:cs="Times New Roman"/>
          <w:b/>
          <w:bCs/>
          <w:color w:val="auto"/>
          <w:sz w:val="32"/>
          <w:szCs w:val="32"/>
        </w:rPr>
        <w:t>20</w:t>
      </w:r>
      <w:r>
        <w:rPr>
          <w:rFonts w:hint="eastAsia" w:ascii="Times New Roman" w:hAnsi="Times New Roman" w:cs="Times New Roman"/>
          <w:b/>
          <w:bCs/>
          <w:color w:val="auto"/>
          <w:sz w:val="32"/>
          <w:szCs w:val="32"/>
        </w:rPr>
        <w:t>21年度部门决算表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一、收入支出决算总表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二、收入决算表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三、支出决算表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四、财政拨款收入支出决算总表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五、一般公共预算财政拨款支出决算表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六、一般公共预算财政拨款基本支出决算</w:t>
      </w:r>
      <w:r>
        <w:rPr>
          <w:rFonts w:hint="eastAsia" w:ascii="仿宋" w:hAnsi="仿宋" w:eastAsia="仿宋" w:cs="仿宋_GB2312"/>
          <w:color w:val="auto"/>
          <w:sz w:val="32"/>
          <w:szCs w:val="32"/>
        </w:rPr>
        <w:t>明细</w:t>
      </w:r>
      <w:r>
        <w:rPr>
          <w:rFonts w:ascii="仿宋" w:hAnsi="仿宋" w:eastAsia="仿宋" w:cs="仿宋_GB2312"/>
          <w:color w:val="auto"/>
          <w:sz w:val="32"/>
          <w:szCs w:val="32"/>
        </w:rPr>
        <w:t>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七、一般公共预算财政拨款“三公”经费支出决算表</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八、政府性基金预算财政拨款收入支出决算表</w:t>
      </w:r>
    </w:p>
    <w:p>
      <w:pPr>
        <w:pStyle w:val="1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九、国有资本经营预算财政拨款支出决算表</w:t>
      </w:r>
    </w:p>
    <w:p>
      <w:pPr>
        <w:pStyle w:val="10"/>
        <w:spacing w:line="600" w:lineRule="exact"/>
        <w:ind w:firstLine="560" w:firstLineChars="200"/>
        <w:rPr>
          <w:rFonts w:ascii="仿宋_GB2312" w:hAnsi="仿宋_GB2312" w:cs="仿宋_GB2312"/>
          <w:b/>
          <w:color w:val="auto"/>
          <w:sz w:val="28"/>
          <w:szCs w:val="28"/>
        </w:rPr>
      </w:pPr>
      <w:r>
        <w:rPr>
          <w:rFonts w:hint="eastAsia" w:hAnsi="仿宋_GB2312"/>
          <w:b/>
          <w:color w:val="auto"/>
          <w:sz w:val="28"/>
          <w:szCs w:val="28"/>
        </w:rPr>
        <w:t>第三部分</w:t>
      </w:r>
      <w:r>
        <w:rPr>
          <w:rFonts w:hAnsi="仿宋_GB2312"/>
          <w:b/>
          <w:color w:val="auto"/>
          <w:sz w:val="28"/>
          <w:szCs w:val="28"/>
        </w:rPr>
        <w:t>20</w:t>
      </w:r>
      <w:r>
        <w:rPr>
          <w:rFonts w:hint="eastAsia" w:hAnsi="仿宋_GB2312"/>
          <w:b/>
          <w:color w:val="auto"/>
          <w:sz w:val="28"/>
          <w:szCs w:val="28"/>
        </w:rPr>
        <w:t>21年度部门决算情况说明</w:t>
      </w:r>
    </w:p>
    <w:p>
      <w:pPr>
        <w:pStyle w:val="1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一、收入支出决算总体情况说明</w:t>
      </w:r>
    </w:p>
    <w:p>
      <w:pPr>
        <w:spacing w:line="600" w:lineRule="exact"/>
        <w:ind w:firstLine="640" w:firstLineChars="200"/>
        <w:jc w:val="left"/>
        <w:rPr>
          <w:rFonts w:ascii="仿宋" w:hAnsi="仿宋" w:eastAsia="仿宋" w:cs="仿宋_GB2312"/>
          <w:color w:val="auto"/>
          <w:sz w:val="32"/>
          <w:szCs w:val="32"/>
        </w:rPr>
      </w:pPr>
      <w:r>
        <w:rPr>
          <w:rFonts w:ascii="仿宋" w:hAnsi="仿宋" w:eastAsia="仿宋" w:cs="仿宋_GB2312"/>
          <w:color w:val="auto"/>
          <w:sz w:val="32"/>
          <w:szCs w:val="32"/>
        </w:rPr>
        <w:t>二、收入决算情况说明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三、支出决算情况说明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四、财政拨款收入支出决算总体情况说明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五、一般公共预算财政拨款支出决算情况说明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六、一般公共预算财政拨款基本支出决算情况说明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ascii="仿宋" w:hAnsi="仿宋" w:eastAsia="仿宋" w:cs="仿宋_GB2312"/>
          <w:color w:val="auto"/>
          <w:kern w:val="0"/>
          <w:sz w:val="32"/>
          <w:szCs w:val="32"/>
        </w:rPr>
        <w:t>七、一般公共预算财政拨款</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三公</w:t>
      </w:r>
      <w:r>
        <w:rPr>
          <w:rFonts w:hint="eastAsia" w:ascii="仿宋" w:hAnsi="仿宋" w:eastAsia="仿宋" w:cs="仿宋_GB2312"/>
          <w:color w:val="auto"/>
          <w:kern w:val="0"/>
          <w:sz w:val="32"/>
          <w:szCs w:val="32"/>
        </w:rPr>
        <w:t>”</w:t>
      </w:r>
      <w:r>
        <w:rPr>
          <w:rFonts w:ascii="仿宋" w:hAnsi="仿宋" w:eastAsia="仿宋" w:cs="仿宋_GB2312"/>
          <w:color w:val="auto"/>
          <w:kern w:val="0"/>
          <w:sz w:val="32"/>
          <w:szCs w:val="32"/>
        </w:rPr>
        <w:t>经费支出决算情况说明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八</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rPr>
        <w:t>政府性基金预算收入支出决算情况</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九、国有资本经营预算财政拨款支出决算情况说明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十、关于机关运行经费支出说明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十一、一般性支出情况说明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十二、关于政府采购支出说明</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十三、关于国有资产占用情况说明</w:t>
      </w:r>
    </w:p>
    <w:p>
      <w:pPr>
        <w:autoSpaceDE w:val="0"/>
        <w:autoSpaceDN w:val="0"/>
        <w:adjustRightInd w:val="0"/>
        <w:spacing w:line="600" w:lineRule="exact"/>
        <w:ind w:firstLine="640" w:firstLineChars="200"/>
        <w:jc w:val="left"/>
        <w:rPr>
          <w:rFonts w:ascii="仿宋_GB2312" w:hAnsi="仿宋_GB2312" w:cs="仿宋_GB2312"/>
          <w:color w:val="auto"/>
          <w:sz w:val="28"/>
          <w:szCs w:val="28"/>
        </w:rPr>
      </w:pPr>
      <w:r>
        <w:rPr>
          <w:rFonts w:hint="eastAsia" w:ascii="仿宋" w:hAnsi="仿宋" w:eastAsia="仿宋" w:cs="仿宋_GB2312"/>
          <w:color w:val="auto"/>
          <w:kern w:val="0"/>
          <w:sz w:val="32"/>
          <w:szCs w:val="32"/>
        </w:rPr>
        <w:t>十四、关于2021年度预算绩效情况的说明</w:t>
      </w:r>
    </w:p>
    <w:p>
      <w:pPr>
        <w:autoSpaceDE w:val="0"/>
        <w:autoSpaceDN w:val="0"/>
        <w:adjustRightInd w:val="0"/>
        <w:spacing w:line="600" w:lineRule="exact"/>
        <w:ind w:firstLine="640" w:firstLineChars="200"/>
        <w:jc w:val="left"/>
        <w:rPr>
          <w:rFonts w:ascii="黑体" w:hAnsi="黑体" w:eastAsia="黑体" w:cs="黑体"/>
          <w:b/>
          <w:color w:val="auto"/>
          <w:kern w:val="0"/>
          <w:sz w:val="32"/>
          <w:szCs w:val="32"/>
        </w:rPr>
      </w:pPr>
      <w:r>
        <w:rPr>
          <w:rFonts w:ascii="黑体" w:hAnsi="黑体" w:eastAsia="黑体" w:cs="黑体"/>
          <w:b/>
          <w:color w:val="auto"/>
          <w:kern w:val="0"/>
          <w:sz w:val="32"/>
          <w:szCs w:val="32"/>
        </w:rPr>
        <w:t>第四部分名词解释</w:t>
      </w:r>
    </w:p>
    <w:p>
      <w:pPr>
        <w:autoSpaceDE w:val="0"/>
        <w:autoSpaceDN w:val="0"/>
        <w:adjustRightInd w:val="0"/>
        <w:spacing w:line="480" w:lineRule="exact"/>
        <w:ind w:firstLine="640" w:firstLineChars="200"/>
        <w:jc w:val="left"/>
        <w:rPr>
          <w:rFonts w:ascii="黑体" w:hAnsi="黑体" w:eastAsia="黑体" w:cs="仿宋_GB2312"/>
          <w:b/>
          <w:color w:val="auto"/>
          <w:kern w:val="0"/>
          <w:sz w:val="28"/>
          <w:szCs w:val="28"/>
        </w:rPr>
      </w:pPr>
      <w:r>
        <w:rPr>
          <w:rFonts w:hint="eastAsia" w:ascii="黑体" w:hAnsi="黑体" w:eastAsia="黑体" w:cs="黑体"/>
          <w:b/>
          <w:color w:val="auto"/>
          <w:kern w:val="0"/>
          <w:sz w:val="32"/>
          <w:szCs w:val="32"/>
        </w:rPr>
        <w:t>第五部分附件</w:t>
      </w:r>
    </w:p>
    <w:p>
      <w:pPr>
        <w:jc w:val="center"/>
        <w:rPr>
          <w:color w:val="auto"/>
          <w:sz w:val="72"/>
          <w:szCs w:val="72"/>
        </w:rPr>
      </w:pPr>
    </w:p>
    <w:p>
      <w:pPr>
        <w:jc w:val="center"/>
        <w:rPr>
          <w:color w:val="auto"/>
          <w:sz w:val="72"/>
          <w:szCs w:val="72"/>
        </w:rPr>
      </w:pPr>
    </w:p>
    <w:p>
      <w:pPr>
        <w:pStyle w:val="10"/>
        <w:ind w:firstLine="880" w:firstLineChars="200"/>
        <w:jc w:val="center"/>
        <w:rPr>
          <w:rFonts w:hAnsi="黑体"/>
          <w:b/>
          <w:color w:val="auto"/>
          <w:sz w:val="44"/>
          <w:szCs w:val="44"/>
        </w:rPr>
      </w:pPr>
      <w:r>
        <w:rPr>
          <w:rFonts w:hint="eastAsia" w:hAnsi="黑体"/>
          <w:b/>
          <w:color w:val="auto"/>
          <w:sz w:val="44"/>
          <w:szCs w:val="44"/>
        </w:rPr>
        <w:t>第一部分怀化广播电视大学单位概况</w:t>
      </w:r>
    </w:p>
    <w:p>
      <w:pPr>
        <w:pStyle w:val="11"/>
        <w:ind w:left="720" w:firstLine="0" w:firstLineChars="0"/>
        <w:jc w:val="left"/>
        <w:rPr>
          <w:rFonts w:ascii="黑体" w:hAnsi="黑体" w:eastAsia="黑体"/>
          <w:color w:val="auto"/>
          <w:sz w:val="32"/>
          <w:szCs w:val="32"/>
        </w:rPr>
      </w:pPr>
    </w:p>
    <w:p>
      <w:pPr>
        <w:spacing w:line="600" w:lineRule="exact"/>
        <w:ind w:firstLine="640" w:firstLineChars="200"/>
        <w:jc w:val="left"/>
        <w:rPr>
          <w:rFonts w:ascii="仿宋" w:hAnsi="仿宋" w:eastAsia="仿宋"/>
          <w:color w:val="auto"/>
          <w:sz w:val="32"/>
          <w:szCs w:val="32"/>
        </w:rPr>
      </w:pPr>
      <w:r>
        <w:rPr>
          <w:rFonts w:hint="eastAsia" w:ascii="黑体" w:hAnsi="黑体" w:eastAsia="黑体" w:cs="黑体"/>
          <w:bCs/>
          <w:color w:val="auto"/>
          <w:kern w:val="0"/>
          <w:sz w:val="32"/>
          <w:szCs w:val="32"/>
        </w:rPr>
        <w:t>一、</w:t>
      </w:r>
      <w:r>
        <w:rPr>
          <w:rFonts w:ascii="黑体" w:hAnsi="黑体" w:eastAsia="黑体" w:cs="黑体"/>
          <w:bCs/>
          <w:color w:val="auto"/>
          <w:kern w:val="0"/>
          <w:sz w:val="32"/>
          <w:szCs w:val="32"/>
        </w:rPr>
        <w:t>部门职责</w:t>
      </w:r>
    </w:p>
    <w:p>
      <w:pPr>
        <w:widowControl/>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一）学校是由市人民政府举办，以促进终身学习为使命、以现代教育技术为支撑、以“互联网+”为特征的新型高等学校。2021年12月正式更名为怀化开放大学，作为一所主要以职业人为培养对象的高等学校，致力于面向全体社会成员的全民终身教育和本专科学历教育，与国家开放大学办学平台、湖南开放大学办学平台实现对接，将现代信息技术与教育深度融合，强调优质教育资源的集聚、整合和共享。学校按所属行业归口为市教育局直属学校，在业务上接受湖南开放大学的指导</w:t>
      </w:r>
      <w:r>
        <w:rPr>
          <w:rFonts w:hint="eastAsia" w:ascii="仿宋" w:hAnsi="仿宋" w:eastAsia="仿宋" w:cs="Arial"/>
          <w:color w:val="auto"/>
          <w:sz w:val="32"/>
          <w:szCs w:val="32"/>
        </w:rPr>
        <w:t>，实行统筹规划、分级办学、分级管理，在12个县（市、区）设有工作站或教学点，形成了遍布全市城乡的开放教育网络。</w:t>
      </w:r>
      <w:r>
        <w:rPr>
          <w:rFonts w:hint="eastAsia" w:ascii="仿宋" w:hAnsi="仿宋" w:eastAsia="仿宋"/>
          <w:color w:val="auto"/>
          <w:sz w:val="32"/>
          <w:szCs w:val="32"/>
        </w:rPr>
        <w:t>开设经济学、法学、教育学、文学、理学、工学、农学、医学、管理学等学科40多个本、专科专业，在籍学生1万多人。</w:t>
      </w:r>
    </w:p>
    <w:p>
      <w:pPr>
        <w:widowControl/>
        <w:spacing w:line="600" w:lineRule="exact"/>
        <w:ind w:firstLine="640" w:firstLineChars="200"/>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二、机构设置及决算单位构成</w:t>
      </w:r>
    </w:p>
    <w:p>
      <w:pPr>
        <w:widowControl/>
        <w:spacing w:line="600" w:lineRule="exact"/>
        <w:ind w:firstLine="640" w:firstLineChars="200"/>
        <w:rPr>
          <w:rFonts w:ascii="仿宋" w:hAnsi="仿宋" w:eastAsia="仿宋" w:cs="Arial"/>
          <w:color w:val="auto"/>
          <w:kern w:val="0"/>
          <w:sz w:val="32"/>
          <w:szCs w:val="32"/>
        </w:rPr>
      </w:pPr>
      <w:r>
        <w:rPr>
          <w:rFonts w:hint="eastAsia" w:ascii="仿宋" w:hAnsi="仿宋" w:eastAsia="仿宋" w:cs="仿宋"/>
          <w:b/>
          <w:color w:val="auto"/>
          <w:kern w:val="0"/>
          <w:sz w:val="32"/>
          <w:szCs w:val="32"/>
        </w:rPr>
        <w:t>（一）内设机构设置。</w:t>
      </w:r>
      <w:r>
        <w:rPr>
          <w:rFonts w:hint="eastAsia" w:ascii="仿宋" w:hAnsi="仿宋" w:eastAsia="仿宋" w:cs="Arial"/>
          <w:color w:val="auto"/>
          <w:kern w:val="0"/>
          <w:sz w:val="32"/>
          <w:szCs w:val="32"/>
        </w:rPr>
        <w:t>怀化广播电视大学为一级部门预算单位，内设办公室、纪检监察室、教务科、教学与学生管理科、招生工作办公室、终身教育科、培训部、网络教育科、现代教育技术科和总务科10个科室。</w:t>
      </w:r>
    </w:p>
    <w:p>
      <w:pPr>
        <w:widowControl/>
        <w:spacing w:line="600" w:lineRule="exact"/>
        <w:ind w:firstLine="640" w:firstLineChars="200"/>
        <w:rPr>
          <w:rFonts w:ascii="仿宋" w:hAnsi="仿宋" w:eastAsia="仿宋"/>
          <w:bCs/>
          <w:color w:val="auto"/>
          <w:kern w:val="0"/>
          <w:sz w:val="32"/>
          <w:szCs w:val="32"/>
        </w:rPr>
      </w:pPr>
      <w:r>
        <w:rPr>
          <w:rFonts w:hint="eastAsia" w:ascii="仿宋" w:hAnsi="仿宋" w:eastAsia="仿宋" w:cs="仿宋"/>
          <w:b/>
          <w:color w:val="auto"/>
          <w:kern w:val="0"/>
          <w:sz w:val="32"/>
          <w:szCs w:val="32"/>
        </w:rPr>
        <w:t>（二）决算单位构成。</w:t>
      </w:r>
      <w:r>
        <w:rPr>
          <w:rFonts w:hint="eastAsia" w:ascii="仿宋" w:hAnsi="仿宋" w:eastAsia="仿宋"/>
          <w:bCs/>
          <w:color w:val="auto"/>
          <w:kern w:val="0"/>
          <w:sz w:val="32"/>
          <w:szCs w:val="32"/>
        </w:rPr>
        <w:t>学校财务由总务科统筹管理，统一核算，没有二级决算单位，因此，2021年部门决算汇总公开单位构成为怀化广播电视大学本级。</w:t>
      </w:r>
    </w:p>
    <w:p>
      <w:pPr>
        <w:spacing w:line="600" w:lineRule="exact"/>
        <w:ind w:firstLine="640" w:firstLineChars="200"/>
        <w:jc w:val="center"/>
        <w:rPr>
          <w:rFonts w:ascii="仿宋" w:hAnsi="仿宋" w:eastAsia="仿宋"/>
          <w:color w:val="auto"/>
          <w:sz w:val="32"/>
          <w:szCs w:val="32"/>
        </w:rPr>
      </w:pPr>
    </w:p>
    <w:p>
      <w:pPr>
        <w:spacing w:line="600" w:lineRule="exact"/>
        <w:ind w:firstLine="640" w:firstLineChars="200"/>
        <w:jc w:val="center"/>
        <w:rPr>
          <w:rFonts w:ascii="仿宋" w:hAnsi="仿宋" w:eastAsia="仿宋"/>
          <w:color w:val="auto"/>
          <w:sz w:val="32"/>
          <w:szCs w:val="32"/>
        </w:rPr>
      </w:pPr>
    </w:p>
    <w:p>
      <w:pPr>
        <w:pStyle w:val="10"/>
        <w:spacing w:line="600" w:lineRule="exact"/>
        <w:ind w:firstLine="880" w:firstLineChars="200"/>
        <w:jc w:val="center"/>
        <w:rPr>
          <w:rFonts w:hAnsi="Calibri"/>
          <w:color w:val="auto"/>
          <w:sz w:val="84"/>
          <w:szCs w:val="84"/>
        </w:rPr>
      </w:pPr>
      <w:r>
        <w:rPr>
          <w:rFonts w:hint="eastAsia" w:hAnsi="黑体"/>
          <w:b/>
          <w:bCs/>
          <w:color w:val="auto"/>
          <w:sz w:val="44"/>
          <w:szCs w:val="44"/>
        </w:rPr>
        <w:t>第二部分 部门决算表</w:t>
      </w:r>
    </w:p>
    <w:p>
      <w:pPr>
        <w:spacing w:line="600" w:lineRule="exact"/>
        <w:ind w:firstLine="640" w:firstLineChars="200"/>
        <w:jc w:val="center"/>
        <w:rPr>
          <w:rFonts w:hint="eastAsia" w:ascii="仿宋" w:hAnsi="仿宋" w:eastAsia="仿宋" w:cs="仿宋"/>
          <w:color w:val="auto"/>
          <w:sz w:val="32"/>
          <w:szCs w:val="32"/>
        </w:rPr>
      </w:pPr>
      <w:r>
        <w:rPr>
          <w:rFonts w:hint="eastAsia" w:ascii="仿宋" w:hAnsi="仿宋" w:eastAsia="仿宋" w:cs="仿宋"/>
          <w:color w:val="auto"/>
          <w:sz w:val="32"/>
          <w:szCs w:val="32"/>
        </w:rPr>
        <w:t>（详情见附件）</w:t>
      </w:r>
    </w:p>
    <w:p>
      <w:pPr>
        <w:spacing w:line="600" w:lineRule="exact"/>
        <w:ind w:firstLine="2880" w:firstLineChars="900"/>
        <w:rPr>
          <w:rFonts w:hint="eastAsia" w:ascii="仿宋" w:hAnsi="仿宋" w:eastAsia="仿宋" w:cs="仿宋"/>
          <w:color w:val="auto"/>
          <w:sz w:val="32"/>
          <w:szCs w:val="32"/>
        </w:rPr>
      </w:pPr>
    </w:p>
    <w:p>
      <w:pPr>
        <w:spacing w:line="600" w:lineRule="exact"/>
        <w:ind w:firstLine="2880" w:firstLineChars="900"/>
        <w:rPr>
          <w:rFonts w:hint="eastAsia" w:ascii="仿宋" w:hAnsi="仿宋" w:eastAsia="仿宋" w:cs="仿宋"/>
          <w:color w:val="auto"/>
          <w:sz w:val="32"/>
          <w:szCs w:val="32"/>
        </w:rPr>
      </w:pPr>
    </w:p>
    <w:p>
      <w:pPr>
        <w:pStyle w:val="10"/>
        <w:spacing w:line="600" w:lineRule="exact"/>
        <w:ind w:firstLine="880" w:firstLineChars="200"/>
        <w:jc w:val="center"/>
        <w:rPr>
          <w:rFonts w:hint="eastAsia" w:hAnsi="黑体"/>
          <w:b/>
          <w:color w:val="auto"/>
          <w:sz w:val="44"/>
          <w:szCs w:val="44"/>
        </w:rPr>
      </w:pPr>
      <w:r>
        <w:rPr>
          <w:rFonts w:hint="eastAsia" w:hAnsi="黑体"/>
          <w:b/>
          <w:color w:val="auto"/>
          <w:sz w:val="44"/>
          <w:szCs w:val="44"/>
        </w:rPr>
        <w:t>第三部分 2021年度部门决算情况说明</w:t>
      </w:r>
    </w:p>
    <w:p>
      <w:pPr>
        <w:pStyle w:val="10"/>
        <w:spacing w:line="600" w:lineRule="exact"/>
        <w:ind w:firstLine="640" w:firstLineChars="200"/>
        <w:jc w:val="center"/>
        <w:rPr>
          <w:rFonts w:ascii="仿宋" w:hAnsi="仿宋" w:eastAsia="仿宋"/>
          <w:color w:val="auto"/>
          <w:sz w:val="32"/>
          <w:szCs w:val="32"/>
        </w:rPr>
      </w:pPr>
    </w:p>
    <w:p>
      <w:pPr>
        <w:widowControl/>
        <w:spacing w:line="600" w:lineRule="exact"/>
        <w:ind w:firstLine="640" w:firstLineChars="200"/>
        <w:jc w:val="left"/>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一、收入支出决算总体情况说明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2021年度总收入（含年初结转结余247.60万元）2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492.2万元，总支出（含年末结转结余61.45万元）2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492.2万元。与上年相比，减少520.41万元，减少17.27%，主要是因为招生规模缩小，学费收入减少，同时，财政拨款项目资金减少。</w:t>
      </w:r>
    </w:p>
    <w:p>
      <w:pPr>
        <w:pStyle w:val="10"/>
        <w:spacing w:line="600" w:lineRule="exact"/>
        <w:ind w:firstLine="640" w:firstLineChars="200"/>
        <w:rPr>
          <w:rFonts w:hAnsi="黑体" w:cs="Times New Roman"/>
          <w:color w:val="auto"/>
          <w:sz w:val="32"/>
          <w:szCs w:val="32"/>
        </w:rPr>
      </w:pPr>
      <w:r>
        <w:rPr>
          <w:rFonts w:hint="eastAsia" w:hAnsi="黑体" w:cs="Times New Roman"/>
          <w:color w:val="auto"/>
          <w:sz w:val="32"/>
          <w:szCs w:val="32"/>
        </w:rPr>
        <w:t>二、收入决算情况说明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2021年度收入2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244.6万元（不含年初结转结余），其中：财政拨款收入871.29万元，占38.82%；上级补助收入0万元，占0%；事业收入1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373.31万元，占61.18%；经营收入0万元，占0%；附属单位上缴收入0万元，占0%；其他收入0万元，占0%。</w:t>
      </w:r>
    </w:p>
    <w:p>
      <w:pPr>
        <w:pStyle w:val="10"/>
        <w:spacing w:line="600" w:lineRule="exact"/>
        <w:ind w:firstLine="640" w:firstLineChars="200"/>
        <w:rPr>
          <w:rFonts w:hAnsi="黑体" w:cs="Times New Roman"/>
          <w:color w:val="auto"/>
          <w:sz w:val="32"/>
          <w:szCs w:val="32"/>
        </w:rPr>
      </w:pPr>
      <w:r>
        <w:rPr>
          <w:rFonts w:hint="eastAsia" w:hAnsi="黑体" w:cs="Times New Roman"/>
          <w:color w:val="auto"/>
          <w:sz w:val="32"/>
          <w:szCs w:val="32"/>
        </w:rPr>
        <w:t>三、支出决算情况说明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2021年度支出（不含年末结转结余）2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430.75万元，其中：基本支出1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374.64万元，占56.55%；项目支出274.54万元，占11.29%；上缴上级支出781.57万元，占32.16%；经营支出0万元，占0%；对附属单位补助支出0万元，占0%。</w:t>
      </w:r>
    </w:p>
    <w:p>
      <w:pPr>
        <w:pStyle w:val="10"/>
        <w:spacing w:line="600" w:lineRule="exact"/>
        <w:ind w:firstLine="640" w:firstLineChars="200"/>
        <w:rPr>
          <w:rFonts w:hAnsi="黑体" w:cs="Times New Roman"/>
          <w:color w:val="auto"/>
          <w:sz w:val="32"/>
          <w:szCs w:val="32"/>
        </w:rPr>
      </w:pPr>
      <w:r>
        <w:rPr>
          <w:rFonts w:hint="eastAsia" w:hAnsi="黑体" w:cs="Times New Roman"/>
          <w:color w:val="auto"/>
          <w:sz w:val="32"/>
          <w:szCs w:val="32"/>
        </w:rPr>
        <w:t>四、财政拨款收入支出决算总体情况说明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2021年度财政拨款收入（含上年结转结余）1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118.89万元，支出（含年末结转结余）1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118.89万元，支出与上年相比，增加48.18万元,增长4.5%。增长原因是2020年结转财政拨付学校宿舍改造工程项目资金200万元在本年列支，但本年财政拨款实际比上年减少。</w:t>
      </w:r>
    </w:p>
    <w:p>
      <w:pPr>
        <w:pStyle w:val="10"/>
        <w:spacing w:line="600" w:lineRule="exact"/>
        <w:ind w:firstLine="640" w:firstLineChars="200"/>
        <w:rPr>
          <w:rFonts w:hAnsi="黑体" w:cs="Times New Roman"/>
          <w:color w:val="auto"/>
          <w:sz w:val="32"/>
          <w:szCs w:val="32"/>
        </w:rPr>
      </w:pPr>
      <w:r>
        <w:rPr>
          <w:rFonts w:hint="eastAsia" w:hAnsi="黑体" w:cs="Times New Roman"/>
          <w:color w:val="auto"/>
          <w:sz w:val="32"/>
          <w:szCs w:val="32"/>
        </w:rPr>
        <w:t>五、一般公共预算财政拨款支出决算情况说明</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（一）财政拨款支出决算总体情况</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2021年度财政拨款支出（不含年末结转结余）1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057.44万元，占本年支出合计的43.5%，与上年相比，财政拨款支出减少234.33万元，减少28.47%，主要是因为人员经费拨款和项目资金拨款减少。</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（二）财政拨款支出决算结构情况</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2021年度财政拨款支出（不含年末结转结余）1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057.44万元，主要用于以下方面：一般公共服务（类）支出28.9万元，占2.73%；教育（类）支出852.49万元，占80.62%;社会保障和就业（类）支出142.54万元，占比13.48%；卫生健康（类）支出33.5万元，占比3.17%。</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（三）财政拨款支出决算具体情况</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2021年度财政拨款支出年初预算数为501.85万元，支出决算数为1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057.44万元，完成年初预算的210.71%，其中：</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1．一般公共服务支出（类）组织事务（款）其他组织事务支出（项）：年初预算为0万元，支出决算为18.4万元，决算数大于年初预算数的主要原因是：追加人才引进生活补贴拨款。</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2．一般公共服务支出（类）其他一般公共服务支出（款）其他一般公共服务支出（项）：年初预算为0万元，支出决算为10.5万元，决算数大于年初预算数的主要原因是：追加疫情期间引进人才购房补贴拨款。</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3．教育支出（类）成人教育（款）成人广播电视教育（项）：年初预算为0万元，支出决算为2.71万元，决算数大于年初预算数的主要原因是：财政追加市直教师体检经费。</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4．教育支出（类）广播电视教育（款）广播电视学校（项）：年初预算为500.19万元，支出决算为522.97万元，完成年初预算的104.55%，决算数大于年初预算数的主要原因是：本年人员经费拨款增加。</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5．教育支出（类）广播电视教育（款）其他广播电视教育支出（项）：</w:t>
      </w:r>
      <w:r>
        <w:rPr>
          <w:rFonts w:hint="eastAsia" w:ascii="仿宋" w:hAnsi="仿宋" w:eastAsia="仿宋"/>
          <w:color w:val="auto"/>
          <w:sz w:val="32"/>
          <w:szCs w:val="32"/>
        </w:rPr>
        <w:t>年初预算为1.66万元，支出决算为6.66万元，完成年初预算的401.2%，决算数大于年初预算数的原因为市财政局临时性追加学校维修改造经费5万元。</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6．教育支出（类）其他教育支出（款）其他教育支出（项）：年初预算为0万元，支出决算为320.15万元，决算数大于年初预算数的主要原因是：追加开放大学建设经费100万元，开办老年教育实体班经费2万元，比赛活动经费2万元，学生宿舍改造项目经费30万元；同时，根据财政要求调整决算收入项目186.15万元。</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7．社会保障和就业（类）行政事业单位养老支出（款）机关事业单位基本养老保险缴费支出（项）：年初预算为0万元，支出决算为55.78万元，决算数大于年初预算数的原因是追加在职人员养老保险单位部分拨款。</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8．社会保障和就业（类）就业补助（款）其他就业补助支出（项）：年初预算为0万元，支出决算为86.76万元，决算数大于年初预算数的原因是追加下达省补助农民大学生学费补助资金86.76万元。</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9．卫生健康支出（类）行政事业单位医疗（款）其他行政事业单位医疗支出（项）：年初预算为0万元，支出决算为33.5万元，决算数大于年初预算数的原因是：追加在职人员医疗保险单位部分拨款。</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六、一般公共预算财政拨款基本支出决算情况说明</w:t>
      </w:r>
    </w:p>
    <w:p>
      <w:pPr>
        <w:pStyle w:val="10"/>
        <w:spacing w:line="600" w:lineRule="exact"/>
        <w:ind w:firstLine="640" w:firstLineChars="200"/>
        <w:rPr>
          <w:rFonts w:ascii="仿宋" w:hAnsi="仿宋" w:eastAsia="仿宋"/>
          <w:i/>
          <w:color w:val="auto"/>
          <w:sz w:val="32"/>
          <w:szCs w:val="32"/>
        </w:rPr>
      </w:pPr>
      <w:r>
        <w:rPr>
          <w:rFonts w:hint="eastAsia" w:ascii="仿宋" w:hAnsi="仿宋" w:eastAsia="仿宋"/>
          <w:color w:val="auto"/>
          <w:sz w:val="32"/>
          <w:szCs w:val="32"/>
        </w:rPr>
        <w:t>2021年度财政拨款基本支出787.44万元，其中：人员经费581.07万元，占基本支出的73.79%,主要包括基本工资、津贴补贴、绩效工资、机关事业单位基本养老保险缴费、职工基本医疗保险缴费、其他工资福利支出、抚恤金、生活补助。公用经费206.37万元，占基本支出的26.21%，主要包括办公费、水费、电费、邮电费、差旅费、维修（护）费、工会经费、福利费、其他交通费用、其他商品和服务支出、办公设备购置、专用设备购置。</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七、一般公共预算财政拨款“三公”经费支出决算情况说明</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（一）“三公”经费财政拨款支出决算总体情况说明：</w:t>
      </w:r>
      <w:r>
        <w:rPr>
          <w:rFonts w:ascii="仿宋" w:hAnsi="仿宋" w:eastAsia="仿宋"/>
          <w:b/>
          <w:color w:val="auto"/>
          <w:sz w:val="32"/>
          <w:szCs w:val="32"/>
        </w:rPr>
        <w:t xml:space="preserve"> </w:t>
      </w:r>
    </w:p>
    <w:p>
      <w:pPr>
        <w:pStyle w:val="1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我校为财政经费包干单位，“三公”经费财政拨款支出预算为0万元，支出决算为0万元，其中：</w:t>
      </w:r>
    </w:p>
    <w:p>
      <w:pPr>
        <w:pStyle w:val="5"/>
        <w:widowControl/>
        <w:spacing w:before="30" w:beforeAutospacing="0" w:after="30" w:afterAutospacing="0"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1、因公出国（境）费支出预算为0万元，支出决算为0万元，决算数与年初预算数持平，主要原因按预算执行，与上年数持平，主要原因本年度未安排因公出国（境）。</w:t>
      </w:r>
    </w:p>
    <w:p>
      <w:pPr>
        <w:pStyle w:val="5"/>
        <w:widowControl/>
        <w:spacing w:before="30" w:beforeAutospacing="0" w:after="30" w:afterAutospacing="0" w:line="600" w:lineRule="exact"/>
        <w:ind w:firstLine="640" w:firstLineChars="200"/>
        <w:rPr>
          <w:rFonts w:hint="eastAsia" w:ascii="仿宋" w:hAnsi="仿宋" w:eastAsia="仿宋" w:cs="黑体"/>
          <w:color w:val="auto"/>
          <w:sz w:val="32"/>
          <w:szCs w:val="32"/>
        </w:rPr>
      </w:pPr>
      <w:r>
        <w:rPr>
          <w:rFonts w:hint="eastAsia" w:ascii="仿宋" w:hAnsi="仿宋" w:eastAsia="仿宋" w:cs="仿宋"/>
          <w:color w:val="auto"/>
          <w:sz w:val="32"/>
          <w:szCs w:val="32"/>
        </w:rPr>
        <w:t>2、公务接待费支出预算0万元，支出决算为3.27万元，完成预算的100%，，决算数大于年初预算数的主要原因是</w:t>
      </w:r>
      <w:r>
        <w:rPr>
          <w:rFonts w:hint="eastAsia" w:ascii="仿宋" w:hAnsi="仿宋" w:eastAsia="仿宋" w:cs="黑体"/>
          <w:color w:val="auto"/>
          <w:sz w:val="32"/>
          <w:szCs w:val="32"/>
        </w:rPr>
        <w:t>2021年财政未通过我校上报的公务接待费用预算。</w:t>
      </w:r>
    </w:p>
    <w:p>
      <w:pPr>
        <w:pStyle w:val="5"/>
        <w:widowControl/>
        <w:spacing w:before="30" w:beforeAutospacing="0" w:after="30" w:afterAutospacing="0"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3、公务用车购置费及运行维护费支出预算为0万元，支出决算为0万元，与上年持平，主要是</w:t>
      </w:r>
      <w:r>
        <w:rPr>
          <w:rFonts w:hint="eastAsia" w:ascii="仿宋" w:hAnsi="仿宋" w:eastAsia="仿宋" w:cs="黑体"/>
          <w:color w:val="auto"/>
          <w:sz w:val="32"/>
          <w:szCs w:val="32"/>
        </w:rPr>
        <w:t>公务用车已坏不能使用，无公务用车运行维护费。</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（二）“三公”经费财政拨款支出决算具体情况说明：</w:t>
      </w:r>
      <w:r>
        <w:rPr>
          <w:rFonts w:ascii="仿宋" w:hAnsi="仿宋" w:eastAsia="仿宋"/>
          <w:b/>
          <w:color w:val="auto"/>
          <w:sz w:val="32"/>
          <w:szCs w:val="32"/>
        </w:rPr>
        <w:t xml:space="preserve"> </w:t>
      </w:r>
    </w:p>
    <w:p>
      <w:pPr>
        <w:pStyle w:val="1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2021年度“三公”经费财政拨款支出决算中，公务接待费支出决算3.27万元，占100%,因公出国（境）费支出决算0万元，占0%,公务用车购置费及运行维护费支出决算0万元，占0%。其中：</w:t>
      </w:r>
    </w:p>
    <w:p>
      <w:pPr>
        <w:pStyle w:val="5"/>
        <w:widowControl/>
        <w:shd w:val="clear" w:color="auto" w:fill="FFFFFF"/>
        <w:spacing w:before="30" w:beforeAutospacing="0" w:after="30" w:afterAutospacing="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1、因公出国（境）费支出决算为0万元，全年安排因公出国（境）团组0个，累计0人次。</w:t>
      </w:r>
    </w:p>
    <w:p>
      <w:pPr>
        <w:pStyle w:val="5"/>
        <w:widowControl/>
        <w:shd w:val="clear" w:color="auto" w:fill="FFFFFF"/>
        <w:spacing w:before="30" w:beforeAutospacing="0" w:after="30" w:afterAutospacing="0" w:line="600" w:lineRule="exact"/>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2、公务接待费支出决算为3.27万元，</w:t>
      </w:r>
      <w:r>
        <w:rPr>
          <w:rFonts w:hint="eastAsia" w:ascii="仿宋" w:hAnsi="仿宋" w:eastAsia="仿宋"/>
          <w:color w:val="auto"/>
          <w:sz w:val="32"/>
          <w:szCs w:val="32"/>
        </w:rPr>
        <w:t>全年共接待</w:t>
      </w:r>
      <w:r>
        <w:rPr>
          <w:rFonts w:hint="eastAsia" w:ascii="仿宋" w:hAnsi="仿宋" w:eastAsia="仿宋" w:cs="黑体"/>
          <w:color w:val="auto"/>
          <w:sz w:val="32"/>
          <w:szCs w:val="32"/>
        </w:rPr>
        <w:t>来访团组58个、来宾294人次</w:t>
      </w:r>
      <w:r>
        <w:rPr>
          <w:rFonts w:hint="eastAsia" w:ascii="仿宋" w:hAnsi="仿宋" w:eastAsia="仿宋"/>
          <w:color w:val="auto"/>
          <w:sz w:val="32"/>
          <w:szCs w:val="32"/>
        </w:rPr>
        <w:t>，主要是省校、兄弟学校来校考察、调研等，教学点来校参加教学教务会议和活动等发生的接待支出</w:t>
      </w:r>
      <w:r>
        <w:rPr>
          <w:rFonts w:hint="eastAsia" w:ascii="仿宋" w:hAnsi="仿宋" w:eastAsia="仿宋" w:cs="仿宋"/>
          <w:color w:val="auto"/>
          <w:sz w:val="32"/>
          <w:szCs w:val="32"/>
          <w:shd w:val="clear" w:color="auto" w:fill="FFFFFF"/>
        </w:rPr>
        <w:t>。</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s="仿宋"/>
          <w:color w:val="auto"/>
          <w:sz w:val="32"/>
          <w:szCs w:val="32"/>
          <w:shd w:val="clear" w:color="auto" w:fill="FFFFFF"/>
        </w:rPr>
        <w:t>3、公务用车购置费及运行维护费支出决算为0万元，其中：公务用车购置费0万元，更新公务用车0辆。公务用车运行维护费0万元，截止2021年12月31日，</w:t>
      </w:r>
      <w:r>
        <w:rPr>
          <w:rFonts w:hint="eastAsia" w:ascii="仿宋" w:hAnsi="仿宋" w:eastAsia="仿宋"/>
          <w:color w:val="auto"/>
          <w:sz w:val="32"/>
          <w:szCs w:val="32"/>
        </w:rPr>
        <w:t>我单位开支财政拨款的公务用车保有量为1辆，公务用车已坏不能使用，无公务用车运行维护费。</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八、政府性基金预算收入支出决算情况</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2021年度本单位无政府性基金收支。</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九、国有资本经营预算财政拨款支出决算情况说明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本单位无国有资本经营预算财政拨款支出。</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十、机关运行经费支出说明</w:t>
      </w:r>
    </w:p>
    <w:p>
      <w:pPr>
        <w:spacing w:line="600" w:lineRule="exact"/>
        <w:ind w:firstLine="640" w:firstLineChars="200"/>
        <w:rPr>
          <w:rFonts w:ascii="仿宋" w:hAnsi="仿宋" w:eastAsia="仿宋" w:cs="黑体"/>
          <w:color w:val="auto"/>
          <w:kern w:val="0"/>
          <w:sz w:val="32"/>
          <w:szCs w:val="32"/>
        </w:rPr>
      </w:pPr>
      <w:r>
        <w:rPr>
          <w:rFonts w:hint="eastAsia" w:ascii="仿宋" w:hAnsi="仿宋" w:eastAsia="仿宋" w:cs="仿宋"/>
          <w:color w:val="auto"/>
          <w:kern w:val="0"/>
          <w:sz w:val="32"/>
          <w:szCs w:val="32"/>
        </w:rPr>
        <w:t>本部门2021年度机关运行经费支出</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万元，比年初预算数持平，主要原因是</w:t>
      </w:r>
      <w:r>
        <w:rPr>
          <w:rFonts w:hint="eastAsia" w:ascii="仿宋" w:hAnsi="仿宋" w:eastAsia="仿宋" w:cs="黑体"/>
          <w:color w:val="auto"/>
          <w:kern w:val="0"/>
          <w:sz w:val="32"/>
          <w:szCs w:val="32"/>
        </w:rPr>
        <w:t>我校为公益二类事业单位，财政经费实行包干制</w:t>
      </w:r>
      <w:r>
        <w:rPr>
          <w:rFonts w:hint="eastAsia" w:ascii="仿宋" w:hAnsi="仿宋" w:eastAsia="仿宋" w:cs="仿宋"/>
          <w:color w:val="auto"/>
          <w:kern w:val="0"/>
          <w:sz w:val="32"/>
          <w:szCs w:val="32"/>
        </w:rPr>
        <w:t>。</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十一、一般性支出情况说明</w:t>
      </w:r>
    </w:p>
    <w:p>
      <w:pPr>
        <w:pStyle w:val="1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1、2021年本部门开支会议费2.14万元，用于召开期末考试、招生工作、系统建设、教学工作等会议，人数345人，内容为期末考试工作、招生工作、系统建设、教学工作等相关工作安排。</w:t>
      </w:r>
    </w:p>
    <w:p>
      <w:pPr>
        <w:pStyle w:val="10"/>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开支培训费33.26万元，主要为承接外单位培训，培训人员54635人。其中：承接湖南开放大学专技网、事业单位工作人员培训项目平台推广等2.85万元，内容为推广专技网平台；承接国家开放大学“长征带”培训学员住宿及教室租金1.19万元；承接市委组织部、市教育局、市直机关工委等举办的各项培训，开支25.72万元；本校教职工参加2020-2021年专技网培训开支等56人次，共开支3.5万元。</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3、2021年本部门未举办节庆、晚会、论坛、赛事。</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十二、政府采购支出说明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部门2021年度政府采购支出总额339.59万元，其中：政府采购货物支出65.05万元、政府采购工程支出274.54万元、政府采购服务支出0万元。授予中小企业合同金额339.59万元，占政府采购支出总额的100%，其中：授予小微企业合同金额0万元，占授予中小企业合同金额的0%；货物采购授予中小企业合同金额占货物支出金额的100%，工程采购授予中小企业合同金额占工程支出金额的100%，服务采购授予中小企业合同金额占服务支出金额的0%。</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十三、国有资产占用情况说明</w:t>
      </w:r>
    </w:p>
    <w:p>
      <w:pPr>
        <w:pStyle w:val="1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截至2021年12月31日，部门（单位）共有车辆1辆，其中，主要领导干部用车0辆，机要通信用车0辆、应急保障用车0辆、执法执勤用车0辆、特种专业技术用车0辆、其他用车1辆，其他用车主要是一般公务用车1辆；单位价值50万元以上通用设备0台（套）；单位价值100万元以上专用设备0台（套）。</w:t>
      </w:r>
    </w:p>
    <w:p>
      <w:pPr>
        <w:pStyle w:val="10"/>
        <w:spacing w:line="600" w:lineRule="exact"/>
        <w:ind w:firstLine="640" w:firstLineChars="200"/>
        <w:rPr>
          <w:rFonts w:ascii="仿宋" w:hAnsi="仿宋" w:eastAsia="仿宋"/>
          <w:b/>
          <w:color w:val="auto"/>
          <w:sz w:val="32"/>
          <w:szCs w:val="32"/>
        </w:rPr>
      </w:pPr>
      <w:r>
        <w:rPr>
          <w:rFonts w:hint="eastAsia" w:ascii="仿宋" w:hAnsi="仿宋" w:eastAsia="仿宋"/>
          <w:b/>
          <w:color w:val="auto"/>
          <w:sz w:val="32"/>
          <w:szCs w:val="32"/>
        </w:rPr>
        <w:t>十四、2021年度预算绩效情况说明</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b/>
          <w:color w:val="auto"/>
          <w:kern w:val="0"/>
          <w:sz w:val="32"/>
          <w:szCs w:val="32"/>
        </w:rPr>
        <w:t>（一）绩效管理评价工作开展情况</w:t>
      </w:r>
      <w:r>
        <w:rPr>
          <w:rFonts w:hint="eastAsia" w:ascii="仿宋" w:hAnsi="仿宋" w:eastAsia="仿宋" w:cs="黑体"/>
          <w:color w:val="auto"/>
          <w:kern w:val="0"/>
          <w:sz w:val="32"/>
          <w:szCs w:val="32"/>
        </w:rPr>
        <w:t>。</w:t>
      </w:r>
    </w:p>
    <w:p>
      <w:pPr>
        <w:autoSpaceDE w:val="0"/>
        <w:autoSpaceDN w:val="0"/>
        <w:adjustRightInd w:val="0"/>
        <w:spacing w:line="600" w:lineRule="exact"/>
        <w:ind w:firstLine="640" w:firstLineChars="200"/>
        <w:jc w:val="left"/>
        <w:rPr>
          <w:rFonts w:hint="eastAsia" w:ascii="仿宋" w:hAnsi="仿宋" w:eastAsia="仿宋" w:cs="黑体"/>
          <w:color w:val="auto"/>
          <w:kern w:val="0"/>
          <w:sz w:val="32"/>
          <w:szCs w:val="32"/>
          <w:lang w:eastAsia="zh-CN"/>
        </w:rPr>
      </w:pPr>
      <w:r>
        <w:rPr>
          <w:rFonts w:hint="eastAsia" w:ascii="仿宋" w:hAnsi="仿宋" w:eastAsia="仿宋" w:cs="黑体"/>
          <w:color w:val="auto"/>
          <w:kern w:val="0"/>
          <w:sz w:val="32"/>
          <w:szCs w:val="32"/>
        </w:rPr>
        <w:t>根据预算绩效管理要求，我校组织对2021年度一般公共预算项目支出全面开展绩效自评，其中，一级项目1个，二级项目0个，共涉及资金274.54万元，占一般公共预算项目支出总额的11.29%。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r>
        <w:rPr>
          <w:rFonts w:hint="eastAsia" w:ascii="仿宋" w:hAnsi="仿宋" w:eastAsia="仿宋" w:cs="黑体"/>
          <w:color w:val="auto"/>
          <w:kern w:val="0"/>
          <w:sz w:val="32"/>
          <w:szCs w:val="32"/>
          <w:lang w:eastAsia="zh-CN"/>
        </w:rPr>
        <w:t>本单</w:t>
      </w:r>
      <w:r>
        <w:rPr>
          <w:rFonts w:hint="eastAsia" w:ascii="仿宋" w:hAnsi="仿宋" w:eastAsia="仿宋" w:cs="黑体"/>
          <w:color w:val="auto"/>
          <w:kern w:val="0"/>
          <w:sz w:val="32"/>
          <w:szCs w:val="32"/>
        </w:rPr>
        <w:t>位本年度无重点支出项目</w:t>
      </w:r>
      <w:r>
        <w:rPr>
          <w:rFonts w:hint="eastAsia" w:ascii="仿宋" w:hAnsi="仿宋" w:eastAsia="仿宋" w:cs="黑体"/>
          <w:color w:val="auto"/>
          <w:kern w:val="0"/>
          <w:sz w:val="32"/>
          <w:szCs w:val="32"/>
          <w:lang w:eastAsia="zh-CN"/>
        </w:rPr>
        <w:t>。</w:t>
      </w:r>
      <w:bookmarkStart w:id="0" w:name="_GoBack"/>
      <w:bookmarkEnd w:id="0"/>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组织对1个项目开展了部门评价，涉及一般公共预算支出11.29万元，政府性基金预算支出0万元，国有资本经营预算支出0万元。</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组织对怀化广播电视大学开展整体支出绩效评价，涉及一般公共预算支出2</w:t>
      </w:r>
      <w:r>
        <w:rPr>
          <w:rFonts w:hint="eastAsia" w:ascii="仿宋" w:hAnsi="仿宋" w:eastAsia="仿宋" w:cs="黑体"/>
          <w:color w:val="auto"/>
          <w:kern w:val="0"/>
          <w:sz w:val="32"/>
          <w:szCs w:val="32"/>
          <w:lang w:val="en-US" w:eastAsia="zh-CN"/>
        </w:rPr>
        <w:t>,</w:t>
      </w:r>
      <w:r>
        <w:rPr>
          <w:rFonts w:hint="eastAsia" w:ascii="仿宋" w:hAnsi="仿宋" w:eastAsia="仿宋" w:cs="黑体"/>
          <w:color w:val="auto"/>
          <w:kern w:val="0"/>
          <w:sz w:val="32"/>
          <w:szCs w:val="32"/>
        </w:rPr>
        <w:t>430.75万元，政府性基金预算支出0万元。从评价情况来看，预算资金覆盖学校正常运转的需要，分配办法科学，考虑的因素合理，分配的结果合理，能保证人员经费支出和单位全年工作任务的完成。</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2021年部门整体支出24</w:t>
      </w:r>
      <w:r>
        <w:rPr>
          <w:rFonts w:hint="eastAsia" w:ascii="仿宋" w:hAnsi="仿宋" w:eastAsia="仿宋" w:cs="黑体"/>
          <w:color w:val="auto"/>
          <w:kern w:val="0"/>
          <w:sz w:val="32"/>
          <w:szCs w:val="32"/>
          <w:lang w:val="en-US" w:eastAsia="zh-CN"/>
        </w:rPr>
        <w:t>,</w:t>
      </w:r>
      <w:r>
        <w:rPr>
          <w:rFonts w:hint="eastAsia" w:ascii="仿宋" w:hAnsi="仿宋" w:eastAsia="仿宋" w:cs="黑体"/>
          <w:color w:val="auto"/>
          <w:kern w:val="0"/>
          <w:sz w:val="32"/>
          <w:szCs w:val="32"/>
        </w:rPr>
        <w:t>30.75万元。主要用于学校的正常运转、教学教研及后勤服务等方面开支的费用，其中：基本支出1</w:t>
      </w:r>
      <w:r>
        <w:rPr>
          <w:rFonts w:hint="eastAsia" w:ascii="仿宋" w:hAnsi="仿宋" w:eastAsia="仿宋" w:cs="黑体"/>
          <w:color w:val="auto"/>
          <w:kern w:val="0"/>
          <w:sz w:val="32"/>
          <w:szCs w:val="32"/>
          <w:lang w:val="en-US" w:eastAsia="zh-CN"/>
        </w:rPr>
        <w:t>,</w:t>
      </w:r>
      <w:r>
        <w:rPr>
          <w:rFonts w:hint="eastAsia" w:ascii="仿宋" w:hAnsi="仿宋" w:eastAsia="仿宋" w:cs="黑体"/>
          <w:color w:val="auto"/>
          <w:kern w:val="0"/>
          <w:sz w:val="32"/>
          <w:szCs w:val="32"/>
        </w:rPr>
        <w:t>374.64万元，项目支出274.54万元，上缴上级支出781.57万元。</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2021年基本支出1</w:t>
      </w:r>
      <w:r>
        <w:rPr>
          <w:rFonts w:hint="eastAsia" w:ascii="仿宋" w:hAnsi="仿宋" w:eastAsia="仿宋" w:cs="黑体"/>
          <w:color w:val="auto"/>
          <w:kern w:val="0"/>
          <w:sz w:val="32"/>
          <w:szCs w:val="32"/>
          <w:lang w:val="en-US" w:eastAsia="zh-CN"/>
        </w:rPr>
        <w:t>,</w:t>
      </w:r>
      <w:r>
        <w:rPr>
          <w:rFonts w:hint="eastAsia" w:ascii="仿宋" w:hAnsi="仿宋" w:eastAsia="仿宋" w:cs="黑体"/>
          <w:color w:val="auto"/>
          <w:kern w:val="0"/>
          <w:sz w:val="32"/>
          <w:szCs w:val="32"/>
        </w:rPr>
        <w:t>374.64万元，其中：工资福利支出771.54万元，商品和服务支出523.37万元，对个人和家庭的补助支出18.36万元，办公设备购置61.37万元。</w:t>
      </w:r>
    </w:p>
    <w:p>
      <w:pPr>
        <w:autoSpaceDE w:val="0"/>
        <w:autoSpaceDN w:val="0"/>
        <w:adjustRightInd w:val="0"/>
        <w:spacing w:line="600" w:lineRule="exact"/>
        <w:ind w:firstLine="640" w:firstLineChars="200"/>
        <w:jc w:val="left"/>
        <w:rPr>
          <w:rFonts w:ascii="仿宋" w:hAnsi="仿宋" w:eastAsia="仿宋" w:cs="黑体"/>
          <w:b/>
          <w:color w:val="auto"/>
          <w:kern w:val="0"/>
          <w:sz w:val="32"/>
          <w:szCs w:val="32"/>
        </w:rPr>
      </w:pPr>
      <w:r>
        <w:rPr>
          <w:rFonts w:hint="eastAsia" w:ascii="仿宋" w:hAnsi="仿宋" w:eastAsia="仿宋" w:cs="黑体"/>
          <w:b/>
          <w:color w:val="auto"/>
          <w:kern w:val="0"/>
          <w:sz w:val="32"/>
          <w:szCs w:val="32"/>
        </w:rPr>
        <w:t>（二）部门决算中项目绩效自评结果（如有）。</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学生宿舍改造项目绩效自评综述：根据年初设定的绩效目标，项目绩效自评得分为90分。项目全年预算数为0万元，执行数为274.54万元，完成预算的100%。项目绩效目标完成情况：一是各项建造工作基本已经完成；二是2021年10月13日竣工验收。</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b/>
          <w:color w:val="auto"/>
          <w:kern w:val="0"/>
          <w:sz w:val="32"/>
          <w:szCs w:val="32"/>
        </w:rPr>
        <w:t>（3）部门评价项目绩效评价结果。</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r>
        <w:rPr>
          <w:rFonts w:hint="eastAsia" w:ascii="仿宋" w:hAnsi="仿宋" w:eastAsia="仿宋" w:cs="黑体"/>
          <w:color w:val="auto"/>
          <w:kern w:val="0"/>
          <w:sz w:val="32"/>
          <w:szCs w:val="32"/>
        </w:rPr>
        <w:t>部门评价项目数量3个以内的，至少将1个部门评价报告向社会公开；部门评价项目数量大于3个的，至少将2个部门评价报告向社会公开。报告框架可参考《项目支出绩效评价办法》（财预〔2020〕10号）中《项目支出绩效评价报告（参考提纲）》、《湖南省预算支出绩效评价管理办法》（湘财绩〔2020〕7号）。</w:t>
      </w:r>
    </w:p>
    <w:p>
      <w:pPr>
        <w:autoSpaceDE w:val="0"/>
        <w:autoSpaceDN w:val="0"/>
        <w:adjustRightInd w:val="0"/>
        <w:spacing w:line="600" w:lineRule="exact"/>
        <w:ind w:firstLine="640" w:firstLineChars="200"/>
        <w:jc w:val="left"/>
        <w:rPr>
          <w:rFonts w:ascii="仿宋" w:hAnsi="仿宋" w:eastAsia="仿宋" w:cs="黑体"/>
          <w:color w:val="auto"/>
          <w:kern w:val="0"/>
          <w:sz w:val="32"/>
          <w:szCs w:val="32"/>
        </w:rPr>
      </w:pPr>
    </w:p>
    <w:p>
      <w:pPr>
        <w:spacing w:line="600" w:lineRule="exact"/>
        <w:ind w:firstLine="880" w:firstLineChars="200"/>
        <w:jc w:val="center"/>
        <w:rPr>
          <w:rFonts w:ascii="仿宋" w:hAnsi="仿宋" w:eastAsia="仿宋" w:cs="黑体"/>
          <w:color w:val="auto"/>
          <w:kern w:val="0"/>
          <w:sz w:val="32"/>
          <w:szCs w:val="32"/>
        </w:rPr>
      </w:pPr>
      <w:r>
        <w:rPr>
          <w:rFonts w:hint="eastAsia" w:ascii="黑体" w:hAnsi="黑体" w:eastAsia="黑体" w:cs="黑体"/>
          <w:bCs/>
          <w:color w:val="auto"/>
          <w:kern w:val="0"/>
          <w:sz w:val="44"/>
          <w:szCs w:val="44"/>
        </w:rPr>
        <w:t>第四部分 名词解释</w:t>
      </w:r>
    </w:p>
    <w:p>
      <w:pPr>
        <w:widowControl/>
        <w:spacing w:line="600" w:lineRule="exact"/>
        <w:ind w:firstLine="640" w:firstLineChars="200"/>
        <w:jc w:val="left"/>
        <w:rPr>
          <w:rFonts w:ascii="仿宋" w:hAnsi="仿宋" w:eastAsia="仿宋" w:cs="黑体"/>
          <w:color w:val="auto"/>
          <w:kern w:val="0"/>
          <w:sz w:val="32"/>
          <w:szCs w:val="32"/>
        </w:rPr>
      </w:pPr>
      <w:r>
        <w:rPr>
          <w:rFonts w:ascii="仿宋" w:hAnsi="仿宋" w:eastAsia="仿宋" w:cs="黑体"/>
          <w:color w:val="auto"/>
          <w:kern w:val="0"/>
          <w:sz w:val="32"/>
          <w:szCs w:val="32"/>
        </w:rPr>
        <w:br w:type="page"/>
      </w:r>
    </w:p>
    <w:p>
      <w:pPr>
        <w:spacing w:line="600" w:lineRule="exact"/>
        <w:ind w:firstLine="640" w:firstLineChars="200"/>
        <w:jc w:val="left"/>
        <w:rPr>
          <w:rFonts w:ascii="仿宋" w:hAnsi="仿宋" w:eastAsia="仿宋" w:cs="黑体"/>
          <w:color w:val="auto"/>
          <w:kern w:val="0"/>
          <w:sz w:val="32"/>
          <w:szCs w:val="32"/>
        </w:rPr>
      </w:pPr>
    </w:p>
    <w:p>
      <w:pPr>
        <w:widowControl/>
        <w:spacing w:line="600" w:lineRule="exact"/>
        <w:ind w:firstLine="640" w:firstLineChars="200"/>
        <w:rPr>
          <w:rFonts w:ascii="仿宋" w:hAnsi="仿宋" w:eastAsia="仿宋" w:cs="黑体"/>
          <w:color w:val="auto"/>
          <w:kern w:val="0"/>
          <w:sz w:val="32"/>
          <w:szCs w:val="32"/>
        </w:rPr>
      </w:pPr>
      <w:r>
        <w:rPr>
          <w:rFonts w:hint="eastAsia" w:ascii="仿宋" w:hAnsi="仿宋" w:eastAsia="仿宋" w:cs="黑体"/>
          <w:color w:val="auto"/>
          <w:kern w:val="0"/>
          <w:sz w:val="32"/>
          <w:szCs w:val="32"/>
        </w:rPr>
        <w:t>一、</w:t>
      </w:r>
      <w:r>
        <w:rPr>
          <w:rFonts w:hint="eastAsia" w:ascii="仿宋" w:hAnsi="仿宋" w:eastAsia="仿宋" w:cs="楷体_GB2312"/>
          <w:b/>
          <w:bCs/>
          <w:color w:val="auto"/>
          <w:sz w:val="32"/>
          <w:szCs w:val="32"/>
        </w:rPr>
        <w:t>机关运行经费：</w:t>
      </w:r>
      <w:r>
        <w:rPr>
          <w:rFonts w:hint="eastAsia" w:ascii="仿宋" w:hAnsi="仿宋" w:eastAsia="仿宋" w:cs="黑体"/>
          <w:color w:val="auto"/>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widowControl/>
        <w:spacing w:line="600" w:lineRule="exact"/>
        <w:ind w:firstLine="640" w:firstLineChars="200"/>
        <w:rPr>
          <w:rFonts w:ascii="仿宋" w:hAnsi="仿宋" w:eastAsia="仿宋" w:cs="黑体"/>
          <w:color w:val="auto"/>
          <w:kern w:val="0"/>
          <w:sz w:val="32"/>
          <w:szCs w:val="32"/>
        </w:rPr>
      </w:pPr>
      <w:r>
        <w:rPr>
          <w:rFonts w:hint="eastAsia" w:ascii="仿宋" w:hAnsi="仿宋" w:eastAsia="仿宋" w:cs="楷体_GB2312"/>
          <w:b/>
          <w:bCs/>
          <w:color w:val="auto"/>
          <w:sz w:val="32"/>
          <w:szCs w:val="32"/>
        </w:rPr>
        <w:t>二、“三公”经费：</w:t>
      </w:r>
      <w:r>
        <w:rPr>
          <w:rFonts w:hint="eastAsia" w:ascii="仿宋" w:hAnsi="仿宋" w:eastAsia="仿宋" w:cs="黑体"/>
          <w:color w:val="auto"/>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autoSpaceDE w:val="0"/>
        <w:autoSpaceDN w:val="0"/>
        <w:adjustRightInd w:val="0"/>
        <w:spacing w:line="600" w:lineRule="exact"/>
        <w:ind w:firstLine="640" w:firstLineChars="200"/>
        <w:rPr>
          <w:rFonts w:ascii="仿宋" w:hAnsi="仿宋" w:eastAsia="仿宋" w:cs="仿宋_GB2312"/>
          <w:b/>
          <w:color w:val="auto"/>
          <w:kern w:val="0"/>
          <w:sz w:val="32"/>
          <w:szCs w:val="32"/>
        </w:rPr>
      </w:pPr>
    </w:p>
    <w:p>
      <w:pPr>
        <w:pStyle w:val="10"/>
        <w:spacing w:line="600" w:lineRule="exact"/>
        <w:ind w:firstLine="880" w:firstLineChars="200"/>
        <w:jc w:val="center"/>
        <w:rPr>
          <w:rFonts w:hAnsi="黑体"/>
          <w:bCs/>
          <w:color w:val="auto"/>
          <w:sz w:val="44"/>
          <w:szCs w:val="44"/>
        </w:rPr>
      </w:pPr>
      <w:r>
        <w:rPr>
          <w:rFonts w:hint="eastAsia" w:hAnsi="黑体"/>
          <w:bCs/>
          <w:color w:val="auto"/>
          <w:sz w:val="44"/>
          <w:szCs w:val="44"/>
        </w:rPr>
        <w:t>第五部分附件</w:t>
      </w:r>
    </w:p>
    <w:p>
      <w:pPr>
        <w:widowControl/>
        <w:jc w:val="left"/>
        <w:rPr>
          <w:rFonts w:ascii="黑体" w:eastAsia="黑体" w:cs="黑体"/>
          <w:color w:val="auto"/>
          <w:kern w:val="0"/>
          <w:sz w:val="70"/>
          <w:szCs w:val="70"/>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U1NDhmOTg4YjNjMDJkY2RlMmQ4NDE3ODZkMDliODcifQ=="/>
  </w:docVars>
  <w:rsids>
    <w:rsidRoot w:val="004506F9"/>
    <w:rsid w:val="0002229B"/>
    <w:rsid w:val="000273BD"/>
    <w:rsid w:val="000415B7"/>
    <w:rsid w:val="00041E3F"/>
    <w:rsid w:val="00055DAA"/>
    <w:rsid w:val="00061F7B"/>
    <w:rsid w:val="000658A3"/>
    <w:rsid w:val="00074155"/>
    <w:rsid w:val="00081BCA"/>
    <w:rsid w:val="000873EF"/>
    <w:rsid w:val="000A3F69"/>
    <w:rsid w:val="000C2CA6"/>
    <w:rsid w:val="00103957"/>
    <w:rsid w:val="00124A1F"/>
    <w:rsid w:val="0012551A"/>
    <w:rsid w:val="00152C6D"/>
    <w:rsid w:val="00162D39"/>
    <w:rsid w:val="001678BD"/>
    <w:rsid w:val="00182373"/>
    <w:rsid w:val="001A67DB"/>
    <w:rsid w:val="001C3C29"/>
    <w:rsid w:val="001D51E5"/>
    <w:rsid w:val="001E080D"/>
    <w:rsid w:val="001E53D0"/>
    <w:rsid w:val="001F0C3B"/>
    <w:rsid w:val="001F16A2"/>
    <w:rsid w:val="00202C14"/>
    <w:rsid w:val="00202C82"/>
    <w:rsid w:val="00212680"/>
    <w:rsid w:val="00214427"/>
    <w:rsid w:val="00226CB7"/>
    <w:rsid w:val="002406B3"/>
    <w:rsid w:val="00264552"/>
    <w:rsid w:val="00264EF9"/>
    <w:rsid w:val="00265724"/>
    <w:rsid w:val="0027426B"/>
    <w:rsid w:val="002938C0"/>
    <w:rsid w:val="002A00CC"/>
    <w:rsid w:val="002C0C70"/>
    <w:rsid w:val="002D43D3"/>
    <w:rsid w:val="002E0A30"/>
    <w:rsid w:val="002F4047"/>
    <w:rsid w:val="003130C4"/>
    <w:rsid w:val="00316C4B"/>
    <w:rsid w:val="0032192B"/>
    <w:rsid w:val="00341FED"/>
    <w:rsid w:val="003479BD"/>
    <w:rsid w:val="0037197D"/>
    <w:rsid w:val="003768D5"/>
    <w:rsid w:val="003930E9"/>
    <w:rsid w:val="003C4197"/>
    <w:rsid w:val="003C47E6"/>
    <w:rsid w:val="003C4FC2"/>
    <w:rsid w:val="003D6F32"/>
    <w:rsid w:val="003E2331"/>
    <w:rsid w:val="00416E61"/>
    <w:rsid w:val="0042790C"/>
    <w:rsid w:val="00432E5A"/>
    <w:rsid w:val="004506F9"/>
    <w:rsid w:val="004717A2"/>
    <w:rsid w:val="00473DF3"/>
    <w:rsid w:val="00485BD6"/>
    <w:rsid w:val="00487911"/>
    <w:rsid w:val="00491741"/>
    <w:rsid w:val="004A4F89"/>
    <w:rsid w:val="004B0CEE"/>
    <w:rsid w:val="004C2A00"/>
    <w:rsid w:val="004D67AF"/>
    <w:rsid w:val="00500E5F"/>
    <w:rsid w:val="005122EF"/>
    <w:rsid w:val="0051441A"/>
    <w:rsid w:val="00517C33"/>
    <w:rsid w:val="00517D5F"/>
    <w:rsid w:val="00521AF2"/>
    <w:rsid w:val="00523644"/>
    <w:rsid w:val="0054069E"/>
    <w:rsid w:val="00544866"/>
    <w:rsid w:val="00555DEE"/>
    <w:rsid w:val="005767CC"/>
    <w:rsid w:val="00590D9F"/>
    <w:rsid w:val="00595D26"/>
    <w:rsid w:val="005A5D4A"/>
    <w:rsid w:val="005A74E6"/>
    <w:rsid w:val="005B404E"/>
    <w:rsid w:val="005D4D55"/>
    <w:rsid w:val="005E2CFB"/>
    <w:rsid w:val="005F2103"/>
    <w:rsid w:val="005F3D1C"/>
    <w:rsid w:val="00617643"/>
    <w:rsid w:val="0062378F"/>
    <w:rsid w:val="00641842"/>
    <w:rsid w:val="00651EEC"/>
    <w:rsid w:val="00667CD8"/>
    <w:rsid w:val="00686673"/>
    <w:rsid w:val="00691E8C"/>
    <w:rsid w:val="006A22C4"/>
    <w:rsid w:val="006A348B"/>
    <w:rsid w:val="006A351B"/>
    <w:rsid w:val="006B0422"/>
    <w:rsid w:val="006C1B53"/>
    <w:rsid w:val="006D1B39"/>
    <w:rsid w:val="006D7730"/>
    <w:rsid w:val="006E5284"/>
    <w:rsid w:val="006F3EB5"/>
    <w:rsid w:val="00702E34"/>
    <w:rsid w:val="00704395"/>
    <w:rsid w:val="00710FE7"/>
    <w:rsid w:val="00717621"/>
    <w:rsid w:val="00720FF1"/>
    <w:rsid w:val="00727A53"/>
    <w:rsid w:val="007533DC"/>
    <w:rsid w:val="00777A39"/>
    <w:rsid w:val="00787B42"/>
    <w:rsid w:val="00787B68"/>
    <w:rsid w:val="007C4539"/>
    <w:rsid w:val="007F3657"/>
    <w:rsid w:val="00812ED5"/>
    <w:rsid w:val="008277D9"/>
    <w:rsid w:val="0084478C"/>
    <w:rsid w:val="00860D03"/>
    <w:rsid w:val="0086638C"/>
    <w:rsid w:val="00896209"/>
    <w:rsid w:val="008A3E8D"/>
    <w:rsid w:val="008A7058"/>
    <w:rsid w:val="009237C4"/>
    <w:rsid w:val="00931ABC"/>
    <w:rsid w:val="00944C48"/>
    <w:rsid w:val="00950252"/>
    <w:rsid w:val="00967F5D"/>
    <w:rsid w:val="0099206A"/>
    <w:rsid w:val="009A0F95"/>
    <w:rsid w:val="009B3ADF"/>
    <w:rsid w:val="009B486A"/>
    <w:rsid w:val="009C3B52"/>
    <w:rsid w:val="009D0F98"/>
    <w:rsid w:val="009E6817"/>
    <w:rsid w:val="009E6E9A"/>
    <w:rsid w:val="009E7812"/>
    <w:rsid w:val="00A01D2B"/>
    <w:rsid w:val="00A15EB0"/>
    <w:rsid w:val="00A42218"/>
    <w:rsid w:val="00A70249"/>
    <w:rsid w:val="00A70B02"/>
    <w:rsid w:val="00A71D9F"/>
    <w:rsid w:val="00A92E9F"/>
    <w:rsid w:val="00AA5D93"/>
    <w:rsid w:val="00AD01C2"/>
    <w:rsid w:val="00AE34FC"/>
    <w:rsid w:val="00AE4455"/>
    <w:rsid w:val="00B045E0"/>
    <w:rsid w:val="00B33BEA"/>
    <w:rsid w:val="00B47B71"/>
    <w:rsid w:val="00B57C9F"/>
    <w:rsid w:val="00B6219B"/>
    <w:rsid w:val="00B63572"/>
    <w:rsid w:val="00B75BC0"/>
    <w:rsid w:val="00B845B3"/>
    <w:rsid w:val="00B85D8B"/>
    <w:rsid w:val="00B972A6"/>
    <w:rsid w:val="00BB4A40"/>
    <w:rsid w:val="00BD6C3E"/>
    <w:rsid w:val="00BE3674"/>
    <w:rsid w:val="00C10681"/>
    <w:rsid w:val="00C10D9E"/>
    <w:rsid w:val="00C3049A"/>
    <w:rsid w:val="00C31B1E"/>
    <w:rsid w:val="00C41D61"/>
    <w:rsid w:val="00C77645"/>
    <w:rsid w:val="00C9666A"/>
    <w:rsid w:val="00CC5217"/>
    <w:rsid w:val="00CE04C3"/>
    <w:rsid w:val="00CE76A0"/>
    <w:rsid w:val="00D148C6"/>
    <w:rsid w:val="00D17A8A"/>
    <w:rsid w:val="00D415BA"/>
    <w:rsid w:val="00D63780"/>
    <w:rsid w:val="00D644EE"/>
    <w:rsid w:val="00D75489"/>
    <w:rsid w:val="00DD06FF"/>
    <w:rsid w:val="00DD4C98"/>
    <w:rsid w:val="00DD5FE9"/>
    <w:rsid w:val="00E00C7A"/>
    <w:rsid w:val="00E032FA"/>
    <w:rsid w:val="00E209CF"/>
    <w:rsid w:val="00E37D6C"/>
    <w:rsid w:val="00E55B68"/>
    <w:rsid w:val="00E6727A"/>
    <w:rsid w:val="00E67BE6"/>
    <w:rsid w:val="00E8683C"/>
    <w:rsid w:val="00EA2B72"/>
    <w:rsid w:val="00EA5FBC"/>
    <w:rsid w:val="00EB4BAE"/>
    <w:rsid w:val="00EB7DA6"/>
    <w:rsid w:val="00F119A4"/>
    <w:rsid w:val="00F55A78"/>
    <w:rsid w:val="00F74360"/>
    <w:rsid w:val="00FB4379"/>
    <w:rsid w:val="00FB462F"/>
    <w:rsid w:val="00FD28D4"/>
    <w:rsid w:val="00FE16FA"/>
    <w:rsid w:val="00FE328A"/>
    <w:rsid w:val="00FE6269"/>
    <w:rsid w:val="00FF5CD6"/>
    <w:rsid w:val="09CC480B"/>
    <w:rsid w:val="226465E5"/>
    <w:rsid w:val="4D61760A"/>
    <w:rsid w:val="5AF45106"/>
    <w:rsid w:val="7A15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A406C-D1C1-4AE5-AC85-63C9EA180B4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5264</Words>
  <Characters>5830</Characters>
  <Lines>42</Lines>
  <Paragraphs>11</Paragraphs>
  <TotalTime>51</TotalTime>
  <ScaleCrop>false</ScaleCrop>
  <LinksUpToDate>false</LinksUpToDate>
  <CharactersWithSpaces>5835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亚男</cp:lastModifiedBy>
  <cp:lastPrinted>2022-07-27T12:55:00Z</cp:lastPrinted>
  <dcterms:modified xsi:type="dcterms:W3CDTF">2023-10-11T00:39:47Z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4EA5EC3380BA4F638823C738B97AC694_12</vt:lpwstr>
  </property>
</Properties>
</file>