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97BD3">
      <w:pPr>
        <w:pStyle w:val="6"/>
        <w:widowControl/>
        <w:shd w:val="clear" w:color="auto" w:fill="FFFFFF"/>
        <w:snapToGrid w:val="0"/>
        <w:spacing w:beforeAutospacing="0" w:afterAutospacing="0" w:line="520" w:lineRule="exact"/>
        <w:ind w:firstLine="561"/>
        <w:jc w:val="both"/>
        <w:rPr>
          <w:rFonts w:ascii="仿宋" w:hAnsi="仿宋" w:eastAsia="仿宋" w:cs="仿宋_GB2312"/>
          <w:color w:val="000000"/>
          <w:sz w:val="28"/>
          <w:szCs w:val="28"/>
        </w:rPr>
      </w:pPr>
      <w:r>
        <w:rPr>
          <w:rFonts w:hint="eastAsia" w:ascii="仿宋" w:hAnsi="仿宋" w:eastAsia="仿宋" w:cs="仿宋_GB2312"/>
          <w:color w:val="000000"/>
          <w:sz w:val="28"/>
          <w:szCs w:val="28"/>
        </w:rPr>
        <w:t>附件1</w:t>
      </w:r>
    </w:p>
    <w:p w14:paraId="30654CCA">
      <w:pPr>
        <w:pStyle w:val="6"/>
        <w:widowControl/>
        <w:shd w:val="clear" w:color="auto" w:fill="FFFFFF"/>
        <w:snapToGrid w:val="0"/>
        <w:spacing w:beforeAutospacing="0" w:afterAutospacing="0" w:line="560" w:lineRule="exact"/>
        <w:ind w:firstLine="881" w:firstLineChars="200"/>
        <w:jc w:val="center"/>
        <w:rPr>
          <w:rFonts w:ascii="华文中宋" w:hAnsi="华文中宋" w:eastAsia="华文中宋" w:cs="方正小标宋简体"/>
          <w:b/>
          <w:color w:val="000000"/>
          <w:sz w:val="44"/>
          <w:szCs w:val="44"/>
          <w:shd w:val="clear" w:color="auto" w:fill="FFFFFF"/>
        </w:rPr>
      </w:pPr>
      <w:r>
        <w:rPr>
          <w:rFonts w:hint="eastAsia" w:ascii="华文中宋" w:hAnsi="华文中宋" w:eastAsia="华文中宋" w:cs="宋体"/>
          <w:b/>
          <w:color w:val="000000"/>
          <w:sz w:val="44"/>
          <w:szCs w:val="44"/>
          <w:shd w:val="clear" w:color="auto" w:fill="FFFFFF"/>
        </w:rPr>
        <w:t>怀</w:t>
      </w:r>
      <w:r>
        <w:rPr>
          <w:rFonts w:hint="eastAsia" w:ascii="华文中宋" w:hAnsi="华文中宋" w:eastAsia="华文中宋" w:cs="方正小标宋简体"/>
          <w:b/>
          <w:color w:val="000000"/>
          <w:sz w:val="44"/>
          <w:szCs w:val="44"/>
          <w:shd w:val="clear" w:color="auto" w:fill="FFFFFF"/>
        </w:rPr>
        <w:t>化开放大学</w:t>
      </w:r>
    </w:p>
    <w:p w14:paraId="14CAEB00">
      <w:pPr>
        <w:pStyle w:val="6"/>
        <w:widowControl/>
        <w:shd w:val="clear" w:color="auto" w:fill="FFFFFF"/>
        <w:snapToGrid w:val="0"/>
        <w:spacing w:beforeAutospacing="0" w:afterAutospacing="0" w:line="560" w:lineRule="exact"/>
        <w:ind w:firstLine="881" w:firstLineChars="200"/>
        <w:jc w:val="center"/>
        <w:rPr>
          <w:rFonts w:ascii="华文中宋" w:hAnsi="华文中宋" w:eastAsia="华文中宋" w:cs="方正小标宋简体"/>
          <w:b/>
          <w:color w:val="000000"/>
          <w:sz w:val="44"/>
          <w:szCs w:val="44"/>
          <w:shd w:val="clear" w:color="auto" w:fill="FFFFFF"/>
        </w:rPr>
      </w:pPr>
      <w:r>
        <w:rPr>
          <w:rFonts w:hint="eastAsia" w:ascii="华文中宋" w:hAnsi="华文中宋" w:eastAsia="华文中宋" w:cs="方正小标宋简体"/>
          <w:b/>
          <w:color w:val="000000"/>
          <w:sz w:val="44"/>
          <w:szCs w:val="44"/>
          <w:shd w:val="clear" w:color="auto" w:fill="FFFFFF"/>
        </w:rPr>
        <w:t>2023年部门整体支出绩效自评报告</w:t>
      </w:r>
    </w:p>
    <w:p w14:paraId="23006E8E">
      <w:pPr>
        <w:pStyle w:val="6"/>
        <w:widowControl/>
        <w:shd w:val="clear" w:color="auto" w:fill="FFFFFF"/>
        <w:snapToGrid w:val="0"/>
        <w:spacing w:beforeAutospacing="0" w:afterAutospacing="0" w:line="560" w:lineRule="exact"/>
        <w:ind w:firstLine="640" w:firstLineChars="200"/>
        <w:rPr>
          <w:rFonts w:ascii="黑体" w:hAnsi="黑体" w:eastAsia="黑体" w:cs="黑体"/>
          <w:color w:val="000000"/>
          <w:sz w:val="32"/>
          <w:szCs w:val="32"/>
          <w:shd w:val="clear" w:color="auto" w:fill="FFFFFF"/>
        </w:rPr>
      </w:pPr>
    </w:p>
    <w:p w14:paraId="51488ECF">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一、部门、单位基本情况</w:t>
      </w:r>
    </w:p>
    <w:p w14:paraId="01E5DCBB">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color w:val="000000"/>
          <w:sz w:val="32"/>
          <w:szCs w:val="32"/>
          <w:shd w:val="clear" w:color="auto" w:fill="FFFFFF"/>
        </w:rPr>
      </w:pPr>
      <w:r>
        <w:rPr>
          <w:rFonts w:ascii="楷体" w:hAnsi="楷体" w:eastAsia="楷体" w:cs="楷体_GB2312"/>
          <w:b/>
          <w:color w:val="000000"/>
          <w:sz w:val="32"/>
          <w:szCs w:val="32"/>
          <w:shd w:val="clear" w:color="auto" w:fill="FFFFFF"/>
        </w:rPr>
        <w:t>（一）机构设置情况</w:t>
      </w:r>
    </w:p>
    <w:p w14:paraId="6D2EEE96">
      <w:pPr>
        <w:widowControl/>
        <w:spacing w:line="560" w:lineRule="exact"/>
        <w:ind w:firstLine="640" w:firstLineChars="200"/>
        <w:rPr>
          <w:rFonts w:ascii="仿宋" w:hAnsi="仿宋" w:eastAsia="仿宋" w:cs="仿宋"/>
          <w:bCs/>
          <w:kern w:val="0"/>
          <w:sz w:val="32"/>
          <w:szCs w:val="32"/>
        </w:rPr>
      </w:pPr>
      <w:r>
        <w:rPr>
          <w:rFonts w:hint="eastAsia" w:ascii="仿宋" w:hAnsi="仿宋" w:eastAsia="仿宋" w:cs="仿宋"/>
          <w:bCs/>
          <w:kern w:val="0"/>
          <w:sz w:val="32"/>
          <w:szCs w:val="32"/>
        </w:rPr>
        <w:t>怀化开放大学是市人民政府举办的一所公办成人高等教育学校，为一级部门预算单位。领导职数设党委书记、校长、副校长和纪委书记共6人，内设党政办公室、组织人事科、教务科、招生与系统建设办公室、总务科、纪检监察室6个管理机构和教学与学生工作部、终身教育指导服务中心、培训部、教育信息技术中心4个教学辅助机构。</w:t>
      </w:r>
    </w:p>
    <w:p w14:paraId="3B2E1451">
      <w:pPr>
        <w:widowControl/>
        <w:spacing w:line="560" w:lineRule="exact"/>
        <w:ind w:firstLine="643" w:firstLineChars="200"/>
        <w:rPr>
          <w:rFonts w:ascii="楷体" w:hAnsi="楷体" w:eastAsia="楷体" w:cs="楷体_GB2312"/>
          <w:b/>
          <w:color w:val="000000"/>
          <w:sz w:val="32"/>
          <w:szCs w:val="32"/>
          <w:shd w:val="clear" w:color="auto" w:fill="FFFFFF"/>
        </w:rPr>
      </w:pPr>
      <w:r>
        <w:rPr>
          <w:rFonts w:hint="eastAsia" w:ascii="楷体" w:hAnsi="楷体" w:eastAsia="楷体" w:cs="仿宋"/>
          <w:b/>
          <w:bCs/>
          <w:kern w:val="0"/>
          <w:sz w:val="32"/>
          <w:szCs w:val="32"/>
        </w:rPr>
        <w:t>（二）</w:t>
      </w:r>
      <w:r>
        <w:rPr>
          <w:rFonts w:hint="eastAsia" w:ascii="楷体" w:hAnsi="楷体" w:eastAsia="楷体" w:cs="微软雅黑"/>
          <w:b/>
          <w:color w:val="000000"/>
          <w:sz w:val="32"/>
          <w:szCs w:val="32"/>
          <w:shd w:val="clear" w:color="auto" w:fill="FFFFFF"/>
        </w:rPr>
        <w:t>人员编制</w:t>
      </w:r>
      <w:r>
        <w:rPr>
          <w:rFonts w:hint="eastAsia" w:ascii="楷体" w:hAnsi="楷体" w:eastAsia="楷体" w:cs="___WRD_EMBED_SUB_42"/>
          <w:b/>
          <w:color w:val="000000"/>
          <w:sz w:val="32"/>
          <w:szCs w:val="32"/>
          <w:shd w:val="clear" w:color="auto" w:fill="FFFFFF"/>
        </w:rPr>
        <w:t>情况</w:t>
      </w:r>
    </w:p>
    <w:p w14:paraId="5CEDEBA1">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学校经市编办核定的编制数为6</w:t>
      </w:r>
      <w:r>
        <w:rPr>
          <w:rFonts w:ascii="仿宋" w:hAnsi="仿宋" w:eastAsia="仿宋" w:cs="仿宋"/>
          <w:bCs/>
          <w:sz w:val="32"/>
          <w:szCs w:val="32"/>
        </w:rPr>
        <w:t>5</w:t>
      </w:r>
      <w:r>
        <w:rPr>
          <w:rFonts w:hint="eastAsia" w:ascii="仿宋" w:hAnsi="仿宋" w:eastAsia="仿宋" w:cs="仿宋"/>
          <w:bCs/>
          <w:sz w:val="32"/>
          <w:szCs w:val="32"/>
        </w:rPr>
        <w:t>人。2023年底，学校共有教职工99人，其中：在职在编教职工56人，聘用教职工9人，退休教职工34人。</w:t>
      </w:r>
    </w:p>
    <w:p w14:paraId="0E33D308">
      <w:pPr>
        <w:pStyle w:val="6"/>
        <w:widowControl/>
        <w:shd w:val="clear" w:color="auto" w:fill="FFFFFF"/>
        <w:snapToGrid w:val="0"/>
        <w:spacing w:beforeAutospacing="0" w:afterAutospacing="0" w:line="560" w:lineRule="exact"/>
        <w:ind w:firstLine="643" w:firstLineChars="200"/>
        <w:jc w:val="both"/>
        <w:rPr>
          <w:rFonts w:ascii="楷体" w:hAnsi="楷体" w:eastAsia="楷体" w:cs="仿宋"/>
          <w:b/>
          <w:bCs/>
          <w:sz w:val="32"/>
          <w:szCs w:val="32"/>
        </w:rPr>
      </w:pPr>
      <w:r>
        <w:rPr>
          <w:rFonts w:hint="eastAsia" w:ascii="楷体" w:hAnsi="楷体" w:eastAsia="楷体" w:cs="仿宋"/>
          <w:b/>
          <w:bCs/>
          <w:sz w:val="32"/>
          <w:szCs w:val="32"/>
        </w:rPr>
        <w:t>（三）</w:t>
      </w:r>
      <w:r>
        <w:rPr>
          <w:rFonts w:ascii="楷体" w:hAnsi="楷体" w:eastAsia="楷体" w:cs="楷体_GB2312"/>
          <w:b/>
          <w:color w:val="000000"/>
          <w:sz w:val="32"/>
          <w:szCs w:val="32"/>
          <w:shd w:val="clear" w:color="auto" w:fill="FFFFFF"/>
        </w:rPr>
        <w:t>主要职能职责</w:t>
      </w:r>
    </w:p>
    <w:p w14:paraId="1319041D">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怀化开放大学是由怀化市人民政府举办，以促进终身学习为使命、以现代教育技术为支撑、以“互联网+”为特征的新型成人高等学校。作为一所主要以职业人为培养对象的高等学校，致力于面向全体社会成员的全民终身教育和本专科学历教育，与国家开放大学、湖南开放大学办学平台实现对接，将现代信息技术与教育深度融合，强调优质教育资源的集聚、整合和共享。学校按所属行业归口为市教育局直属学校，在业务上接受湖南开放大学指导，实行统筹规划、分级办学、分级管理，在12个县（市、区）设有工作站或教学点，形成了遍布全市城乡的开放教育网络。学校开设经济学、法学、教育学、文学、理学、工学、农学、医学、管理学等学科40多个本、专科专业，在籍学生8千多人。</w:t>
      </w:r>
    </w:p>
    <w:p w14:paraId="3FE8114A">
      <w:pPr>
        <w:pStyle w:val="6"/>
        <w:widowControl/>
        <w:shd w:val="clear" w:color="auto" w:fill="FFFFFF"/>
        <w:snapToGrid w:val="0"/>
        <w:spacing w:beforeAutospacing="0" w:afterAutospacing="0" w:line="560" w:lineRule="exact"/>
        <w:ind w:firstLine="643" w:firstLineChars="200"/>
        <w:jc w:val="both"/>
        <w:rPr>
          <w:rFonts w:ascii="楷体" w:hAnsi="楷体" w:eastAsia="楷体" w:cs="仿宋"/>
          <w:b/>
          <w:bCs/>
          <w:sz w:val="32"/>
          <w:szCs w:val="32"/>
        </w:rPr>
      </w:pPr>
      <w:r>
        <w:rPr>
          <w:rFonts w:hint="eastAsia" w:ascii="楷体" w:hAnsi="楷体" w:eastAsia="楷体" w:cs="仿宋"/>
          <w:b/>
          <w:bCs/>
          <w:sz w:val="32"/>
          <w:szCs w:val="32"/>
        </w:rPr>
        <w:t>（四）</w:t>
      </w:r>
      <w:r>
        <w:rPr>
          <w:rFonts w:ascii="楷体" w:hAnsi="楷体" w:eastAsia="楷体" w:cs="楷体_GB2312"/>
          <w:b/>
          <w:color w:val="000000"/>
          <w:sz w:val="32"/>
          <w:szCs w:val="32"/>
          <w:shd w:val="clear" w:color="auto" w:fill="FFFFFF"/>
        </w:rPr>
        <w:t>绩效目标设定情况</w:t>
      </w:r>
    </w:p>
    <w:p w14:paraId="4D8A4678">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根据学校总体发展目标，主要绩效目标如下：</w:t>
      </w:r>
    </w:p>
    <w:p w14:paraId="41D4730D">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1</w:t>
      </w:r>
      <w:r>
        <w:rPr>
          <w:rFonts w:hint="eastAsia" w:ascii="仿宋" w:hAnsi="仿宋" w:eastAsia="仿宋" w:cs="仿宋"/>
          <w:bCs/>
          <w:sz w:val="32"/>
          <w:szCs w:val="32"/>
        </w:rPr>
        <w:t>．</w:t>
      </w:r>
      <w:r>
        <w:rPr>
          <w:rFonts w:ascii="仿宋" w:hAnsi="仿宋" w:eastAsia="仿宋" w:cs="仿宋"/>
          <w:bCs/>
          <w:sz w:val="32"/>
          <w:szCs w:val="32"/>
        </w:rPr>
        <w:t>以党的“二十大”精神为指导，对标“国家开放大学十四五”发展目标要求，对接怀化“五新四城”战略、社会治理发展要求，坚持服务基层的理念，坚持</w:t>
      </w:r>
      <w:bookmarkStart w:id="27" w:name="_GoBack"/>
      <w:bookmarkEnd w:id="27"/>
      <w:r>
        <w:rPr>
          <w:rFonts w:ascii="仿宋" w:hAnsi="仿宋" w:eastAsia="仿宋" w:cs="仿宋"/>
          <w:bCs/>
          <w:sz w:val="32"/>
          <w:szCs w:val="32"/>
        </w:rPr>
        <w:t>把握好终身教育定位，进一步做好服务指导工作</w:t>
      </w:r>
      <w:r>
        <w:rPr>
          <w:rFonts w:hint="eastAsia" w:ascii="仿宋" w:hAnsi="仿宋" w:eastAsia="仿宋" w:cs="仿宋"/>
          <w:bCs/>
          <w:sz w:val="32"/>
          <w:szCs w:val="32"/>
        </w:rPr>
        <w:t>。</w:t>
      </w:r>
    </w:p>
    <w:p w14:paraId="68AFA1E7">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2</w:t>
      </w:r>
      <w:r>
        <w:rPr>
          <w:rFonts w:hint="eastAsia" w:ascii="仿宋" w:hAnsi="仿宋" w:eastAsia="仿宋" w:cs="仿宋"/>
          <w:bCs/>
          <w:sz w:val="32"/>
          <w:szCs w:val="32"/>
        </w:rPr>
        <w:t>．</w:t>
      </w:r>
      <w:r>
        <w:rPr>
          <w:rFonts w:ascii="仿宋" w:hAnsi="仿宋" w:eastAsia="仿宋" w:cs="仿宋"/>
          <w:bCs/>
          <w:sz w:val="32"/>
          <w:szCs w:val="32"/>
        </w:rPr>
        <w:t>推进校园文化建设，抓好校园文化与宣传阵地建设，体现特色校园文化，创建平安校园、无烟校园，和谐校园</w:t>
      </w:r>
      <w:r>
        <w:rPr>
          <w:rFonts w:hint="eastAsia" w:ascii="仿宋" w:hAnsi="仿宋" w:eastAsia="仿宋" w:cs="仿宋"/>
          <w:bCs/>
          <w:sz w:val="32"/>
          <w:szCs w:val="32"/>
        </w:rPr>
        <w:t>。</w:t>
      </w:r>
    </w:p>
    <w:p w14:paraId="7D02854E">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3</w:t>
      </w:r>
      <w:r>
        <w:rPr>
          <w:rFonts w:hint="eastAsia" w:ascii="仿宋" w:hAnsi="仿宋" w:eastAsia="仿宋" w:cs="仿宋"/>
          <w:bCs/>
          <w:sz w:val="32"/>
          <w:szCs w:val="32"/>
        </w:rPr>
        <w:t>．</w:t>
      </w:r>
      <w:r>
        <w:rPr>
          <w:rFonts w:ascii="仿宋" w:hAnsi="仿宋" w:eastAsia="仿宋" w:cs="仿宋"/>
          <w:bCs/>
          <w:sz w:val="32"/>
          <w:szCs w:val="32"/>
        </w:rPr>
        <w:t>从严治招治考，全年开放教育、农民大学生培养等各类招生完成1800人以上，生源结构和质量不断提高，加强规范考试和评价，提升人才培养水平</w:t>
      </w:r>
      <w:r>
        <w:rPr>
          <w:rFonts w:hint="eastAsia" w:ascii="仿宋" w:hAnsi="仿宋" w:eastAsia="仿宋" w:cs="仿宋"/>
          <w:bCs/>
          <w:sz w:val="32"/>
          <w:szCs w:val="32"/>
        </w:rPr>
        <w:t>。</w:t>
      </w:r>
    </w:p>
    <w:p w14:paraId="4FE51F09">
      <w:pPr>
        <w:snapToGrid w:val="0"/>
        <w:spacing w:line="560" w:lineRule="exact"/>
        <w:ind w:firstLine="640" w:firstLineChars="200"/>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二、部门整体支出管理及使用情况</w:t>
      </w:r>
    </w:p>
    <w:p w14:paraId="164CB12D">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color w:val="000000"/>
          <w:sz w:val="32"/>
          <w:szCs w:val="32"/>
          <w:shd w:val="clear" w:color="auto" w:fill="FFFFFF"/>
        </w:rPr>
      </w:pPr>
      <w:r>
        <w:rPr>
          <w:rFonts w:ascii="楷体" w:hAnsi="楷体" w:eastAsia="楷体" w:cs="楷体_GB2312"/>
          <w:b/>
          <w:color w:val="000000"/>
          <w:sz w:val="32"/>
          <w:szCs w:val="32"/>
          <w:shd w:val="clear" w:color="auto" w:fill="FFFFFF"/>
        </w:rPr>
        <w:t>（一）</w:t>
      </w:r>
      <w:r>
        <w:rPr>
          <w:rFonts w:hint="eastAsia" w:ascii="楷体" w:hAnsi="楷体" w:eastAsia="楷体" w:cs="楷体_GB2312"/>
          <w:b/>
          <w:color w:val="000000"/>
          <w:sz w:val="32"/>
          <w:szCs w:val="32"/>
          <w:shd w:val="clear" w:color="auto" w:fill="FFFFFF"/>
        </w:rPr>
        <w:t>预算执行、使用、管理总体情况。</w:t>
      </w:r>
    </w:p>
    <w:p w14:paraId="330696F8">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2023年部门整体支出2165.18万元。主要用于学校的正常运转、教学教研及后勤服务等方面开支的费用，其中：基本支出16</w:t>
      </w:r>
      <w:r>
        <w:rPr>
          <w:rFonts w:hint="eastAsia" w:ascii="仿宋" w:hAnsi="仿宋" w:eastAsia="仿宋" w:cs="仿宋"/>
          <w:bCs/>
          <w:sz w:val="32"/>
          <w:szCs w:val="32"/>
          <w:lang w:val="en-US" w:eastAsia="zh-CN"/>
        </w:rPr>
        <w:t>43</w:t>
      </w:r>
      <w:r>
        <w:rPr>
          <w:rFonts w:hint="eastAsia" w:ascii="仿宋" w:hAnsi="仿宋" w:eastAsia="仿宋" w:cs="仿宋"/>
          <w:bCs/>
          <w:sz w:val="32"/>
          <w:szCs w:val="32"/>
        </w:rPr>
        <w:t>.36万元，项目支出</w:t>
      </w:r>
      <w:r>
        <w:rPr>
          <w:rFonts w:hint="eastAsia" w:ascii="仿宋" w:hAnsi="仿宋" w:eastAsia="仿宋" w:cs="仿宋"/>
          <w:bCs/>
          <w:sz w:val="32"/>
          <w:szCs w:val="32"/>
          <w:lang w:val="en-US" w:eastAsia="zh-CN"/>
        </w:rPr>
        <w:t>25</w:t>
      </w:r>
      <w:r>
        <w:rPr>
          <w:rFonts w:hint="eastAsia" w:ascii="仿宋" w:hAnsi="仿宋" w:eastAsia="仿宋" w:cs="仿宋"/>
          <w:bCs/>
          <w:sz w:val="32"/>
          <w:szCs w:val="32"/>
        </w:rPr>
        <w:t>万元，上缴上级支出496.82万元。</w:t>
      </w:r>
    </w:p>
    <w:p w14:paraId="01E5B1B9">
      <w:pPr>
        <w:pStyle w:val="6"/>
        <w:widowControl/>
        <w:shd w:val="clear" w:color="auto" w:fill="FFFFFF"/>
        <w:snapToGrid w:val="0"/>
        <w:spacing w:beforeAutospacing="0" w:afterAutospacing="0" w:line="560" w:lineRule="exact"/>
        <w:ind w:firstLine="643" w:firstLineChars="200"/>
        <w:jc w:val="both"/>
        <w:rPr>
          <w:rFonts w:ascii="楷体" w:hAnsi="楷体" w:eastAsia="楷体" w:cs="仿宋"/>
          <w:b/>
          <w:bCs/>
          <w:sz w:val="32"/>
          <w:szCs w:val="32"/>
        </w:rPr>
      </w:pPr>
      <w:r>
        <w:rPr>
          <w:rFonts w:ascii="楷体" w:hAnsi="楷体" w:eastAsia="楷体" w:cs="楷体_GB2312"/>
          <w:b/>
          <w:color w:val="000000"/>
          <w:sz w:val="32"/>
          <w:szCs w:val="32"/>
          <w:shd w:val="clear" w:color="auto" w:fill="FFFFFF"/>
        </w:rPr>
        <w:t>（二）部门预算执行情况</w:t>
      </w:r>
    </w:p>
    <w:p w14:paraId="2CBAA892">
      <w:pPr>
        <w:pStyle w:val="6"/>
        <w:widowControl/>
        <w:shd w:val="clear" w:color="auto" w:fill="FFFFFF"/>
        <w:snapToGrid w:val="0"/>
        <w:spacing w:beforeAutospacing="0" w:afterAutospacing="0" w:line="560" w:lineRule="exact"/>
        <w:ind w:firstLine="643" w:firstLineChars="200"/>
        <w:jc w:val="both"/>
        <w:rPr>
          <w:rFonts w:ascii="仿宋" w:hAnsi="仿宋" w:eastAsia="仿宋" w:cs="仿宋"/>
          <w:b/>
          <w:bCs/>
          <w:sz w:val="32"/>
          <w:szCs w:val="32"/>
        </w:rPr>
      </w:pPr>
      <w:r>
        <w:rPr>
          <w:rFonts w:ascii="仿宋" w:hAnsi="仿宋" w:eastAsia="仿宋" w:cs="仿宋"/>
          <w:b/>
          <w:bCs/>
          <w:sz w:val="32"/>
          <w:szCs w:val="32"/>
        </w:rPr>
        <w:t>1.基本支出情况</w:t>
      </w:r>
    </w:p>
    <w:p w14:paraId="774D6F76">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2023年基本支出16</w:t>
      </w:r>
      <w:r>
        <w:rPr>
          <w:rFonts w:hint="eastAsia" w:ascii="仿宋" w:hAnsi="仿宋" w:eastAsia="仿宋" w:cs="仿宋"/>
          <w:bCs/>
          <w:sz w:val="32"/>
          <w:szCs w:val="32"/>
          <w:lang w:val="en-US" w:eastAsia="zh-CN"/>
        </w:rPr>
        <w:t>43</w:t>
      </w:r>
      <w:r>
        <w:rPr>
          <w:rFonts w:hint="eastAsia" w:ascii="仿宋" w:hAnsi="仿宋" w:eastAsia="仿宋" w:cs="仿宋"/>
          <w:bCs/>
          <w:sz w:val="32"/>
          <w:szCs w:val="32"/>
        </w:rPr>
        <w:t>.36万元，其中：工资福利支出1156.55万元，商品和服务支出4</w:t>
      </w:r>
      <w:r>
        <w:rPr>
          <w:rFonts w:hint="eastAsia" w:ascii="仿宋" w:hAnsi="仿宋" w:eastAsia="仿宋" w:cs="仿宋"/>
          <w:bCs/>
          <w:sz w:val="32"/>
          <w:szCs w:val="32"/>
          <w:lang w:val="en-US" w:eastAsia="zh-CN"/>
        </w:rPr>
        <w:t>05</w:t>
      </w:r>
      <w:r>
        <w:rPr>
          <w:rFonts w:hint="eastAsia" w:ascii="仿宋" w:hAnsi="仿宋" w:eastAsia="仿宋" w:cs="仿宋"/>
          <w:bCs/>
          <w:sz w:val="32"/>
          <w:szCs w:val="32"/>
        </w:rPr>
        <w:t>.35万元，对个人和家庭的补助支出56.21万元，办公设备购置25.25万元。</w:t>
      </w:r>
    </w:p>
    <w:p w14:paraId="2F9136DB">
      <w:pPr>
        <w:pStyle w:val="6"/>
        <w:widowControl/>
        <w:shd w:val="clear" w:color="auto" w:fill="FFFFFF"/>
        <w:snapToGrid w:val="0"/>
        <w:spacing w:beforeAutospacing="0" w:afterAutospacing="0" w:line="560" w:lineRule="exact"/>
        <w:ind w:firstLine="643" w:firstLineChars="200"/>
        <w:jc w:val="both"/>
        <w:rPr>
          <w:rFonts w:ascii="仿宋" w:hAnsi="仿宋" w:eastAsia="仿宋" w:cs="仿宋"/>
          <w:b/>
          <w:bCs/>
          <w:sz w:val="32"/>
          <w:szCs w:val="32"/>
        </w:rPr>
      </w:pPr>
      <w:r>
        <w:rPr>
          <w:rFonts w:hint="eastAsia" w:ascii="仿宋" w:hAnsi="仿宋" w:eastAsia="仿宋" w:cs="仿宋"/>
          <w:b/>
          <w:bCs/>
          <w:sz w:val="32"/>
          <w:szCs w:val="32"/>
        </w:rPr>
        <w:t>2.</w:t>
      </w:r>
      <w:r>
        <w:rPr>
          <w:rFonts w:ascii="仿宋" w:hAnsi="仿宋" w:eastAsia="仿宋" w:cs="仿宋"/>
          <w:b/>
          <w:bCs/>
          <w:sz w:val="32"/>
          <w:szCs w:val="32"/>
        </w:rPr>
        <w:t>项目支出情况</w:t>
      </w:r>
    </w:p>
    <w:p w14:paraId="4D2FCF05">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①2023年学校共计收到财政项目专项资金拨款收入2</w:t>
      </w:r>
      <w:r>
        <w:rPr>
          <w:rFonts w:hint="eastAsia" w:ascii="仿宋" w:hAnsi="仿宋" w:eastAsia="仿宋" w:cs="仿宋"/>
          <w:bCs/>
          <w:sz w:val="32"/>
          <w:szCs w:val="32"/>
          <w:lang w:val="en-US" w:eastAsia="zh-CN"/>
        </w:rPr>
        <w:t>5万</w:t>
      </w:r>
      <w:r>
        <w:rPr>
          <w:rFonts w:hint="eastAsia" w:ascii="仿宋" w:hAnsi="仿宋" w:eastAsia="仿宋" w:cs="仿宋"/>
          <w:bCs/>
          <w:sz w:val="32"/>
          <w:szCs w:val="32"/>
        </w:rPr>
        <w:t>元。2023年共计支出</w:t>
      </w:r>
      <w:r>
        <w:rPr>
          <w:rFonts w:hint="eastAsia" w:ascii="仿宋" w:hAnsi="仿宋" w:eastAsia="仿宋" w:cs="仿宋"/>
          <w:bCs/>
          <w:sz w:val="32"/>
          <w:szCs w:val="32"/>
          <w:lang w:val="en-US" w:eastAsia="zh-CN"/>
        </w:rPr>
        <w:t>25万</w:t>
      </w:r>
      <w:r>
        <w:rPr>
          <w:rFonts w:hint="eastAsia" w:ascii="仿宋" w:hAnsi="仿宋" w:eastAsia="仿宋" w:cs="仿宋"/>
          <w:bCs/>
          <w:sz w:val="32"/>
          <w:szCs w:val="32"/>
        </w:rPr>
        <w:t>元，其中：社区教育专项资金2</w:t>
      </w:r>
      <w:r>
        <w:rPr>
          <w:rFonts w:hint="eastAsia" w:ascii="仿宋" w:hAnsi="仿宋" w:eastAsia="仿宋" w:cs="仿宋"/>
          <w:bCs/>
          <w:sz w:val="32"/>
          <w:szCs w:val="32"/>
          <w:lang w:val="en-US" w:eastAsia="zh-CN"/>
        </w:rPr>
        <w:t>5万</w:t>
      </w:r>
      <w:r>
        <w:rPr>
          <w:rFonts w:hint="eastAsia" w:ascii="仿宋" w:hAnsi="仿宋" w:eastAsia="仿宋" w:cs="仿宋"/>
          <w:bCs/>
          <w:sz w:val="32"/>
          <w:szCs w:val="32"/>
        </w:rPr>
        <w:t>元。</w:t>
      </w:r>
    </w:p>
    <w:p w14:paraId="0CBD4754">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②学校对于专项资金的使用和管理严格按上级专项资金相关规定执行，坚持“专人负责，专款专用，严把关”的原则，由学校纪检监察室参与项目的全程监督。</w:t>
      </w:r>
    </w:p>
    <w:p w14:paraId="1B5DB613">
      <w:pPr>
        <w:pStyle w:val="6"/>
        <w:widowControl/>
        <w:shd w:val="clear" w:color="auto" w:fill="FFFFFF"/>
        <w:snapToGrid w:val="0"/>
        <w:spacing w:beforeAutospacing="0" w:afterAutospacing="0" w:line="560" w:lineRule="exact"/>
        <w:ind w:firstLine="643" w:firstLineChars="200"/>
        <w:jc w:val="both"/>
        <w:rPr>
          <w:rFonts w:ascii="楷体" w:hAnsi="楷体" w:eastAsia="楷体" w:cs="仿宋"/>
          <w:b/>
          <w:bCs/>
          <w:sz w:val="32"/>
          <w:szCs w:val="32"/>
        </w:rPr>
      </w:pPr>
      <w:r>
        <w:rPr>
          <w:rFonts w:hint="eastAsia" w:ascii="楷体" w:hAnsi="楷体" w:eastAsia="楷体" w:cs="楷体_GB2312"/>
          <w:b/>
          <w:color w:val="000000"/>
          <w:sz w:val="32"/>
          <w:szCs w:val="32"/>
          <w:shd w:val="clear" w:color="auto" w:fill="FFFFFF"/>
        </w:rPr>
        <w:t>（三）</w:t>
      </w:r>
      <w:r>
        <w:rPr>
          <w:rFonts w:ascii="楷体" w:hAnsi="楷体" w:eastAsia="楷体" w:cs="楷体_GB2312"/>
          <w:b/>
          <w:color w:val="000000"/>
          <w:sz w:val="32"/>
          <w:szCs w:val="32"/>
          <w:shd w:val="clear" w:color="auto" w:fill="FFFFFF"/>
        </w:rPr>
        <w:t>"三公"经费使用和管理情况</w:t>
      </w:r>
    </w:p>
    <w:p w14:paraId="2E3FD7F3">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我校在“三公”经费的使用和管理上先后出台了本单位公务接待、车辆集中管理、差旅、会议、培训等管理办法，实行了“三公”经费公示制度，有效地控制了“三公”经费支出。</w:t>
      </w:r>
    </w:p>
    <w:p w14:paraId="018B2C80">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1.严格控制公务接待。我校公务接待工作按照简化礼仪、务实节俭、杜绝浪费的原则管理和规范公务接待工作，并明确接待用餐档次和限额。接待费报账需要出具接待函、接待人员清单、菜单、公务卡结算单、正规餐饮发票方可报账。2023年公务接待费2.43万元，较上年的1.08万元增加1.35万元，增加55.56%。</w:t>
      </w:r>
    </w:p>
    <w:p w14:paraId="28BECA45">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2.严格规范公务用车。学校先后制订了《怀化广播电视大学车辆管理制度》、《怀化电大车辆驾驶员管理制度》，车辆的保险和维修必须到政府采购指定保险公司购买和厂家维修；车辆汽油费必须统一用加油卡、公务卡结算，不得报销任何零星汽油费；车辆过路费必须同差旅费一同报销。2023年我校公务用车运行维护费0万元，与上年持平。</w:t>
      </w:r>
    </w:p>
    <w:p w14:paraId="0061BCA6">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3.严格控制公务出国（境）费。2023年我校出国（境）费为0万元。</w:t>
      </w:r>
    </w:p>
    <w:p w14:paraId="066AB9B8">
      <w:pPr>
        <w:snapToGrid w:val="0"/>
        <w:spacing w:line="560" w:lineRule="exact"/>
        <w:ind w:firstLine="640" w:firstLineChars="200"/>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三、政府性基金预算支出情况</w:t>
      </w:r>
    </w:p>
    <w:p w14:paraId="503269FB">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2023年度政府性基金预算支出69197.5元，用于补充学校社区教育和农民大学生培养等相关工作经费。</w:t>
      </w:r>
    </w:p>
    <w:p w14:paraId="61CE79A9">
      <w:pPr>
        <w:snapToGrid w:val="0"/>
        <w:spacing w:line="560" w:lineRule="exact"/>
        <w:ind w:firstLine="640" w:firstLineChars="200"/>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四、国有资本经营预算支出情况</w:t>
      </w:r>
    </w:p>
    <w:p w14:paraId="23B1669B">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rPr>
      </w:pPr>
      <w:r>
        <w:rPr>
          <w:rFonts w:hint="eastAsia" w:ascii="仿宋" w:hAnsi="仿宋" w:eastAsia="仿宋" w:cs="仿宋"/>
          <w:bCs/>
          <w:sz w:val="32"/>
          <w:szCs w:val="32"/>
        </w:rPr>
        <w:t>2023年我校无国有资本经营预算支出。</w:t>
      </w:r>
    </w:p>
    <w:p w14:paraId="635E27B1">
      <w:pPr>
        <w:snapToGrid w:val="0"/>
        <w:spacing w:line="560" w:lineRule="exact"/>
        <w:ind w:firstLine="640" w:firstLineChars="200"/>
        <w:rPr>
          <w:rFonts w:ascii="黑体" w:hAnsi="黑体" w:eastAsia="黑体" w:cs="黑体"/>
          <w:color w:val="000000"/>
          <w:kern w:val="0"/>
          <w:sz w:val="32"/>
          <w:szCs w:val="32"/>
          <w:shd w:val="clear" w:color="auto" w:fill="FFFFFF"/>
          <w:lang w:bidi="ar"/>
        </w:rPr>
      </w:pPr>
      <w:r>
        <w:rPr>
          <w:rFonts w:hint="eastAsia" w:ascii="黑体" w:hAnsi="黑体" w:eastAsia="黑体" w:cs="黑体"/>
          <w:color w:val="000000"/>
          <w:kern w:val="0"/>
          <w:sz w:val="32"/>
          <w:szCs w:val="32"/>
          <w:shd w:val="clear" w:color="auto" w:fill="FFFFFF"/>
          <w:lang w:bidi="ar"/>
        </w:rPr>
        <w:t>五、社会保险基金预算支出情况</w:t>
      </w:r>
    </w:p>
    <w:p w14:paraId="34C1E210">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rPr>
      </w:pPr>
      <w:r>
        <w:rPr>
          <w:rFonts w:hint="eastAsia" w:ascii="仿宋" w:hAnsi="仿宋" w:eastAsia="仿宋" w:cs="仿宋"/>
          <w:bCs/>
          <w:sz w:val="32"/>
          <w:szCs w:val="32"/>
        </w:rPr>
        <w:t>2023年我校无社会保险基金预算支出。</w:t>
      </w:r>
    </w:p>
    <w:p w14:paraId="061A2497">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r>
        <w:rPr>
          <w:rFonts w:hint="eastAsia" w:ascii="黑体" w:hAnsi="黑体" w:eastAsia="黑体" w:cs="黑体"/>
          <w:color w:val="000000"/>
          <w:sz w:val="32"/>
          <w:szCs w:val="32"/>
          <w:shd w:val="clear" w:color="auto" w:fill="FFFFFF"/>
          <w:lang w:bidi="ar"/>
        </w:rPr>
        <w:t>六、部门整体支出绩效情况</w:t>
      </w:r>
    </w:p>
    <w:p w14:paraId="0244016E">
      <w:pPr>
        <w:pStyle w:val="6"/>
        <w:widowControl/>
        <w:shd w:val="clear" w:color="auto" w:fill="FFFFFF"/>
        <w:snapToGrid w:val="0"/>
        <w:spacing w:beforeAutospacing="0" w:afterAutospacing="0" w:line="560" w:lineRule="exact"/>
        <w:ind w:firstLine="643" w:firstLineChars="200"/>
        <w:jc w:val="both"/>
        <w:rPr>
          <w:rFonts w:ascii="楷体" w:hAnsi="楷体" w:eastAsia="楷体" w:cs="黑体"/>
          <w:b/>
          <w:color w:val="000000"/>
          <w:sz w:val="32"/>
          <w:szCs w:val="32"/>
          <w:shd w:val="clear" w:color="auto" w:fill="FFFFFF"/>
          <w:lang w:bidi="ar"/>
        </w:rPr>
      </w:pPr>
      <w:r>
        <w:rPr>
          <w:rFonts w:ascii="楷体" w:hAnsi="楷体" w:eastAsia="楷体" w:cs="楷体_GB2312"/>
          <w:b/>
          <w:color w:val="000000" w:themeColor="text1"/>
          <w:sz w:val="32"/>
          <w:szCs w:val="32"/>
          <w:shd w:val="clear" w:color="auto" w:fill="FFFFFF"/>
          <w14:textFill>
            <w14:solidFill>
              <w14:schemeClr w14:val="tx1"/>
            </w14:solidFill>
          </w14:textFill>
        </w:rPr>
        <w:t>（一）综合评价结论。反映自评得分及评价等级。</w:t>
      </w:r>
    </w:p>
    <w:p w14:paraId="66A23839">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怀化开放大学在2023年度部门整体支出绩效自评中，经过对预算配置、预算执行、教育教学成果、机构设置与人员配置等多个维度的严格自评，学校自评得分为优良</w:t>
      </w:r>
      <w:r>
        <w:rPr>
          <w:rFonts w:ascii="仿宋" w:hAnsi="仿宋" w:eastAsia="仿宋" w:cs="仿宋"/>
          <w:bCs/>
          <w:sz w:val="32"/>
          <w:szCs w:val="32"/>
        </w:rPr>
        <w:t>等级对应的分数段。</w:t>
      </w:r>
    </w:p>
    <w:p w14:paraId="26FBC5C9">
      <w:pPr>
        <w:pStyle w:val="6"/>
        <w:widowControl/>
        <w:shd w:val="clear" w:color="auto" w:fill="FFFFFF"/>
        <w:snapToGrid w:val="0"/>
        <w:spacing w:beforeAutospacing="0" w:afterAutospacing="0" w:line="560" w:lineRule="exact"/>
        <w:ind w:firstLine="643" w:firstLineChars="200"/>
        <w:jc w:val="both"/>
        <w:rPr>
          <w:rFonts w:ascii="仿宋" w:hAnsi="仿宋" w:eastAsia="仿宋" w:cs="仿宋"/>
          <w:bCs/>
          <w:sz w:val="32"/>
          <w:szCs w:val="32"/>
        </w:rPr>
      </w:pPr>
      <w:r>
        <w:rPr>
          <w:rFonts w:hint="eastAsia" w:ascii="楷体" w:hAnsi="楷体" w:eastAsia="楷体" w:cs="楷体_GB2312"/>
          <w:b/>
          <w:color w:val="000000"/>
          <w:sz w:val="32"/>
          <w:szCs w:val="32"/>
          <w:shd w:val="clear" w:color="auto" w:fill="FFFFFF"/>
        </w:rPr>
        <w:t>（二）</w:t>
      </w:r>
      <w:r>
        <w:rPr>
          <w:rFonts w:ascii="楷体" w:hAnsi="楷体" w:eastAsia="楷体" w:cs="楷体_GB2312"/>
          <w:b/>
          <w:color w:val="000000"/>
          <w:sz w:val="32"/>
          <w:szCs w:val="32"/>
          <w:shd w:val="clear" w:color="auto" w:fill="FFFFFF"/>
        </w:rPr>
        <w:t>评价指标分析（或综合评价情况）。</w:t>
      </w:r>
    </w:p>
    <w:p w14:paraId="4A856A1D">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怀化开放大学在“四本预算”支出绩效目标完成方面取得了显著成效，</w:t>
      </w:r>
      <w:r>
        <w:rPr>
          <w:rFonts w:hint="eastAsia" w:ascii="仿宋" w:hAnsi="仿宋" w:eastAsia="仿宋" w:cs="仿宋"/>
          <w:bCs/>
          <w:sz w:val="32"/>
          <w:szCs w:val="32"/>
        </w:rPr>
        <w:t>基本</w:t>
      </w:r>
      <w:r>
        <w:rPr>
          <w:rFonts w:ascii="仿宋" w:hAnsi="仿宋" w:eastAsia="仿宋" w:cs="仿宋"/>
          <w:bCs/>
          <w:sz w:val="32"/>
          <w:szCs w:val="32"/>
        </w:rPr>
        <w:t>实现了产出和取得效益的预期目标。为了进一步提升预算资金的使用效益和管理水平，学校继续加强预算管理和资产管理工作，优化资源配置结构；同时加强与社会各界的合作与交流，拓展服务领域和服务对象；此外还需关注教职工队伍建设和发展问题，提高教职工的工作积极性和创新能力。</w:t>
      </w:r>
    </w:p>
    <w:p w14:paraId="243CB046">
      <w:pPr>
        <w:pStyle w:val="6"/>
        <w:widowControl/>
        <w:shd w:val="clear" w:color="auto" w:fill="FFFFFF"/>
        <w:snapToGrid w:val="0"/>
        <w:spacing w:beforeAutospacing="0" w:afterAutospacing="0" w:line="560" w:lineRule="exact"/>
        <w:ind w:firstLine="643" w:firstLineChars="200"/>
        <w:jc w:val="both"/>
        <w:rPr>
          <w:rFonts w:ascii="仿宋" w:hAnsi="仿宋" w:eastAsia="仿宋" w:cs="仿宋"/>
          <w:b/>
          <w:bCs/>
          <w:sz w:val="32"/>
          <w:szCs w:val="32"/>
        </w:rPr>
      </w:pPr>
      <w:r>
        <w:rPr>
          <w:rFonts w:hint="eastAsia" w:ascii="仿宋" w:hAnsi="仿宋" w:eastAsia="仿宋" w:cs="仿宋"/>
          <w:b/>
          <w:bCs/>
          <w:sz w:val="32"/>
          <w:szCs w:val="32"/>
        </w:rPr>
        <w:t>1.</w:t>
      </w:r>
      <w:r>
        <w:rPr>
          <w:rFonts w:ascii="仿宋" w:hAnsi="仿宋" w:eastAsia="仿宋" w:cs="仿宋"/>
          <w:b/>
          <w:bCs/>
          <w:sz w:val="32"/>
          <w:szCs w:val="32"/>
        </w:rPr>
        <w:t>绩效目标设定与完成情况</w:t>
      </w:r>
    </w:p>
    <w:p w14:paraId="47EBE75B">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根据学校的发展战略和行业发展规划，</w:t>
      </w:r>
      <w:r>
        <w:rPr>
          <w:rFonts w:hint="eastAsia" w:ascii="仿宋" w:hAnsi="仿宋" w:eastAsia="仿宋" w:cs="仿宋"/>
          <w:bCs/>
          <w:sz w:val="32"/>
          <w:szCs w:val="32"/>
        </w:rPr>
        <w:t>我校</w:t>
      </w:r>
      <w:r>
        <w:rPr>
          <w:rFonts w:ascii="仿宋" w:hAnsi="仿宋" w:eastAsia="仿宋" w:cs="仿宋"/>
          <w:bCs/>
          <w:sz w:val="32"/>
          <w:szCs w:val="32"/>
        </w:rPr>
        <w:t>制定了具体的绩效目标，并将这些目标细化为各项预算支出指标。通过对比实际完成情况与绩效目标，可以看出学校在以下几个方面取得了显著成效：</w:t>
      </w:r>
    </w:p>
    <w:p w14:paraId="5472D84F">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①</w:t>
      </w:r>
      <w:r>
        <w:rPr>
          <w:rFonts w:ascii="仿宋" w:hAnsi="仿宋" w:eastAsia="仿宋" w:cs="仿宋"/>
          <w:bCs/>
          <w:sz w:val="32"/>
          <w:szCs w:val="32"/>
        </w:rPr>
        <w:t>教学资源建设：加强了教学设施建设、课程资源开发和师资队伍建设，提高了教学质量和水平。实际完成情况显示，教学资源投入增加，教学效果</w:t>
      </w:r>
      <w:r>
        <w:rPr>
          <w:rFonts w:hint="eastAsia" w:ascii="仿宋" w:hAnsi="仿宋" w:eastAsia="仿宋" w:cs="仿宋"/>
          <w:bCs/>
          <w:sz w:val="32"/>
          <w:szCs w:val="32"/>
        </w:rPr>
        <w:t>得到提</w:t>
      </w:r>
      <w:r>
        <w:rPr>
          <w:rFonts w:ascii="仿宋" w:hAnsi="仿宋" w:eastAsia="仿宋" w:cs="仿宋"/>
          <w:bCs/>
          <w:sz w:val="32"/>
          <w:szCs w:val="32"/>
        </w:rPr>
        <w:t>升。</w:t>
      </w:r>
      <w:r>
        <w:rPr>
          <w:rFonts w:hint="eastAsia" w:ascii="仿宋" w:hAnsi="仿宋" w:eastAsia="仿宋" w:cs="仿宋"/>
          <w:bCs/>
          <w:sz w:val="32"/>
          <w:szCs w:val="32"/>
        </w:rPr>
        <w:t>一是线上教学有成绩。全年安排钉钉直播课程150多门，安排专人负责国家开放大学、湖南开放大学的直播督导，狠抓网上直播的学习，到课率增至65%。全年共组织开放教育直播课400多场，村社区直播课300多场，其中村（社区）直播参与率排全省前三，开放教育和农民大学生直播参与率排全省前列，农大生学习时长稳居全省第一。二是线下面授抓质量。4月、6月、9月、10月共组织四次全日制农大生集中脱产学习，邀请校外优秀教师和土专家开展思政、乡村振兴等各类课程讲座，如省校杨先林教授带领大家探索《计算机数学》、彭瑛教授为大家解读乡村振兴、怀化市委党校副校长王欣堂讲授《二十大报告解读》、党的十七大、十八大代表龙四清分享《如何做好新时代基层工作》等。另组织学生赴中方大松坡村、辰溪溪口村开展实践教学活动，开阔学生视野，提升农民大学生理论联系实际的能力。组织参加省校“2022-2023学年高职教育农民大学生评先评优工作”，推送49人。三是比学赶超抓竞赛，本年度荣获2022年职业教育国家级教学成果二等奖，国家开放大学中华优秀传统文化短视频一等奖，国家开放大学学前教育专业课程思政优秀教学设计方案征集一等奖，湖南开放大学办学体系教学直播能力大赛一等奖等。</w:t>
      </w:r>
    </w:p>
    <w:p w14:paraId="4D3A4A85">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②</w:t>
      </w:r>
      <w:r>
        <w:rPr>
          <w:rFonts w:ascii="仿宋" w:hAnsi="仿宋" w:eastAsia="仿宋" w:cs="仿宋"/>
          <w:bCs/>
          <w:sz w:val="32"/>
          <w:szCs w:val="32"/>
        </w:rPr>
        <w:t>科研创新能力提升：学校加大了科研投入力度，推动了科研项目的开展和科技成果的转化。实际完成情况显示，科研投入稳步增长，科研成果丰硕，学校科研实力不断提升。</w:t>
      </w:r>
      <w:r>
        <w:rPr>
          <w:rFonts w:hint="eastAsia" w:ascii="仿宋" w:hAnsi="仿宋" w:eastAsia="仿宋" w:cs="仿宋"/>
          <w:bCs/>
          <w:sz w:val="32"/>
          <w:szCs w:val="32"/>
        </w:rPr>
        <w:t>2023年成功申报了湖南省教育教改课题2项，怀化市社科联课题4项，湖南开放大学课题2项；公开出版专著1部，参编教材1部，在省级刊物公开发表论文14篇，其中省级学术期刊公开发表论文10篇。</w:t>
      </w:r>
    </w:p>
    <w:p w14:paraId="5BF2C9E1">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③</w:t>
      </w:r>
      <w:r>
        <w:rPr>
          <w:rFonts w:ascii="仿宋" w:hAnsi="仿宋" w:eastAsia="仿宋" w:cs="仿宋"/>
          <w:bCs/>
          <w:sz w:val="32"/>
          <w:szCs w:val="32"/>
        </w:rPr>
        <w:t>社会服务能力拓展：学校加强了社会服务项目的开展和推广，提高了学校的社会影响力和服务水平。实际完成情况显示，社会服务项目数量增加，服务质量提升，学校与社会的联系更加紧密。</w:t>
      </w:r>
      <w:r>
        <w:rPr>
          <w:rFonts w:hint="eastAsia" w:ascii="仿宋" w:hAnsi="仿宋" w:eastAsia="仿宋" w:cs="仿宋"/>
          <w:bCs/>
          <w:sz w:val="32"/>
          <w:szCs w:val="32"/>
        </w:rPr>
        <w:t>学校积极对接，全年共承办10场线下培训、3场社会考试，培训人数达1134人次，考试科次达15718科次。今年首次承接国考考试委托业务，即2022年度一级造价工程师职业资格考试（补考）,考试科次1300科次。继续推广事业单位培训平台，目前，平台注册人数为65014，较去年有所增长。专业技术人员继续教育网发展平稳，怀化分平台注册学员达到7895人，累计购买公需科目和专业科目达17343科次。怀化市干部教育网络培训学院坚持围绕怀化市委、市政府中心工作，立足怀化市情市策，以怀化市的科学发展为目标打造本土优秀课程、精品微课程。市网院邀请“中国陆港之父”、怀化国际陆港首席专家席平教授录制《在山沟里创建国际港口城市》系列精品微课的录制。开展“学习新思想  奋进新征程”怀化市干部网络教育培训精品微课程征集活动，丰富课程资源，优化网络学院平台课程结构。追梦合唱团参加2023年湖南省合唱艺术展演获怀化专场第一名，雪峰山民族艺术团作品《种子》和老年教育线下班十一组合小合唱作品《燕子》，参加怀化第二届艺术节均斩获二等奖。积极开展湖南省“百姓学习之星”“终身学习品牌项目”“学习型家庭”“优秀学习团队”和“优秀社区学校”遴选工作，40余个个人、家庭和项目入选；学校提炼撰写的社区教育案例《弘扬长征精神，赋能社区教育高质量发展》《踏歌雪峰 舞美人生》《唱响五溪大地，点亮社区生活》入选《这十年 湖南省社区教育的“四色”创新实践》，成为全省推广应用经验。</w:t>
      </w:r>
    </w:p>
    <w:p w14:paraId="2BA9D957">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④</w:t>
      </w:r>
      <w:r>
        <w:rPr>
          <w:rFonts w:ascii="仿宋" w:hAnsi="仿宋" w:eastAsia="仿宋" w:cs="仿宋"/>
          <w:bCs/>
          <w:sz w:val="32"/>
          <w:szCs w:val="32"/>
        </w:rPr>
        <w:t>职工福利待遇改善：学校保障了教职工的合法权益和福利待遇，提高了教职工的工作积极性和满意度。实际完成情况显示，教职工福利待遇得到显著改善，学校凝聚力增强。</w:t>
      </w:r>
      <w:r>
        <w:rPr>
          <w:rFonts w:hint="eastAsia" w:ascii="仿宋" w:hAnsi="仿宋" w:eastAsia="仿宋" w:cs="仿宋"/>
          <w:bCs/>
          <w:sz w:val="32"/>
          <w:szCs w:val="32"/>
        </w:rPr>
        <w:t>在上级和人社部门的指导支持下，科学修订完善学校2023年度绩效分配方案，科学量化工作内容，落实目标管理，形成竞争有为的绩效管理机制，实行部门工作目标责任考核制；加强人文关怀，大力推进民生工程，进一步改善教职员工的待遇，增强团结，以发展大局为重，形成同心同德干事业合力，努力建设和谐的校园文化；开展创先争优，促进管理水平提高。</w:t>
      </w:r>
    </w:p>
    <w:p w14:paraId="2D61A0D2">
      <w:pPr>
        <w:pStyle w:val="6"/>
        <w:widowControl/>
        <w:shd w:val="clear" w:color="auto" w:fill="FFFFFF"/>
        <w:snapToGrid w:val="0"/>
        <w:spacing w:beforeAutospacing="0" w:afterAutospacing="0" w:line="560" w:lineRule="exact"/>
        <w:ind w:firstLine="643" w:firstLineChars="200"/>
        <w:jc w:val="both"/>
        <w:rPr>
          <w:rFonts w:ascii="仿宋" w:hAnsi="仿宋" w:eastAsia="仿宋" w:cs="仿宋"/>
          <w:b/>
          <w:bCs/>
          <w:sz w:val="32"/>
          <w:szCs w:val="32"/>
        </w:rPr>
      </w:pPr>
      <w:r>
        <w:rPr>
          <w:rFonts w:hint="eastAsia" w:ascii="仿宋" w:hAnsi="仿宋" w:eastAsia="仿宋" w:cs="仿宋"/>
          <w:b/>
          <w:bCs/>
          <w:sz w:val="32"/>
          <w:szCs w:val="32"/>
        </w:rPr>
        <w:t>2.</w:t>
      </w:r>
      <w:r>
        <w:rPr>
          <w:rFonts w:ascii="仿宋" w:hAnsi="仿宋" w:eastAsia="仿宋" w:cs="仿宋"/>
          <w:b/>
          <w:bCs/>
          <w:sz w:val="32"/>
          <w:szCs w:val="32"/>
        </w:rPr>
        <w:t>预算配置与执行情况</w:t>
      </w:r>
    </w:p>
    <w:p w14:paraId="1685C283">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怀化开放大学在预算配置过程中，注重优化资源配置结构，确保各项预算支出与绩效目标相匹配。在预算执行过程中，学校加强了对预算执行的监控和管理，确保预算资金的有效利用和合规使用。实际执行情况显示，预算配置合理有效，预算执行规范有序，预算资金得到了</w:t>
      </w:r>
      <w:r>
        <w:rPr>
          <w:rFonts w:hint="eastAsia" w:ascii="仿宋" w:hAnsi="仿宋" w:eastAsia="仿宋" w:cs="仿宋"/>
          <w:bCs/>
          <w:sz w:val="32"/>
          <w:szCs w:val="32"/>
        </w:rPr>
        <w:t>比较</w:t>
      </w:r>
      <w:r>
        <w:rPr>
          <w:rFonts w:ascii="仿宋" w:hAnsi="仿宋" w:eastAsia="仿宋" w:cs="仿宋"/>
          <w:bCs/>
          <w:sz w:val="32"/>
          <w:szCs w:val="32"/>
        </w:rPr>
        <w:t>充分利用。</w:t>
      </w:r>
    </w:p>
    <w:p w14:paraId="12414E6C">
      <w:pPr>
        <w:pStyle w:val="6"/>
        <w:widowControl/>
        <w:shd w:val="clear" w:color="auto" w:fill="FFFFFF"/>
        <w:snapToGrid w:val="0"/>
        <w:spacing w:beforeAutospacing="0" w:afterAutospacing="0" w:line="560" w:lineRule="exact"/>
        <w:ind w:firstLine="643" w:firstLineChars="200"/>
        <w:jc w:val="both"/>
        <w:rPr>
          <w:rFonts w:ascii="仿宋" w:hAnsi="仿宋" w:eastAsia="仿宋" w:cs="仿宋"/>
          <w:b/>
          <w:bCs/>
          <w:sz w:val="32"/>
          <w:szCs w:val="32"/>
        </w:rPr>
      </w:pPr>
      <w:r>
        <w:rPr>
          <w:rFonts w:hint="eastAsia" w:ascii="仿宋" w:hAnsi="仿宋" w:eastAsia="仿宋" w:cs="仿宋"/>
          <w:b/>
          <w:bCs/>
          <w:sz w:val="32"/>
          <w:szCs w:val="32"/>
        </w:rPr>
        <w:t>3.</w:t>
      </w:r>
      <w:r>
        <w:rPr>
          <w:rFonts w:ascii="仿宋" w:hAnsi="仿宋" w:eastAsia="仿宋" w:cs="仿宋"/>
          <w:b/>
          <w:bCs/>
          <w:sz w:val="32"/>
          <w:szCs w:val="32"/>
        </w:rPr>
        <w:t>预算管理与资产管理情况</w:t>
      </w:r>
    </w:p>
    <w:p w14:paraId="1E779F3E">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怀化开放大学在预算管理方面，建立了完善的预算管理制度和流程，确保预算管理的科学性和规范性。同时，学校加强了资产管理，实现了资产的合理配置和有效利用。实际管理情况显示，预算管理规范有序，资产管理水平得到提升，为学校的可持续发展提供了有力保障。</w:t>
      </w:r>
    </w:p>
    <w:p w14:paraId="5E2D5EFC">
      <w:pPr>
        <w:pStyle w:val="6"/>
        <w:widowControl/>
        <w:shd w:val="clear" w:color="auto" w:fill="FFFFFF"/>
        <w:snapToGrid w:val="0"/>
        <w:spacing w:beforeAutospacing="0" w:afterAutospacing="0" w:line="560" w:lineRule="exact"/>
        <w:ind w:firstLine="643" w:firstLineChars="200"/>
        <w:jc w:val="both"/>
        <w:rPr>
          <w:rFonts w:ascii="仿宋" w:hAnsi="仿宋" w:eastAsia="仿宋" w:cs="仿宋"/>
          <w:b/>
          <w:bCs/>
          <w:sz w:val="32"/>
          <w:szCs w:val="32"/>
        </w:rPr>
      </w:pPr>
      <w:r>
        <w:rPr>
          <w:rFonts w:hint="eastAsia" w:ascii="仿宋" w:hAnsi="仿宋" w:eastAsia="仿宋" w:cs="仿宋"/>
          <w:b/>
          <w:bCs/>
          <w:sz w:val="32"/>
          <w:szCs w:val="32"/>
        </w:rPr>
        <w:t>4.</w:t>
      </w:r>
      <w:r>
        <w:rPr>
          <w:rFonts w:ascii="仿宋" w:hAnsi="仿宋" w:eastAsia="仿宋" w:cs="仿宋"/>
          <w:b/>
          <w:bCs/>
          <w:sz w:val="32"/>
          <w:szCs w:val="32"/>
        </w:rPr>
        <w:t>职责履行与履职效益情况</w:t>
      </w:r>
    </w:p>
    <w:p w14:paraId="0976636D">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怀化开放大学在履行部门职责方面，积极履行职责义务，为社会提供了优质的教育服务。同时，学校注重提升履职效益，实现了教育资源的优化配置和高效利用。实际履职情况显示，学校职责履行到位，履职效益显著提升，为区域经济社会发展做出了积极贡献。</w:t>
      </w:r>
    </w:p>
    <w:p w14:paraId="5453DD66">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r>
        <w:rPr>
          <w:rFonts w:hint="eastAsia" w:ascii="黑体" w:hAnsi="黑体" w:eastAsia="黑体" w:cs="黑体"/>
          <w:color w:val="000000"/>
          <w:sz w:val="32"/>
          <w:szCs w:val="32"/>
          <w:shd w:val="clear" w:color="auto" w:fill="FFFFFF"/>
          <w:lang w:bidi="ar"/>
        </w:rPr>
        <w:t>七、存在的问题及原因分析</w:t>
      </w:r>
    </w:p>
    <w:p w14:paraId="165B4CBE">
      <w:pPr>
        <w:widowControl/>
        <w:shd w:val="clear" w:color="auto" w:fill="FFFFFF"/>
        <w:spacing w:line="560" w:lineRule="exact"/>
        <w:ind w:firstLine="640" w:firstLineChars="200"/>
        <w:rPr>
          <w:rFonts w:ascii="仿宋" w:hAnsi="仿宋" w:eastAsia="仿宋" w:cs="仿宋"/>
          <w:bCs/>
          <w:kern w:val="0"/>
          <w:sz w:val="32"/>
          <w:szCs w:val="32"/>
        </w:rPr>
      </w:pPr>
      <w:r>
        <w:rPr>
          <w:rFonts w:hint="eastAsia" w:ascii="仿宋" w:hAnsi="仿宋" w:eastAsia="仿宋" w:cs="仿宋"/>
          <w:bCs/>
          <w:kern w:val="0"/>
          <w:sz w:val="32"/>
          <w:szCs w:val="32"/>
        </w:rPr>
        <w:t>虽然部门预算编制是根据学校发展情况进行预算编制的，但在2024年部门预算执行过程中，仍然存在以下问题：</w:t>
      </w:r>
    </w:p>
    <w:p w14:paraId="15E9F638">
      <w:pPr>
        <w:widowControl/>
        <w:shd w:val="clear" w:color="auto" w:fill="FFFFFF"/>
        <w:spacing w:line="560" w:lineRule="exact"/>
        <w:ind w:firstLine="643" w:firstLineChars="200"/>
        <w:rPr>
          <w:rFonts w:ascii="仿宋" w:hAnsi="仿宋" w:eastAsia="仿宋" w:cs="仿宋"/>
          <w:bCs/>
          <w:sz w:val="32"/>
          <w:szCs w:val="32"/>
        </w:rPr>
      </w:pPr>
      <w:r>
        <w:rPr>
          <w:rFonts w:hint="eastAsia" w:ascii="楷体" w:hAnsi="楷体" w:eastAsia="楷体" w:cs="仿宋"/>
          <w:b/>
          <w:bCs/>
          <w:kern w:val="0"/>
          <w:sz w:val="32"/>
          <w:szCs w:val="32"/>
        </w:rPr>
        <w:t>（一）</w:t>
      </w:r>
      <w:r>
        <w:rPr>
          <w:rFonts w:ascii="楷体" w:hAnsi="楷体" w:eastAsia="楷体" w:cs="楷体_GB2312"/>
          <w:b/>
          <w:color w:val="000000"/>
          <w:sz w:val="32"/>
          <w:szCs w:val="32"/>
          <w:shd w:val="clear" w:color="auto" w:fill="FFFFFF"/>
        </w:rPr>
        <w:t>预</w:t>
      </w:r>
      <w:r>
        <w:rPr>
          <w:rFonts w:hint="eastAsia" w:ascii="楷体" w:hAnsi="楷体" w:eastAsia="楷体" w:cs="微软雅黑"/>
          <w:b/>
          <w:color w:val="000000"/>
          <w:sz w:val="32"/>
          <w:szCs w:val="32"/>
          <w:shd w:val="clear" w:color="auto" w:fill="FFFFFF"/>
        </w:rPr>
        <w:t>测不精准。</w:t>
      </w:r>
      <w:r>
        <w:rPr>
          <w:rFonts w:ascii="仿宋" w:hAnsi="仿宋" w:eastAsia="仿宋" w:cs="仿宋"/>
          <w:bCs/>
          <w:sz w:val="32"/>
          <w:szCs w:val="32"/>
        </w:rPr>
        <w:t>在预算编制阶段，</w:t>
      </w:r>
      <w:r>
        <w:rPr>
          <w:rFonts w:hint="eastAsia" w:ascii="仿宋" w:hAnsi="仿宋" w:eastAsia="仿宋" w:cs="仿宋"/>
          <w:bCs/>
          <w:sz w:val="32"/>
          <w:szCs w:val="32"/>
        </w:rPr>
        <w:t>我校主要</w:t>
      </w:r>
      <w:r>
        <w:rPr>
          <w:rFonts w:ascii="仿宋" w:hAnsi="仿宋" w:eastAsia="仿宋" w:cs="仿宋"/>
          <w:bCs/>
          <w:sz w:val="32"/>
          <w:szCs w:val="32"/>
        </w:rPr>
        <w:t>基于</w:t>
      </w:r>
      <w:r>
        <w:rPr>
          <w:rFonts w:hint="eastAsia" w:ascii="仿宋" w:hAnsi="仿宋" w:eastAsia="仿宋" w:cs="仿宋"/>
          <w:bCs/>
          <w:sz w:val="32"/>
          <w:szCs w:val="32"/>
        </w:rPr>
        <w:t>近三年</w:t>
      </w:r>
      <w:r>
        <w:rPr>
          <w:rFonts w:ascii="仿宋" w:hAnsi="仿宋" w:eastAsia="仿宋" w:cs="仿宋"/>
          <w:bCs/>
          <w:sz w:val="32"/>
          <w:szCs w:val="32"/>
        </w:rPr>
        <w:t>历史数据</w:t>
      </w:r>
      <w:r>
        <w:rPr>
          <w:rFonts w:hint="eastAsia" w:ascii="仿宋" w:hAnsi="仿宋" w:eastAsia="仿宋" w:cs="仿宋"/>
          <w:bCs/>
          <w:sz w:val="32"/>
          <w:szCs w:val="32"/>
        </w:rPr>
        <w:t>对年度收支情况</w:t>
      </w:r>
      <w:r>
        <w:rPr>
          <w:rFonts w:ascii="仿宋" w:hAnsi="仿宋" w:eastAsia="仿宋" w:cs="仿宋"/>
          <w:bCs/>
          <w:sz w:val="32"/>
          <w:szCs w:val="32"/>
        </w:rPr>
        <w:t>进行预测，但这些预测可能未能充分考虑到未来的不确定性，如学生人数的波动、课程需求的变化等，导致预算与实际需求之间存在较大差异。</w:t>
      </w:r>
    </w:p>
    <w:p w14:paraId="3E64965D">
      <w:pPr>
        <w:widowControl/>
        <w:shd w:val="clear" w:color="auto" w:fill="FFFFFF"/>
        <w:spacing w:line="560" w:lineRule="exact"/>
        <w:ind w:firstLine="643" w:firstLineChars="200"/>
        <w:rPr>
          <w:rFonts w:ascii="仿宋" w:hAnsi="仿宋" w:eastAsia="仿宋" w:cs="仿宋"/>
          <w:bCs/>
          <w:sz w:val="32"/>
          <w:szCs w:val="32"/>
        </w:rPr>
      </w:pPr>
      <w:r>
        <w:rPr>
          <w:rFonts w:hint="eastAsia" w:ascii="楷体" w:hAnsi="楷体" w:eastAsia="楷体" w:cs="楷体_GB2312"/>
          <w:b/>
          <w:color w:val="000000"/>
          <w:sz w:val="32"/>
          <w:szCs w:val="32"/>
          <w:shd w:val="clear" w:color="auto" w:fill="FFFFFF"/>
        </w:rPr>
        <w:t>（二）</w:t>
      </w:r>
      <w:r>
        <w:rPr>
          <w:rFonts w:hint="eastAsia" w:ascii="楷体" w:hAnsi="楷体" w:eastAsia="楷体" w:cs="微软雅黑"/>
          <w:b/>
          <w:color w:val="000000"/>
          <w:sz w:val="32"/>
          <w:szCs w:val="32"/>
          <w:shd w:val="clear" w:color="auto" w:fill="FFFFFF"/>
        </w:rPr>
        <w:t>部门协作不够。</w:t>
      </w:r>
      <w:r>
        <w:rPr>
          <w:rFonts w:ascii="仿宋" w:hAnsi="仿宋" w:eastAsia="仿宋" w:cs="仿宋"/>
          <w:bCs/>
          <w:sz w:val="32"/>
          <w:szCs w:val="32"/>
        </w:rPr>
        <w:t>预算编制通常涉及多个部门，但各部门之间可能缺乏充分的沟通和协作，导致预算编制的片面性或重复性，进而影响到预算的有效执行和绩效目标的实现。</w:t>
      </w:r>
    </w:p>
    <w:p w14:paraId="7C75C0B5">
      <w:pPr>
        <w:widowControl/>
        <w:shd w:val="clear" w:color="auto" w:fill="FFFFFF"/>
        <w:spacing w:line="560" w:lineRule="exact"/>
        <w:ind w:firstLine="643" w:firstLineChars="200"/>
        <w:rPr>
          <w:rFonts w:ascii="仿宋_GB2312" w:eastAsia="仿宋_GB2312" w:cs="仿宋_GB2312"/>
          <w:color w:val="000000"/>
          <w:kern w:val="0"/>
          <w:sz w:val="32"/>
          <w:szCs w:val="32"/>
          <w:shd w:val="clear" w:color="auto" w:fill="FFFFFF"/>
          <w:lang w:bidi="ar"/>
        </w:rPr>
      </w:pPr>
      <w:r>
        <w:rPr>
          <w:rFonts w:hint="eastAsia" w:ascii="楷体" w:hAnsi="楷体" w:eastAsia="楷体" w:cs="楷体_GB2312"/>
          <w:b/>
          <w:color w:val="000000"/>
          <w:sz w:val="32"/>
          <w:szCs w:val="32"/>
          <w:shd w:val="clear" w:color="auto" w:fill="FFFFFF"/>
        </w:rPr>
        <w:t>（三）</w:t>
      </w:r>
      <w:r>
        <w:rPr>
          <w:rFonts w:hint="eastAsia" w:ascii="楷体" w:hAnsi="楷体" w:eastAsia="楷体" w:cs="微软雅黑"/>
          <w:b/>
          <w:color w:val="000000"/>
          <w:sz w:val="32"/>
          <w:szCs w:val="32"/>
          <w:shd w:val="clear" w:color="auto" w:fill="FFFFFF"/>
        </w:rPr>
        <w:t>政</w:t>
      </w:r>
      <w:r>
        <w:rPr>
          <w:rFonts w:hint="eastAsia" w:ascii="楷体" w:hAnsi="楷体" w:eastAsia="楷体" w:cs="___WRD_EMBED_SUB_41"/>
          <w:b/>
          <w:color w:val="000000"/>
          <w:sz w:val="32"/>
          <w:szCs w:val="32"/>
          <w:shd w:val="clear" w:color="auto" w:fill="FFFFFF"/>
        </w:rPr>
        <w:t>策变化把握不到位</w:t>
      </w:r>
      <w:r>
        <w:rPr>
          <w:rFonts w:hint="eastAsia" w:ascii="楷体" w:hAnsi="楷体" w:eastAsia="楷体" w:cs="微软雅黑"/>
          <w:b/>
          <w:color w:val="000000"/>
          <w:sz w:val="32"/>
          <w:szCs w:val="32"/>
          <w:shd w:val="clear" w:color="auto" w:fill="FFFFFF"/>
        </w:rPr>
        <w:t>。</w:t>
      </w:r>
      <w:r>
        <w:rPr>
          <w:rFonts w:ascii="仿宋" w:hAnsi="仿宋" w:eastAsia="仿宋" w:cs="仿宋"/>
          <w:bCs/>
          <w:sz w:val="32"/>
          <w:szCs w:val="32"/>
        </w:rPr>
        <w:t>政府政策的变化可能对学校的招生、教学、科研等方面产生直接影响，进而影响到预算支出和绩效目标的实现。</w:t>
      </w:r>
    </w:p>
    <w:p w14:paraId="6E0080F1">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r>
        <w:rPr>
          <w:rFonts w:hint="eastAsia" w:ascii="黑体" w:hAnsi="黑体" w:eastAsia="黑体" w:cs="黑体"/>
          <w:color w:val="000000"/>
          <w:sz w:val="32"/>
          <w:szCs w:val="32"/>
          <w:shd w:val="clear" w:color="auto" w:fill="FFFFFF"/>
          <w:lang w:bidi="ar"/>
        </w:rPr>
        <w:t>八、下一步改进措施</w:t>
      </w:r>
    </w:p>
    <w:p w14:paraId="16F3D45C">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怀化开放大学预算支出执行偏离绩效目标的原因是多方面的，既有预算编制阶段的问题，也有预算执行阶段的问题，还受到外部环境和内部管理等因素的影响。为了改进预算管理工作，学校应加强预算编制的准确性和合理性，提高预算执行的监控和管理水平，加强内部管理体制改革和人员培训，以适应外部环境的变化和挑战。同时，学校还应加强与各部门的沟通和协作，确保预算资金的合理分配和有效使用，为绩效目标的实现提供有力保障。</w:t>
      </w:r>
    </w:p>
    <w:p w14:paraId="404DFA47">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r>
        <w:rPr>
          <w:rFonts w:hint="eastAsia" w:ascii="黑体" w:hAnsi="黑体" w:eastAsia="黑体" w:cs="黑体"/>
          <w:color w:val="000000"/>
          <w:sz w:val="32"/>
          <w:szCs w:val="32"/>
          <w:shd w:val="clear" w:color="auto" w:fill="FFFFFF"/>
          <w:lang w:bidi="ar"/>
        </w:rPr>
        <w:t>九、其他需要说明的情况</w:t>
      </w:r>
    </w:p>
    <w:p w14:paraId="70B49BD6">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无。</w:t>
      </w:r>
    </w:p>
    <w:p w14:paraId="2D487C06">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p>
    <w:p w14:paraId="7C885CEC">
      <w:pPr>
        <w:pStyle w:val="6"/>
        <w:widowControl/>
        <w:shd w:val="clear" w:color="auto" w:fill="FFFFFF"/>
        <w:snapToGrid w:val="0"/>
        <w:spacing w:beforeAutospacing="0" w:afterAutospacing="0" w:line="560" w:lineRule="exact"/>
        <w:ind w:firstLine="640" w:firstLineChars="200"/>
        <w:jc w:val="both"/>
        <w:rPr>
          <w:rFonts w:ascii="仿宋_GB2312" w:eastAsia="仿宋_GB2312" w:cstheme="minorBidi"/>
          <w:kern w:val="2"/>
          <w:sz w:val="32"/>
          <w:szCs w:val="32"/>
        </w:rPr>
      </w:pPr>
    </w:p>
    <w:p w14:paraId="3847545C">
      <w:pPr>
        <w:pStyle w:val="6"/>
        <w:widowControl/>
        <w:shd w:val="clear" w:color="auto" w:fill="FFFFFF"/>
        <w:snapToGrid w:val="0"/>
        <w:spacing w:beforeAutospacing="0" w:afterAutospacing="0" w:line="560" w:lineRule="exact"/>
        <w:ind w:firstLine="640" w:firstLineChars="200"/>
        <w:jc w:val="both"/>
        <w:rPr>
          <w:rFonts w:ascii="仿宋_GB2312" w:eastAsia="仿宋_GB2312" w:cstheme="minorBidi"/>
          <w:kern w:val="2"/>
          <w:sz w:val="32"/>
          <w:szCs w:val="32"/>
        </w:rPr>
      </w:pPr>
    </w:p>
    <w:p w14:paraId="36EFF644">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ascii="仿宋" w:hAnsi="仿宋" w:eastAsia="仿宋" w:cs="仿宋"/>
          <w:bCs/>
          <w:sz w:val="32"/>
          <w:szCs w:val="32"/>
        </w:rPr>
        <w:t>报告应包括以下附件：</w:t>
      </w:r>
    </w:p>
    <w:p w14:paraId="754CED39">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1.</w:t>
      </w:r>
      <w:r>
        <w:rPr>
          <w:rFonts w:ascii="仿宋" w:hAnsi="仿宋" w:eastAsia="仿宋" w:cs="仿宋"/>
          <w:bCs/>
          <w:sz w:val="32"/>
          <w:szCs w:val="32"/>
        </w:rPr>
        <w:t>部门整体支出绩效评价基础数据表</w:t>
      </w:r>
      <w:r>
        <w:rPr>
          <w:rFonts w:hint="eastAsia" w:ascii="仿宋" w:hAnsi="仿宋" w:eastAsia="仿宋" w:cs="仿宋"/>
          <w:bCs/>
          <w:sz w:val="32"/>
          <w:szCs w:val="32"/>
        </w:rPr>
        <w:t xml:space="preserve">  </w:t>
      </w:r>
    </w:p>
    <w:p w14:paraId="71742615">
      <w:pPr>
        <w:pStyle w:val="6"/>
        <w:widowControl/>
        <w:shd w:val="clear" w:color="auto" w:fill="FFFFFF"/>
        <w:snapToGrid w:val="0"/>
        <w:spacing w:beforeAutospacing="0" w:afterAutospacing="0" w:line="560" w:lineRule="exact"/>
        <w:ind w:firstLine="640" w:firstLineChars="200"/>
        <w:jc w:val="both"/>
        <w:rPr>
          <w:rFonts w:ascii="仿宋" w:hAnsi="仿宋" w:eastAsia="仿宋" w:cs="仿宋"/>
          <w:bCs/>
          <w:sz w:val="32"/>
          <w:szCs w:val="32"/>
        </w:rPr>
      </w:pPr>
      <w:r>
        <w:rPr>
          <w:rFonts w:hint="eastAsia" w:ascii="仿宋" w:hAnsi="仿宋" w:eastAsia="仿宋" w:cs="仿宋"/>
          <w:bCs/>
          <w:sz w:val="32"/>
          <w:szCs w:val="32"/>
        </w:rPr>
        <w:t>2.</w:t>
      </w:r>
      <w:r>
        <w:rPr>
          <w:rFonts w:ascii="仿宋" w:hAnsi="仿宋" w:eastAsia="仿宋" w:cs="仿宋"/>
          <w:bCs/>
          <w:sz w:val="32"/>
          <w:szCs w:val="32"/>
        </w:rPr>
        <w:t>部门整体支出绩效自评表</w:t>
      </w:r>
    </w:p>
    <w:p w14:paraId="052A3FFD">
      <w:pPr>
        <w:pStyle w:val="6"/>
        <w:widowControl/>
        <w:shd w:val="clear" w:color="auto" w:fill="FFFFFF"/>
        <w:snapToGrid w:val="0"/>
        <w:spacing w:beforeAutospacing="0" w:afterAutospacing="0" w:line="560" w:lineRule="exact"/>
        <w:ind w:firstLine="640" w:firstLineChars="200"/>
        <w:rPr>
          <w:rFonts w:ascii="仿宋" w:hAnsi="仿宋" w:eastAsia="仿宋" w:cs="仿宋"/>
          <w:bCs/>
          <w:sz w:val="32"/>
          <w:szCs w:val="32"/>
        </w:rPr>
      </w:pPr>
    </w:p>
    <w:p w14:paraId="602E3D5A">
      <w:pPr>
        <w:rPr>
          <w:rFonts w:ascii="方正小标宋_GBK" w:hAnsi="方正小标宋_GBK" w:eastAsia="方正小标宋_GBK" w:cs="方正小标宋_GBK"/>
          <w:color w:val="000000"/>
          <w:sz w:val="24"/>
          <w:shd w:val="clear" w:color="auto" w:fill="FFFFFF"/>
        </w:rPr>
      </w:pPr>
      <w:r>
        <w:rPr>
          <w:rFonts w:hint="eastAsia" w:ascii="方正小标宋_GBK" w:hAnsi="方正小标宋_GBK" w:eastAsia="方正小标宋_GBK" w:cs="方正小标宋_GBK"/>
          <w:color w:val="000000"/>
          <w:sz w:val="24"/>
          <w:shd w:val="clear" w:color="auto" w:fill="FFFFFF"/>
        </w:rPr>
        <w:br w:type="page"/>
      </w:r>
    </w:p>
    <w:p w14:paraId="7CC7F585">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p w14:paraId="6ADA66D8">
      <w:pPr>
        <w:widowControl/>
        <w:tabs>
          <w:tab w:val="left" w:pos="3611"/>
          <w:tab w:val="left" w:pos="4791"/>
          <w:tab w:val="left" w:pos="5951"/>
          <w:tab w:val="left" w:pos="7071"/>
          <w:tab w:val="left" w:pos="8191"/>
          <w:tab w:val="left" w:pos="9311"/>
        </w:tabs>
        <w:ind w:left="91"/>
        <w:jc w:val="left"/>
        <w:rPr>
          <w:rFonts w:eastAsia="仿宋_GB2312"/>
          <w:kern w:val="0"/>
          <w:sz w:val="24"/>
        </w:rPr>
      </w:pPr>
    </w:p>
    <w:p w14:paraId="24E44636">
      <w:pPr>
        <w:widowControl/>
        <w:tabs>
          <w:tab w:val="left" w:pos="3611"/>
          <w:tab w:val="left" w:pos="4791"/>
          <w:tab w:val="left" w:pos="5951"/>
          <w:tab w:val="left" w:pos="7071"/>
          <w:tab w:val="left" w:pos="8191"/>
          <w:tab w:val="left" w:pos="9311"/>
        </w:tabs>
        <w:ind w:left="91"/>
        <w:jc w:val="left"/>
        <w:rPr>
          <w:rFonts w:eastAsia="仿宋_GB2312"/>
          <w:kern w:val="0"/>
          <w:sz w:val="24"/>
        </w:rPr>
      </w:pPr>
      <w:r>
        <w:rPr>
          <w:rFonts w:hint="eastAsia" w:eastAsia="仿宋_GB2312"/>
          <w:kern w:val="0"/>
          <w:sz w:val="24"/>
        </w:rPr>
        <w:t xml:space="preserve">填报单位：怀化开放大学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626B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14:paraId="741DCAD6">
            <w:pPr>
              <w:widowControl/>
              <w:jc w:val="center"/>
              <w:rPr>
                <w:rFonts w:ascii="仿宋" w:hAnsi="仿宋" w:eastAsia="仿宋" w:cs="仿宋"/>
                <w:kern w:val="0"/>
                <w:sz w:val="20"/>
                <w:szCs w:val="20"/>
              </w:rPr>
            </w:pPr>
            <w:r>
              <w:rPr>
                <w:rFonts w:hint="eastAsia" w:ascii="仿宋" w:hAnsi="仿宋" w:eastAsia="仿宋" w:cs="仿宋"/>
                <w:kern w:val="0"/>
                <w:sz w:val="20"/>
                <w:szCs w:val="20"/>
              </w:rPr>
              <w:t>财政供养人员情况</w:t>
            </w:r>
          </w:p>
        </w:tc>
        <w:tc>
          <w:tcPr>
            <w:tcW w:w="2038" w:type="dxa"/>
            <w:gridSpan w:val="2"/>
            <w:vAlign w:val="center"/>
          </w:tcPr>
          <w:p w14:paraId="6DC6593D">
            <w:pPr>
              <w:widowControl/>
              <w:jc w:val="center"/>
              <w:rPr>
                <w:rFonts w:ascii="仿宋" w:hAnsi="仿宋" w:eastAsia="仿宋" w:cs="仿宋"/>
                <w:kern w:val="0"/>
                <w:sz w:val="20"/>
                <w:szCs w:val="20"/>
              </w:rPr>
            </w:pPr>
            <w:r>
              <w:rPr>
                <w:rFonts w:hint="eastAsia" w:ascii="仿宋" w:hAnsi="仿宋" w:eastAsia="仿宋" w:cs="仿宋"/>
                <w:kern w:val="0"/>
                <w:sz w:val="20"/>
                <w:szCs w:val="20"/>
              </w:rPr>
              <w:t>编制数</w:t>
            </w:r>
          </w:p>
        </w:tc>
        <w:tc>
          <w:tcPr>
            <w:tcW w:w="2240" w:type="dxa"/>
            <w:gridSpan w:val="2"/>
            <w:vAlign w:val="center"/>
          </w:tcPr>
          <w:p w14:paraId="5126F91F">
            <w:pPr>
              <w:widowControl/>
              <w:jc w:val="center"/>
              <w:rPr>
                <w:rFonts w:ascii="仿宋" w:hAnsi="仿宋" w:eastAsia="仿宋" w:cs="仿宋"/>
                <w:kern w:val="0"/>
                <w:sz w:val="20"/>
                <w:szCs w:val="20"/>
              </w:rPr>
            </w:pPr>
            <w:r>
              <w:rPr>
                <w:rFonts w:hint="eastAsia" w:ascii="仿宋" w:hAnsi="仿宋" w:eastAsia="仿宋" w:cs="仿宋"/>
                <w:kern w:val="0"/>
                <w:sz w:val="20"/>
                <w:szCs w:val="20"/>
              </w:rPr>
              <w:t>2023年实际在职人数</w:t>
            </w:r>
          </w:p>
        </w:tc>
        <w:tc>
          <w:tcPr>
            <w:tcW w:w="1832" w:type="dxa"/>
            <w:gridSpan w:val="2"/>
            <w:vAlign w:val="center"/>
          </w:tcPr>
          <w:p w14:paraId="64B6994F">
            <w:pPr>
              <w:widowControl/>
              <w:jc w:val="center"/>
              <w:rPr>
                <w:rFonts w:ascii="仿宋" w:hAnsi="仿宋" w:eastAsia="仿宋" w:cs="仿宋"/>
                <w:kern w:val="0"/>
                <w:sz w:val="20"/>
                <w:szCs w:val="20"/>
              </w:rPr>
            </w:pPr>
            <w:r>
              <w:rPr>
                <w:rFonts w:hint="eastAsia" w:ascii="仿宋" w:hAnsi="仿宋" w:eastAsia="仿宋" w:cs="仿宋"/>
                <w:kern w:val="0"/>
                <w:sz w:val="20"/>
                <w:szCs w:val="20"/>
              </w:rPr>
              <w:t>控制率</w:t>
            </w:r>
          </w:p>
        </w:tc>
      </w:tr>
      <w:tr w14:paraId="780E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14:paraId="014BEF93">
            <w:pPr>
              <w:widowControl/>
              <w:jc w:val="left"/>
              <w:rPr>
                <w:rFonts w:ascii="仿宋" w:hAnsi="仿宋" w:eastAsia="仿宋" w:cs="仿宋"/>
                <w:kern w:val="0"/>
                <w:sz w:val="20"/>
                <w:szCs w:val="20"/>
              </w:rPr>
            </w:pPr>
          </w:p>
        </w:tc>
        <w:tc>
          <w:tcPr>
            <w:tcW w:w="2038" w:type="dxa"/>
            <w:gridSpan w:val="2"/>
            <w:vAlign w:val="center"/>
          </w:tcPr>
          <w:p w14:paraId="4EBBC9F6">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65</w:t>
            </w:r>
          </w:p>
        </w:tc>
        <w:tc>
          <w:tcPr>
            <w:tcW w:w="2240" w:type="dxa"/>
            <w:gridSpan w:val="2"/>
            <w:vAlign w:val="center"/>
          </w:tcPr>
          <w:p w14:paraId="37DA6456">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56</w:t>
            </w:r>
          </w:p>
        </w:tc>
        <w:tc>
          <w:tcPr>
            <w:tcW w:w="1832" w:type="dxa"/>
            <w:gridSpan w:val="2"/>
            <w:vAlign w:val="center"/>
          </w:tcPr>
          <w:p w14:paraId="09149768">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86.15%</w:t>
            </w:r>
            <w:r>
              <w:rPr>
                <w:rFonts w:ascii="Times New Roman" w:hAnsi="Times New Roman" w:eastAsia="仿宋_GB2312" w:cs="Times New Roman"/>
                <w:sz w:val="20"/>
                <w:szCs w:val="20"/>
              </w:rPr>
              <w:t>　</w:t>
            </w:r>
          </w:p>
        </w:tc>
      </w:tr>
      <w:tr w14:paraId="42A3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5208971">
            <w:pPr>
              <w:widowControl/>
              <w:jc w:val="center"/>
              <w:rPr>
                <w:rFonts w:ascii="仿宋" w:hAnsi="仿宋" w:eastAsia="仿宋" w:cs="仿宋"/>
                <w:kern w:val="0"/>
                <w:sz w:val="20"/>
                <w:szCs w:val="20"/>
              </w:rPr>
            </w:pPr>
            <w:r>
              <w:rPr>
                <w:rFonts w:hint="eastAsia" w:ascii="仿宋" w:hAnsi="仿宋" w:eastAsia="仿宋" w:cs="仿宋"/>
                <w:kern w:val="0"/>
                <w:sz w:val="20"/>
                <w:szCs w:val="20"/>
              </w:rPr>
              <w:t>经费控制情况</w:t>
            </w:r>
          </w:p>
        </w:tc>
        <w:tc>
          <w:tcPr>
            <w:tcW w:w="2038" w:type="dxa"/>
            <w:gridSpan w:val="2"/>
            <w:vAlign w:val="center"/>
          </w:tcPr>
          <w:p w14:paraId="3E691BCE">
            <w:pPr>
              <w:widowControl/>
              <w:jc w:val="center"/>
              <w:rPr>
                <w:rFonts w:ascii="仿宋" w:hAnsi="仿宋" w:eastAsia="仿宋" w:cs="仿宋"/>
                <w:kern w:val="0"/>
                <w:sz w:val="20"/>
                <w:szCs w:val="20"/>
              </w:rPr>
            </w:pPr>
            <w:r>
              <w:rPr>
                <w:rFonts w:hint="eastAsia" w:ascii="仿宋" w:hAnsi="仿宋" w:eastAsia="仿宋" w:cs="仿宋"/>
                <w:kern w:val="0"/>
                <w:sz w:val="20"/>
                <w:szCs w:val="20"/>
              </w:rPr>
              <w:t>2022年决算数</w:t>
            </w:r>
          </w:p>
        </w:tc>
        <w:tc>
          <w:tcPr>
            <w:tcW w:w="2240" w:type="dxa"/>
            <w:gridSpan w:val="2"/>
            <w:vAlign w:val="center"/>
          </w:tcPr>
          <w:p w14:paraId="6991DF14">
            <w:pPr>
              <w:widowControl/>
              <w:jc w:val="center"/>
              <w:rPr>
                <w:rFonts w:ascii="仿宋" w:hAnsi="仿宋" w:eastAsia="仿宋" w:cs="仿宋"/>
                <w:kern w:val="0"/>
                <w:sz w:val="20"/>
                <w:szCs w:val="20"/>
              </w:rPr>
            </w:pPr>
            <w:r>
              <w:rPr>
                <w:rFonts w:hint="eastAsia" w:ascii="仿宋" w:hAnsi="仿宋" w:eastAsia="仿宋" w:cs="仿宋"/>
                <w:kern w:val="0"/>
                <w:sz w:val="20"/>
                <w:szCs w:val="20"/>
              </w:rPr>
              <w:t>2023年预算数</w:t>
            </w:r>
          </w:p>
        </w:tc>
        <w:tc>
          <w:tcPr>
            <w:tcW w:w="1832" w:type="dxa"/>
            <w:gridSpan w:val="2"/>
            <w:vAlign w:val="center"/>
          </w:tcPr>
          <w:p w14:paraId="76852B4C">
            <w:pPr>
              <w:widowControl/>
              <w:jc w:val="center"/>
              <w:rPr>
                <w:rFonts w:ascii="仿宋" w:hAnsi="仿宋" w:eastAsia="仿宋" w:cs="仿宋"/>
                <w:kern w:val="0"/>
                <w:sz w:val="20"/>
                <w:szCs w:val="20"/>
              </w:rPr>
            </w:pPr>
            <w:r>
              <w:rPr>
                <w:rFonts w:hint="eastAsia" w:ascii="仿宋" w:hAnsi="仿宋" w:eastAsia="仿宋" w:cs="仿宋"/>
                <w:kern w:val="0"/>
                <w:sz w:val="20"/>
                <w:szCs w:val="20"/>
              </w:rPr>
              <w:t>2023年决算数</w:t>
            </w:r>
          </w:p>
        </w:tc>
      </w:tr>
      <w:tr w14:paraId="47FC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D21A9DE">
            <w:pPr>
              <w:widowControl/>
              <w:jc w:val="left"/>
              <w:rPr>
                <w:rFonts w:ascii="仿宋" w:hAnsi="仿宋" w:eastAsia="仿宋" w:cs="仿宋"/>
                <w:kern w:val="0"/>
                <w:sz w:val="20"/>
                <w:szCs w:val="20"/>
              </w:rPr>
            </w:pPr>
            <w:r>
              <w:rPr>
                <w:rFonts w:hint="eastAsia" w:ascii="仿宋" w:hAnsi="仿宋" w:eastAsia="仿宋" w:cs="仿宋"/>
                <w:kern w:val="0"/>
                <w:sz w:val="20"/>
                <w:szCs w:val="20"/>
              </w:rPr>
              <w:t>三公经费</w:t>
            </w:r>
          </w:p>
        </w:tc>
        <w:tc>
          <w:tcPr>
            <w:tcW w:w="2038" w:type="dxa"/>
            <w:gridSpan w:val="2"/>
            <w:vAlign w:val="center"/>
          </w:tcPr>
          <w:p w14:paraId="74D52C1E">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1.08　</w:t>
            </w:r>
          </w:p>
        </w:tc>
        <w:tc>
          <w:tcPr>
            <w:tcW w:w="2240" w:type="dxa"/>
            <w:gridSpan w:val="2"/>
            <w:vAlign w:val="center"/>
          </w:tcPr>
          <w:p w14:paraId="4C5064BF">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0</w:t>
            </w:r>
          </w:p>
        </w:tc>
        <w:tc>
          <w:tcPr>
            <w:tcW w:w="1832" w:type="dxa"/>
            <w:gridSpan w:val="2"/>
            <w:vAlign w:val="center"/>
          </w:tcPr>
          <w:p w14:paraId="0DF8FE0B">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2.43</w:t>
            </w:r>
          </w:p>
        </w:tc>
      </w:tr>
      <w:tr w14:paraId="2C8F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C775671">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1、公务用车购置和维护经费</w:t>
            </w:r>
          </w:p>
        </w:tc>
        <w:tc>
          <w:tcPr>
            <w:tcW w:w="2038" w:type="dxa"/>
            <w:gridSpan w:val="2"/>
            <w:vAlign w:val="center"/>
          </w:tcPr>
          <w:p w14:paraId="27A8B6E4">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c>
          <w:tcPr>
            <w:tcW w:w="2240" w:type="dxa"/>
            <w:gridSpan w:val="2"/>
            <w:vAlign w:val="center"/>
          </w:tcPr>
          <w:p w14:paraId="1772746A">
            <w:pPr>
              <w:widowControl/>
              <w:jc w:val="center"/>
              <w:rPr>
                <w:rFonts w:ascii="Times New Roman" w:hAnsi="Times New Roman" w:eastAsia="仿宋_GB2312" w:cs="Times New Roman"/>
                <w:sz w:val="20"/>
                <w:szCs w:val="20"/>
              </w:rPr>
            </w:pPr>
            <w:r>
              <w:rPr>
                <w:rFonts w:hint="eastAsia" w:ascii="Times New Roman" w:hAnsi="Times New Roman" w:eastAsia="仿宋_GB2312"/>
                <w:sz w:val="20"/>
                <w:szCs w:val="20"/>
              </w:rPr>
              <w:t>0</w:t>
            </w:r>
          </w:p>
        </w:tc>
        <w:tc>
          <w:tcPr>
            <w:tcW w:w="1832" w:type="dxa"/>
            <w:gridSpan w:val="2"/>
            <w:vAlign w:val="center"/>
          </w:tcPr>
          <w:p w14:paraId="5B0A6407">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r>
      <w:tr w14:paraId="7EF7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BB1A5CD">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其中：公车购置</w:t>
            </w:r>
          </w:p>
        </w:tc>
        <w:tc>
          <w:tcPr>
            <w:tcW w:w="2038" w:type="dxa"/>
            <w:gridSpan w:val="2"/>
            <w:vAlign w:val="center"/>
          </w:tcPr>
          <w:p w14:paraId="236E0595">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c>
          <w:tcPr>
            <w:tcW w:w="2240" w:type="dxa"/>
            <w:gridSpan w:val="2"/>
            <w:vAlign w:val="center"/>
          </w:tcPr>
          <w:p w14:paraId="0ECBD90D">
            <w:pPr>
              <w:widowControl/>
              <w:ind w:firstLine="1000" w:firstLineChars="500"/>
              <w:rPr>
                <w:rFonts w:ascii="Times New Roman" w:hAnsi="Times New Roman" w:eastAsia="仿宋_GB2312" w:cs="Times New Roman"/>
                <w:sz w:val="20"/>
                <w:szCs w:val="20"/>
              </w:rPr>
            </w:pPr>
            <w:r>
              <w:rPr>
                <w:rFonts w:hint="eastAsia" w:ascii="Times New Roman" w:hAnsi="Times New Roman" w:eastAsia="仿宋_GB2312"/>
                <w:sz w:val="20"/>
                <w:szCs w:val="20"/>
              </w:rPr>
              <w:t>0</w:t>
            </w:r>
          </w:p>
        </w:tc>
        <w:tc>
          <w:tcPr>
            <w:tcW w:w="1832" w:type="dxa"/>
            <w:gridSpan w:val="2"/>
            <w:vAlign w:val="center"/>
          </w:tcPr>
          <w:p w14:paraId="1CBAC6EE">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r>
      <w:tr w14:paraId="0774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419323E">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公车运行维护</w:t>
            </w:r>
          </w:p>
        </w:tc>
        <w:tc>
          <w:tcPr>
            <w:tcW w:w="2038" w:type="dxa"/>
            <w:gridSpan w:val="2"/>
            <w:vAlign w:val="center"/>
          </w:tcPr>
          <w:p w14:paraId="38F6E873">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c>
          <w:tcPr>
            <w:tcW w:w="2240" w:type="dxa"/>
            <w:gridSpan w:val="2"/>
            <w:vAlign w:val="center"/>
          </w:tcPr>
          <w:p w14:paraId="216BF414">
            <w:pPr>
              <w:widowControl/>
              <w:jc w:val="center"/>
              <w:rPr>
                <w:rFonts w:ascii="Times New Roman" w:hAnsi="Times New Roman" w:eastAsia="仿宋_GB2312" w:cs="Times New Roman"/>
                <w:sz w:val="20"/>
                <w:szCs w:val="20"/>
              </w:rPr>
            </w:pPr>
            <w:r>
              <w:rPr>
                <w:rFonts w:hint="eastAsia" w:ascii="Times New Roman" w:hAnsi="Times New Roman" w:eastAsia="仿宋_GB2312"/>
                <w:sz w:val="20"/>
                <w:szCs w:val="20"/>
              </w:rPr>
              <w:t>0</w:t>
            </w:r>
          </w:p>
        </w:tc>
        <w:tc>
          <w:tcPr>
            <w:tcW w:w="1832" w:type="dxa"/>
            <w:gridSpan w:val="2"/>
            <w:vAlign w:val="center"/>
          </w:tcPr>
          <w:p w14:paraId="4CA86CCF">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r>
      <w:tr w14:paraId="259B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550482E">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2、出国经费</w:t>
            </w:r>
          </w:p>
        </w:tc>
        <w:tc>
          <w:tcPr>
            <w:tcW w:w="2038" w:type="dxa"/>
            <w:gridSpan w:val="2"/>
            <w:vAlign w:val="center"/>
          </w:tcPr>
          <w:p w14:paraId="53E73692">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c>
          <w:tcPr>
            <w:tcW w:w="2240" w:type="dxa"/>
            <w:gridSpan w:val="2"/>
            <w:vAlign w:val="center"/>
          </w:tcPr>
          <w:p w14:paraId="67A456A8">
            <w:pPr>
              <w:widowControl/>
              <w:jc w:val="center"/>
              <w:rPr>
                <w:rFonts w:ascii="Times New Roman" w:hAnsi="Times New Roman" w:eastAsia="仿宋_GB2312" w:cs="Times New Roman"/>
                <w:sz w:val="20"/>
                <w:szCs w:val="20"/>
              </w:rPr>
            </w:pPr>
            <w:r>
              <w:rPr>
                <w:rFonts w:hint="eastAsia" w:ascii="Times New Roman" w:hAnsi="Times New Roman" w:eastAsia="仿宋_GB2312"/>
                <w:sz w:val="20"/>
                <w:szCs w:val="20"/>
              </w:rPr>
              <w:t>0</w:t>
            </w:r>
          </w:p>
        </w:tc>
        <w:tc>
          <w:tcPr>
            <w:tcW w:w="1832" w:type="dxa"/>
            <w:gridSpan w:val="2"/>
            <w:vAlign w:val="center"/>
          </w:tcPr>
          <w:p w14:paraId="7A19F7D9">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0</w:t>
            </w:r>
          </w:p>
        </w:tc>
      </w:tr>
      <w:tr w14:paraId="5F32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EBD1AA3">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3、公务接待</w:t>
            </w:r>
          </w:p>
        </w:tc>
        <w:tc>
          <w:tcPr>
            <w:tcW w:w="2038" w:type="dxa"/>
            <w:gridSpan w:val="2"/>
            <w:vAlign w:val="center"/>
          </w:tcPr>
          <w:p w14:paraId="3AE8113C">
            <w:pPr>
              <w:widowControl/>
              <w:jc w:val="center"/>
              <w:rPr>
                <w:rFonts w:ascii="Times New Roman" w:hAnsi="Times New Roman" w:eastAsia="仿宋_GB2312" w:cs="Times New Roman"/>
                <w:sz w:val="20"/>
                <w:szCs w:val="20"/>
              </w:rPr>
            </w:pPr>
            <w:r>
              <w:rPr>
                <w:rFonts w:ascii="Times New Roman" w:hAnsi="Times New Roman" w:eastAsia="仿宋_GB2312"/>
                <w:sz w:val="20"/>
                <w:szCs w:val="20"/>
              </w:rPr>
              <w:t>　</w:t>
            </w:r>
            <w:r>
              <w:rPr>
                <w:rFonts w:hint="eastAsia" w:ascii="Times New Roman" w:hAnsi="Times New Roman" w:eastAsia="仿宋_GB2312"/>
                <w:sz w:val="20"/>
                <w:szCs w:val="20"/>
              </w:rPr>
              <w:t>1.08　</w:t>
            </w:r>
          </w:p>
        </w:tc>
        <w:tc>
          <w:tcPr>
            <w:tcW w:w="2240" w:type="dxa"/>
            <w:gridSpan w:val="2"/>
            <w:vAlign w:val="center"/>
          </w:tcPr>
          <w:p w14:paraId="65239C87">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0</w:t>
            </w:r>
            <w:r>
              <w:rPr>
                <w:rFonts w:ascii="Times New Roman" w:hAnsi="Times New Roman" w:eastAsia="仿宋_GB2312" w:cs="Times New Roman"/>
                <w:sz w:val="20"/>
                <w:szCs w:val="20"/>
              </w:rPr>
              <w:t>　</w:t>
            </w:r>
          </w:p>
        </w:tc>
        <w:tc>
          <w:tcPr>
            <w:tcW w:w="1832" w:type="dxa"/>
            <w:gridSpan w:val="2"/>
            <w:vAlign w:val="center"/>
          </w:tcPr>
          <w:p w14:paraId="13FF16DD">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2.43</w:t>
            </w:r>
          </w:p>
        </w:tc>
      </w:tr>
      <w:tr w14:paraId="7DBF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14273B1">
            <w:pPr>
              <w:widowControl/>
              <w:jc w:val="left"/>
              <w:rPr>
                <w:rFonts w:ascii="仿宋" w:hAnsi="仿宋" w:eastAsia="仿宋" w:cs="仿宋"/>
                <w:kern w:val="0"/>
                <w:sz w:val="20"/>
                <w:szCs w:val="20"/>
              </w:rPr>
            </w:pPr>
            <w:r>
              <w:rPr>
                <w:rFonts w:hint="eastAsia" w:ascii="仿宋" w:hAnsi="仿宋" w:eastAsia="仿宋" w:cs="仿宋"/>
                <w:kern w:val="0"/>
                <w:sz w:val="20"/>
                <w:szCs w:val="20"/>
              </w:rPr>
              <w:t>项目支出：</w:t>
            </w:r>
          </w:p>
        </w:tc>
        <w:tc>
          <w:tcPr>
            <w:tcW w:w="2038" w:type="dxa"/>
            <w:gridSpan w:val="2"/>
            <w:vAlign w:val="center"/>
          </w:tcPr>
          <w:p w14:paraId="5D498732">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vAlign w:val="center"/>
          </w:tcPr>
          <w:p w14:paraId="40170447">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40E335DD">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6DCB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99F7126">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1、业务工作经费</w:t>
            </w:r>
          </w:p>
        </w:tc>
        <w:tc>
          <w:tcPr>
            <w:tcW w:w="2038" w:type="dxa"/>
            <w:gridSpan w:val="2"/>
            <w:vAlign w:val="center"/>
          </w:tcPr>
          <w:p w14:paraId="66819497">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vAlign w:val="center"/>
          </w:tcPr>
          <w:p w14:paraId="6FFF27F1">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7404CE1B">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485E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14A7D0B">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2、运行维护经费</w:t>
            </w:r>
          </w:p>
        </w:tc>
        <w:tc>
          <w:tcPr>
            <w:tcW w:w="2038" w:type="dxa"/>
            <w:gridSpan w:val="2"/>
            <w:vAlign w:val="center"/>
          </w:tcPr>
          <w:p w14:paraId="24DAFCA5">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vAlign w:val="center"/>
          </w:tcPr>
          <w:p w14:paraId="0A0AC939">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6185E5C9">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7EC7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1891F50">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3、市级专项资金</w:t>
            </w:r>
          </w:p>
          <w:p w14:paraId="2D8D690D">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社区教育专项经费</w:t>
            </w:r>
          </w:p>
        </w:tc>
        <w:tc>
          <w:tcPr>
            <w:tcW w:w="2038" w:type="dxa"/>
            <w:gridSpan w:val="2"/>
            <w:vAlign w:val="center"/>
          </w:tcPr>
          <w:p w14:paraId="0FABBF73">
            <w:pPr>
              <w:widowControl/>
              <w:jc w:val="center"/>
              <w:rPr>
                <w:rFonts w:ascii="仿宋" w:hAnsi="仿宋" w:eastAsia="仿宋" w:cs="仿宋"/>
                <w:kern w:val="0"/>
                <w:sz w:val="20"/>
                <w:szCs w:val="20"/>
              </w:rPr>
            </w:pPr>
            <w:r>
              <w:rPr>
                <w:rFonts w:hint="eastAsia" w:ascii="仿宋" w:hAnsi="仿宋" w:eastAsia="仿宋" w:cs="仿宋"/>
                <w:kern w:val="0"/>
                <w:sz w:val="20"/>
                <w:szCs w:val="20"/>
              </w:rPr>
              <w:t>30</w:t>
            </w:r>
          </w:p>
        </w:tc>
        <w:tc>
          <w:tcPr>
            <w:tcW w:w="2240" w:type="dxa"/>
            <w:gridSpan w:val="2"/>
            <w:vAlign w:val="center"/>
          </w:tcPr>
          <w:p w14:paraId="43AEDC88">
            <w:pPr>
              <w:widowControl/>
              <w:jc w:val="center"/>
              <w:rPr>
                <w:rFonts w:ascii="仿宋" w:hAnsi="仿宋" w:eastAsia="仿宋" w:cs="仿宋"/>
                <w:kern w:val="0"/>
                <w:sz w:val="20"/>
                <w:szCs w:val="20"/>
              </w:rPr>
            </w:pPr>
            <w:r>
              <w:rPr>
                <w:rFonts w:hint="eastAsia" w:ascii="仿宋" w:hAnsi="仿宋" w:eastAsia="仿宋" w:cs="仿宋"/>
                <w:kern w:val="0"/>
                <w:sz w:val="20"/>
                <w:szCs w:val="20"/>
              </w:rPr>
              <w:t>25</w:t>
            </w:r>
          </w:p>
        </w:tc>
        <w:tc>
          <w:tcPr>
            <w:tcW w:w="1832" w:type="dxa"/>
            <w:gridSpan w:val="2"/>
            <w:vAlign w:val="center"/>
          </w:tcPr>
          <w:p w14:paraId="58417CF7">
            <w:pPr>
              <w:widowControl/>
              <w:jc w:val="center"/>
              <w:rPr>
                <w:rFonts w:hint="default"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25</w:t>
            </w:r>
          </w:p>
        </w:tc>
      </w:tr>
      <w:tr w14:paraId="6EBC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A4BC3FD">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4、其他事业类发展资金</w:t>
            </w:r>
          </w:p>
        </w:tc>
        <w:tc>
          <w:tcPr>
            <w:tcW w:w="2038" w:type="dxa"/>
            <w:gridSpan w:val="2"/>
            <w:vAlign w:val="center"/>
          </w:tcPr>
          <w:p w14:paraId="2CF97939">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vAlign w:val="center"/>
          </w:tcPr>
          <w:p w14:paraId="46E9E5FF">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36050C3B">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6297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14:paraId="4E37DBFF">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038" w:type="dxa"/>
            <w:gridSpan w:val="2"/>
            <w:vAlign w:val="center"/>
          </w:tcPr>
          <w:p w14:paraId="1C9EB7D5">
            <w:pPr>
              <w:widowControl/>
              <w:jc w:val="center"/>
              <w:rPr>
                <w:rFonts w:ascii="仿宋" w:hAnsi="仿宋" w:eastAsia="仿宋" w:cs="仿宋"/>
                <w:kern w:val="0"/>
                <w:sz w:val="20"/>
                <w:szCs w:val="20"/>
              </w:rPr>
            </w:pPr>
          </w:p>
        </w:tc>
        <w:tc>
          <w:tcPr>
            <w:tcW w:w="2240" w:type="dxa"/>
            <w:gridSpan w:val="2"/>
            <w:vAlign w:val="center"/>
          </w:tcPr>
          <w:p w14:paraId="17BE57CA">
            <w:pPr>
              <w:widowControl/>
              <w:jc w:val="center"/>
              <w:rPr>
                <w:rFonts w:ascii="仿宋" w:hAnsi="仿宋" w:eastAsia="仿宋" w:cs="仿宋"/>
                <w:kern w:val="0"/>
                <w:sz w:val="20"/>
                <w:szCs w:val="20"/>
              </w:rPr>
            </w:pPr>
          </w:p>
        </w:tc>
        <w:tc>
          <w:tcPr>
            <w:tcW w:w="1832" w:type="dxa"/>
            <w:gridSpan w:val="2"/>
            <w:vAlign w:val="center"/>
          </w:tcPr>
          <w:p w14:paraId="52C5F788">
            <w:pPr>
              <w:widowControl/>
              <w:jc w:val="center"/>
              <w:rPr>
                <w:rFonts w:ascii="仿宋" w:hAnsi="仿宋" w:eastAsia="仿宋" w:cs="仿宋"/>
                <w:kern w:val="0"/>
                <w:sz w:val="20"/>
                <w:szCs w:val="20"/>
              </w:rPr>
            </w:pPr>
          </w:p>
        </w:tc>
      </w:tr>
      <w:tr w14:paraId="659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625C09F">
            <w:pPr>
              <w:widowControl/>
              <w:jc w:val="left"/>
              <w:rPr>
                <w:rFonts w:ascii="仿宋" w:hAnsi="仿宋" w:eastAsia="仿宋" w:cs="仿宋"/>
                <w:kern w:val="0"/>
                <w:sz w:val="20"/>
                <w:szCs w:val="20"/>
              </w:rPr>
            </w:pPr>
            <w:r>
              <w:rPr>
                <w:rFonts w:hint="eastAsia" w:ascii="仿宋" w:hAnsi="仿宋" w:eastAsia="仿宋" w:cs="仿宋"/>
                <w:kern w:val="0"/>
                <w:sz w:val="20"/>
                <w:szCs w:val="20"/>
              </w:rPr>
              <w:t>公用经费</w:t>
            </w:r>
          </w:p>
        </w:tc>
        <w:tc>
          <w:tcPr>
            <w:tcW w:w="2038" w:type="dxa"/>
            <w:gridSpan w:val="2"/>
            <w:vAlign w:val="center"/>
          </w:tcPr>
          <w:p w14:paraId="780093BA">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479.99</w:t>
            </w:r>
            <w:r>
              <w:rPr>
                <w:rFonts w:ascii="Times New Roman" w:hAnsi="Times New Roman" w:eastAsia="仿宋_GB2312" w:cs="Times New Roman"/>
                <w:sz w:val="20"/>
                <w:szCs w:val="20"/>
              </w:rPr>
              <w:t>　</w:t>
            </w:r>
          </w:p>
        </w:tc>
        <w:tc>
          <w:tcPr>
            <w:tcW w:w="2240" w:type="dxa"/>
            <w:gridSpan w:val="2"/>
            <w:vAlign w:val="center"/>
          </w:tcPr>
          <w:p w14:paraId="4AA8ECF3">
            <w:pPr>
              <w:widowControl/>
              <w:jc w:val="center"/>
              <w:rPr>
                <w:rFonts w:ascii="仿宋" w:hAnsi="仿宋" w:eastAsia="仿宋" w:cs="仿宋"/>
                <w:kern w:val="0"/>
                <w:sz w:val="20"/>
                <w:szCs w:val="20"/>
              </w:rPr>
            </w:pPr>
            <w:r>
              <w:rPr>
                <w:rFonts w:hint="eastAsia" w:ascii="仿宋" w:hAnsi="仿宋" w:eastAsia="仿宋" w:cs="仿宋"/>
                <w:kern w:val="0"/>
                <w:sz w:val="20"/>
                <w:szCs w:val="20"/>
              </w:rPr>
              <w:t>520</w:t>
            </w:r>
          </w:p>
        </w:tc>
        <w:tc>
          <w:tcPr>
            <w:tcW w:w="1832" w:type="dxa"/>
            <w:gridSpan w:val="2"/>
            <w:vAlign w:val="center"/>
          </w:tcPr>
          <w:p w14:paraId="5DDF531D">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4</w:t>
            </w:r>
            <w:r>
              <w:rPr>
                <w:rFonts w:hint="eastAsia" w:ascii="Times New Roman" w:hAnsi="Times New Roman" w:eastAsia="仿宋_GB2312" w:cs="Times New Roman"/>
                <w:sz w:val="20"/>
                <w:szCs w:val="20"/>
                <w:lang w:val="en-US" w:eastAsia="zh-CN"/>
              </w:rPr>
              <w:t>05</w:t>
            </w:r>
            <w:r>
              <w:rPr>
                <w:rFonts w:hint="eastAsia" w:ascii="Times New Roman" w:hAnsi="Times New Roman" w:eastAsia="仿宋_GB2312" w:cs="Times New Roman"/>
                <w:sz w:val="20"/>
                <w:szCs w:val="20"/>
              </w:rPr>
              <w:t>.35</w:t>
            </w:r>
          </w:p>
        </w:tc>
      </w:tr>
      <w:tr w14:paraId="1885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70378F9">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其中：办公费</w:t>
            </w:r>
          </w:p>
        </w:tc>
        <w:tc>
          <w:tcPr>
            <w:tcW w:w="2038" w:type="dxa"/>
            <w:gridSpan w:val="2"/>
            <w:vAlign w:val="center"/>
          </w:tcPr>
          <w:p w14:paraId="15021C54">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16.93</w:t>
            </w:r>
            <w:r>
              <w:rPr>
                <w:rFonts w:ascii="Times New Roman" w:hAnsi="Times New Roman" w:eastAsia="仿宋_GB2312" w:cs="Times New Roman"/>
                <w:sz w:val="20"/>
                <w:szCs w:val="20"/>
              </w:rPr>
              <w:t>　</w:t>
            </w:r>
          </w:p>
        </w:tc>
        <w:tc>
          <w:tcPr>
            <w:tcW w:w="2240" w:type="dxa"/>
            <w:gridSpan w:val="2"/>
            <w:vAlign w:val="center"/>
          </w:tcPr>
          <w:p w14:paraId="5E01D7FE">
            <w:pPr>
              <w:widowControl/>
              <w:jc w:val="center"/>
              <w:rPr>
                <w:rFonts w:ascii="仿宋" w:hAnsi="仿宋" w:eastAsia="仿宋" w:cs="仿宋"/>
                <w:kern w:val="0"/>
                <w:sz w:val="20"/>
                <w:szCs w:val="20"/>
              </w:rPr>
            </w:pPr>
            <w:r>
              <w:rPr>
                <w:rFonts w:hint="eastAsia" w:ascii="仿宋" w:hAnsi="仿宋" w:eastAsia="仿宋" w:cs="仿宋"/>
                <w:kern w:val="0"/>
                <w:sz w:val="20"/>
                <w:szCs w:val="20"/>
              </w:rPr>
              <w:t>15</w:t>
            </w:r>
          </w:p>
        </w:tc>
        <w:tc>
          <w:tcPr>
            <w:tcW w:w="1832" w:type="dxa"/>
            <w:gridSpan w:val="2"/>
            <w:vAlign w:val="center"/>
          </w:tcPr>
          <w:p w14:paraId="009EBB78">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36.5</w:t>
            </w:r>
          </w:p>
        </w:tc>
      </w:tr>
      <w:tr w14:paraId="4BFC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FCCC874">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水费、电费、差旅费</w:t>
            </w:r>
          </w:p>
        </w:tc>
        <w:tc>
          <w:tcPr>
            <w:tcW w:w="2038" w:type="dxa"/>
            <w:gridSpan w:val="2"/>
            <w:vAlign w:val="center"/>
          </w:tcPr>
          <w:p w14:paraId="074A1CE1">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32.38</w:t>
            </w:r>
            <w:r>
              <w:rPr>
                <w:rFonts w:ascii="Times New Roman" w:hAnsi="Times New Roman" w:eastAsia="仿宋_GB2312" w:cs="Times New Roman"/>
                <w:sz w:val="20"/>
                <w:szCs w:val="20"/>
              </w:rPr>
              <w:t>　</w:t>
            </w:r>
          </w:p>
        </w:tc>
        <w:tc>
          <w:tcPr>
            <w:tcW w:w="2240" w:type="dxa"/>
            <w:gridSpan w:val="2"/>
            <w:vAlign w:val="center"/>
          </w:tcPr>
          <w:p w14:paraId="6EABE555">
            <w:pPr>
              <w:widowControl/>
              <w:jc w:val="center"/>
              <w:rPr>
                <w:rFonts w:ascii="仿宋" w:hAnsi="仿宋" w:eastAsia="仿宋" w:cs="仿宋"/>
                <w:kern w:val="0"/>
                <w:sz w:val="20"/>
                <w:szCs w:val="20"/>
              </w:rPr>
            </w:pPr>
            <w:r>
              <w:rPr>
                <w:rFonts w:hint="eastAsia" w:ascii="仿宋" w:hAnsi="仿宋" w:eastAsia="仿宋" w:cs="仿宋"/>
                <w:kern w:val="0"/>
                <w:sz w:val="20"/>
                <w:szCs w:val="20"/>
              </w:rPr>
              <w:t>27</w:t>
            </w:r>
          </w:p>
        </w:tc>
        <w:tc>
          <w:tcPr>
            <w:tcW w:w="1832" w:type="dxa"/>
            <w:gridSpan w:val="2"/>
            <w:vAlign w:val="center"/>
          </w:tcPr>
          <w:p w14:paraId="07365FF5">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37.81</w:t>
            </w:r>
          </w:p>
        </w:tc>
      </w:tr>
      <w:tr w14:paraId="2373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14:paraId="44821C78">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会议费、培训费</w:t>
            </w:r>
          </w:p>
        </w:tc>
        <w:tc>
          <w:tcPr>
            <w:tcW w:w="2038" w:type="dxa"/>
            <w:gridSpan w:val="2"/>
            <w:vAlign w:val="center"/>
          </w:tcPr>
          <w:p w14:paraId="17BDCDEF">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30.23</w:t>
            </w:r>
            <w:r>
              <w:rPr>
                <w:rFonts w:ascii="Times New Roman" w:hAnsi="Times New Roman" w:eastAsia="仿宋_GB2312" w:cs="Times New Roman"/>
                <w:sz w:val="20"/>
                <w:szCs w:val="20"/>
              </w:rPr>
              <w:t>　</w:t>
            </w:r>
          </w:p>
        </w:tc>
        <w:tc>
          <w:tcPr>
            <w:tcW w:w="2240" w:type="dxa"/>
            <w:gridSpan w:val="2"/>
            <w:vAlign w:val="center"/>
          </w:tcPr>
          <w:p w14:paraId="548CBC22">
            <w:pPr>
              <w:widowControl/>
              <w:jc w:val="center"/>
              <w:rPr>
                <w:rFonts w:ascii="仿宋" w:hAnsi="仿宋" w:eastAsia="仿宋" w:cs="仿宋"/>
                <w:kern w:val="0"/>
                <w:sz w:val="20"/>
                <w:szCs w:val="20"/>
              </w:rPr>
            </w:pPr>
            <w:r>
              <w:rPr>
                <w:rFonts w:hint="eastAsia" w:ascii="仿宋" w:hAnsi="仿宋" w:eastAsia="仿宋" w:cs="仿宋"/>
                <w:kern w:val="0"/>
                <w:sz w:val="20"/>
                <w:szCs w:val="20"/>
              </w:rPr>
              <w:t>2</w:t>
            </w:r>
          </w:p>
        </w:tc>
        <w:tc>
          <w:tcPr>
            <w:tcW w:w="1832" w:type="dxa"/>
            <w:gridSpan w:val="2"/>
            <w:vAlign w:val="center"/>
          </w:tcPr>
          <w:p w14:paraId="7073DD65">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33.07</w:t>
            </w:r>
          </w:p>
        </w:tc>
      </w:tr>
      <w:tr w14:paraId="5544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A203962">
            <w:pPr>
              <w:widowControl/>
              <w:jc w:val="left"/>
              <w:rPr>
                <w:rFonts w:ascii="仿宋" w:hAnsi="仿宋" w:eastAsia="仿宋" w:cs="仿宋"/>
                <w:kern w:val="0"/>
                <w:sz w:val="20"/>
                <w:szCs w:val="20"/>
              </w:rPr>
            </w:pPr>
            <w:r>
              <w:rPr>
                <w:rFonts w:hint="eastAsia" w:ascii="仿宋" w:hAnsi="仿宋" w:eastAsia="仿宋" w:cs="仿宋"/>
                <w:kern w:val="0"/>
                <w:sz w:val="20"/>
                <w:szCs w:val="20"/>
              </w:rPr>
              <w:t>政府采购金额</w:t>
            </w:r>
          </w:p>
        </w:tc>
        <w:tc>
          <w:tcPr>
            <w:tcW w:w="2038" w:type="dxa"/>
            <w:gridSpan w:val="2"/>
            <w:vAlign w:val="center"/>
          </w:tcPr>
          <w:p w14:paraId="19D9808F">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3F33C46F">
            <w:pPr>
              <w:widowControl/>
              <w:jc w:val="center"/>
              <w:rPr>
                <w:rFonts w:ascii="仿宋" w:hAnsi="仿宋" w:eastAsia="仿宋" w:cs="仿宋"/>
                <w:kern w:val="0"/>
                <w:sz w:val="20"/>
                <w:szCs w:val="20"/>
              </w:rPr>
            </w:pPr>
            <w:r>
              <w:rPr>
                <w:rFonts w:hint="eastAsia" w:ascii="仿宋" w:hAnsi="仿宋" w:eastAsia="仿宋" w:cs="仿宋"/>
                <w:kern w:val="0"/>
                <w:sz w:val="20"/>
                <w:szCs w:val="20"/>
              </w:rPr>
              <w:t>4.56</w:t>
            </w:r>
          </w:p>
        </w:tc>
        <w:tc>
          <w:tcPr>
            <w:tcW w:w="1832" w:type="dxa"/>
            <w:gridSpan w:val="2"/>
            <w:vAlign w:val="center"/>
          </w:tcPr>
          <w:p w14:paraId="41DC191F">
            <w:pPr>
              <w:widowControl/>
              <w:jc w:val="center"/>
              <w:rPr>
                <w:rFonts w:ascii="仿宋" w:hAnsi="仿宋" w:eastAsia="仿宋" w:cs="仿宋"/>
                <w:kern w:val="0"/>
                <w:sz w:val="20"/>
                <w:szCs w:val="20"/>
              </w:rPr>
            </w:pPr>
            <w:r>
              <w:rPr>
                <w:rFonts w:hint="eastAsia" w:ascii="仿宋" w:hAnsi="仿宋" w:eastAsia="仿宋" w:cs="仿宋"/>
                <w:kern w:val="0"/>
                <w:sz w:val="20"/>
                <w:szCs w:val="20"/>
              </w:rPr>
              <w:t>25.25</w:t>
            </w:r>
          </w:p>
        </w:tc>
      </w:tr>
      <w:tr w14:paraId="29C4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E6A5AEA">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部门基本支出预算调整 </w:t>
            </w:r>
          </w:p>
        </w:tc>
        <w:tc>
          <w:tcPr>
            <w:tcW w:w="2038" w:type="dxa"/>
            <w:gridSpan w:val="2"/>
            <w:vAlign w:val="center"/>
          </w:tcPr>
          <w:p w14:paraId="1E810CEE">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6EF7A300">
            <w:pPr>
              <w:widowControl/>
              <w:jc w:val="center"/>
              <w:rPr>
                <w:rFonts w:ascii="仿宋" w:hAnsi="仿宋" w:eastAsia="仿宋" w:cs="仿宋"/>
                <w:kern w:val="0"/>
                <w:sz w:val="20"/>
                <w:szCs w:val="20"/>
              </w:rPr>
            </w:pPr>
            <w:r>
              <w:rPr>
                <w:rFonts w:hint="eastAsia" w:ascii="仿宋" w:hAnsi="仿宋" w:eastAsia="仿宋" w:cs="仿宋"/>
                <w:kern w:val="0"/>
                <w:sz w:val="20"/>
                <w:szCs w:val="20"/>
              </w:rPr>
              <w:t>520</w:t>
            </w:r>
          </w:p>
        </w:tc>
        <w:tc>
          <w:tcPr>
            <w:tcW w:w="1832" w:type="dxa"/>
            <w:gridSpan w:val="2"/>
            <w:vAlign w:val="center"/>
          </w:tcPr>
          <w:p w14:paraId="42992D1F">
            <w:pPr>
              <w:widowControl/>
              <w:jc w:val="center"/>
              <w:rPr>
                <w:rFonts w:ascii="仿宋" w:hAnsi="仿宋" w:eastAsia="仿宋" w:cs="仿宋"/>
                <w:kern w:val="0"/>
                <w:sz w:val="20"/>
                <w:szCs w:val="20"/>
              </w:rPr>
            </w:pPr>
            <w:r>
              <w:rPr>
                <w:rFonts w:hint="eastAsia" w:ascii="仿宋" w:hAnsi="仿宋" w:eastAsia="仿宋" w:cs="仿宋"/>
                <w:kern w:val="0"/>
                <w:sz w:val="20"/>
                <w:szCs w:val="20"/>
              </w:rPr>
              <w:t>4</w:t>
            </w:r>
            <w:r>
              <w:rPr>
                <w:rFonts w:hint="eastAsia" w:ascii="仿宋" w:hAnsi="仿宋" w:eastAsia="仿宋" w:cs="仿宋"/>
                <w:kern w:val="0"/>
                <w:sz w:val="20"/>
                <w:szCs w:val="20"/>
                <w:lang w:val="en-US" w:eastAsia="zh-CN"/>
              </w:rPr>
              <w:t>05</w:t>
            </w:r>
            <w:r>
              <w:rPr>
                <w:rFonts w:hint="eastAsia" w:ascii="仿宋" w:hAnsi="仿宋" w:eastAsia="仿宋" w:cs="仿宋"/>
                <w:kern w:val="0"/>
                <w:sz w:val="20"/>
                <w:szCs w:val="20"/>
              </w:rPr>
              <w:t>.35</w:t>
            </w:r>
          </w:p>
        </w:tc>
      </w:tr>
      <w:tr w14:paraId="7312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vAlign w:val="center"/>
          </w:tcPr>
          <w:p w14:paraId="18F5D062">
            <w:pPr>
              <w:widowControl/>
              <w:jc w:val="center"/>
              <w:rPr>
                <w:rFonts w:ascii="仿宋" w:hAnsi="仿宋" w:eastAsia="仿宋" w:cs="仿宋"/>
                <w:kern w:val="0"/>
                <w:sz w:val="20"/>
                <w:szCs w:val="20"/>
              </w:rPr>
            </w:pPr>
            <w:r>
              <w:rPr>
                <w:rFonts w:hint="eastAsia" w:ascii="仿宋" w:hAnsi="仿宋" w:eastAsia="仿宋" w:cs="仿宋"/>
                <w:kern w:val="0"/>
                <w:sz w:val="20"/>
                <w:szCs w:val="20"/>
              </w:rPr>
              <w:t>楼堂馆所控制情况</w:t>
            </w:r>
          </w:p>
          <w:p w14:paraId="1032768E">
            <w:pPr>
              <w:widowControl/>
              <w:jc w:val="center"/>
              <w:rPr>
                <w:rFonts w:ascii="仿宋" w:hAnsi="仿宋" w:eastAsia="仿宋" w:cs="仿宋"/>
                <w:kern w:val="0"/>
                <w:sz w:val="20"/>
                <w:szCs w:val="20"/>
              </w:rPr>
            </w:pPr>
          </w:p>
        </w:tc>
        <w:tc>
          <w:tcPr>
            <w:tcW w:w="1189" w:type="dxa"/>
            <w:vAlign w:val="center"/>
          </w:tcPr>
          <w:p w14:paraId="0A37885C">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批复规模</w:t>
            </w:r>
          </w:p>
          <w:p w14:paraId="19FFECBF">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849" w:type="dxa"/>
            <w:vAlign w:val="center"/>
          </w:tcPr>
          <w:p w14:paraId="1EF6525D">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实际规模（㎡）</w:t>
            </w:r>
          </w:p>
        </w:tc>
        <w:tc>
          <w:tcPr>
            <w:tcW w:w="1129" w:type="dxa"/>
            <w:vAlign w:val="center"/>
          </w:tcPr>
          <w:p w14:paraId="056FEA82">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规模控制率</w:t>
            </w:r>
          </w:p>
        </w:tc>
        <w:tc>
          <w:tcPr>
            <w:tcW w:w="1111" w:type="dxa"/>
            <w:vAlign w:val="center"/>
          </w:tcPr>
          <w:p w14:paraId="163ECE60">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预算投资（万元）</w:t>
            </w:r>
          </w:p>
        </w:tc>
        <w:tc>
          <w:tcPr>
            <w:tcW w:w="969" w:type="dxa"/>
            <w:vAlign w:val="center"/>
          </w:tcPr>
          <w:p w14:paraId="3B05BC5F">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实际投资（万元）</w:t>
            </w:r>
          </w:p>
        </w:tc>
        <w:tc>
          <w:tcPr>
            <w:tcW w:w="863" w:type="dxa"/>
            <w:vAlign w:val="center"/>
          </w:tcPr>
          <w:p w14:paraId="5657898C">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投资概算控制率</w:t>
            </w:r>
          </w:p>
        </w:tc>
      </w:tr>
      <w:tr w14:paraId="752E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vMerge w:val="continue"/>
            <w:vAlign w:val="center"/>
          </w:tcPr>
          <w:p w14:paraId="10DEF98D">
            <w:pPr>
              <w:widowControl/>
              <w:jc w:val="left"/>
              <w:rPr>
                <w:rFonts w:ascii="仿宋" w:hAnsi="仿宋" w:eastAsia="仿宋" w:cs="仿宋"/>
                <w:kern w:val="0"/>
                <w:sz w:val="20"/>
                <w:szCs w:val="20"/>
              </w:rPr>
            </w:pPr>
          </w:p>
        </w:tc>
        <w:tc>
          <w:tcPr>
            <w:tcW w:w="1189" w:type="dxa"/>
            <w:vAlign w:val="center"/>
          </w:tcPr>
          <w:p w14:paraId="5D00FA9B">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849" w:type="dxa"/>
            <w:vAlign w:val="center"/>
          </w:tcPr>
          <w:p w14:paraId="0BAE245C">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29" w:type="dxa"/>
            <w:vAlign w:val="center"/>
          </w:tcPr>
          <w:p w14:paraId="29533289">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11" w:type="dxa"/>
            <w:vAlign w:val="center"/>
          </w:tcPr>
          <w:p w14:paraId="33EE83CE">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969" w:type="dxa"/>
            <w:vAlign w:val="center"/>
          </w:tcPr>
          <w:p w14:paraId="46C4254E">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863" w:type="dxa"/>
            <w:vAlign w:val="center"/>
          </w:tcPr>
          <w:p w14:paraId="1A4980B3">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14:paraId="171A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vAlign w:val="center"/>
          </w:tcPr>
          <w:p w14:paraId="4BAE03FA">
            <w:pPr>
              <w:widowControl/>
              <w:jc w:val="center"/>
              <w:rPr>
                <w:rFonts w:ascii="仿宋" w:hAnsi="仿宋" w:eastAsia="仿宋" w:cs="仿宋"/>
                <w:kern w:val="0"/>
                <w:sz w:val="20"/>
                <w:szCs w:val="20"/>
              </w:rPr>
            </w:pPr>
            <w:r>
              <w:rPr>
                <w:rFonts w:hint="eastAsia" w:ascii="仿宋" w:hAnsi="仿宋" w:eastAsia="仿宋" w:cs="仿宋"/>
                <w:kern w:val="0"/>
                <w:sz w:val="20"/>
                <w:szCs w:val="20"/>
              </w:rPr>
              <w:t>厉行节约保障措施</w:t>
            </w:r>
          </w:p>
        </w:tc>
        <w:tc>
          <w:tcPr>
            <w:tcW w:w="6110" w:type="dxa"/>
            <w:gridSpan w:val="6"/>
            <w:vAlign w:val="center"/>
          </w:tcPr>
          <w:p w14:paraId="2E0A2A7F">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bl>
    <w:p w14:paraId="541B0FE8">
      <w:pPr>
        <w:pStyle w:val="11"/>
        <w:spacing w:line="280" w:lineRule="exact"/>
        <w:ind w:firstLine="440"/>
      </w:pPr>
      <w:r>
        <w:rPr>
          <w:rFonts w:eastAsia="仿宋_GB2312"/>
          <w:kern w:val="0"/>
          <w:sz w:val="22"/>
        </w:rPr>
        <w:t>说明：“项目支出”需要填报基本支出以外的所有项目支出情况，“公用经费”填报基本支出中的一般商品和服务支出。</w:t>
      </w:r>
    </w:p>
    <w:p w14:paraId="21C27138">
      <w:pPr>
        <w:spacing w:line="600" w:lineRule="exact"/>
        <w:rPr>
          <w:rFonts w:ascii="方正小标宋_GBK" w:hAnsi="方正小标宋_GBK" w:eastAsia="方正小标宋_GBK" w:cs="方正小标宋_GBK"/>
          <w:color w:val="000000"/>
          <w:sz w:val="32"/>
          <w:szCs w:val="32"/>
          <w:shd w:val="clear" w:color="auto" w:fill="FFFFFF"/>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 xml:space="preserve"> </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 xml:space="preserve"> </w:t>
      </w:r>
    </w:p>
    <w:p w14:paraId="36DDB348">
      <w:pPr>
        <w:pStyle w:val="6"/>
        <w:widowControl/>
        <w:shd w:val="clear" w:color="auto" w:fill="FFFFFF"/>
        <w:spacing w:beforeAutospacing="0" w:afterAutospacing="0" w:line="480" w:lineRule="exact"/>
        <w:ind w:firstLine="643"/>
        <w:jc w:val="both"/>
        <w:rPr>
          <w:rFonts w:ascii="方正小标宋_GBK" w:hAnsi="方正小标宋_GBK" w:eastAsia="方正小标宋_GBK" w:cs="方正小标宋_GBK"/>
          <w:color w:val="000000"/>
          <w:sz w:val="32"/>
          <w:szCs w:val="32"/>
          <w:shd w:val="clear" w:color="auto" w:fill="FFFFFF"/>
        </w:rPr>
      </w:pPr>
      <w:r>
        <w:rPr>
          <w:rFonts w:hint="eastAsia" w:ascii="宋体" w:hAnsi="宋体" w:eastAsia="宋体" w:cs="宋体"/>
          <w:color w:val="000000"/>
          <w:sz w:val="32"/>
          <w:szCs w:val="32"/>
          <w:shd w:val="clear" w:color="auto" w:fill="FFFFFF"/>
        </w:rPr>
        <w:t>附</w:t>
      </w:r>
      <w:r>
        <w:rPr>
          <w:rFonts w:ascii="方正小标宋_GBK" w:hAnsi="方正小标宋_GBK" w:eastAsia="方正小标宋_GBK" w:cs="方正小标宋_GBK"/>
          <w:color w:val="000000"/>
          <w:sz w:val="32"/>
          <w:szCs w:val="32"/>
          <w:shd w:val="clear" w:color="auto" w:fill="FFFFFF"/>
        </w:rPr>
        <w:t>件1-2</w:t>
      </w:r>
    </w:p>
    <w:p w14:paraId="27D91E39">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1140"/>
        <w:gridCol w:w="1082"/>
        <w:gridCol w:w="989"/>
        <w:gridCol w:w="90"/>
        <w:gridCol w:w="1177"/>
        <w:gridCol w:w="1117"/>
        <w:gridCol w:w="696"/>
        <w:gridCol w:w="683"/>
        <w:gridCol w:w="1155"/>
      </w:tblGrid>
      <w:tr w14:paraId="6333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33" w:type="dxa"/>
            <w:vAlign w:val="center"/>
          </w:tcPr>
          <w:p w14:paraId="1A27766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预算单位名称</w:t>
            </w:r>
          </w:p>
        </w:tc>
        <w:tc>
          <w:tcPr>
            <w:tcW w:w="8129" w:type="dxa"/>
            <w:gridSpan w:val="9"/>
            <w:vAlign w:val="center"/>
          </w:tcPr>
          <w:p w14:paraId="6AB6F086">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怀化开放大学　</w:t>
            </w:r>
          </w:p>
        </w:tc>
      </w:tr>
      <w:tr w14:paraId="0285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33" w:type="dxa"/>
            <w:vMerge w:val="restart"/>
            <w:vAlign w:val="center"/>
          </w:tcPr>
          <w:p w14:paraId="0F568B9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5AFAC48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算申请</w:t>
            </w:r>
          </w:p>
          <w:p w14:paraId="64A4523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22" w:type="dxa"/>
            <w:gridSpan w:val="2"/>
            <w:vAlign w:val="center"/>
          </w:tcPr>
          <w:p w14:paraId="74D3C526">
            <w:pPr>
              <w:widowControl/>
              <w:spacing w:line="240" w:lineRule="exact"/>
              <w:jc w:val="center"/>
              <w:rPr>
                <w:rFonts w:ascii="仿宋" w:hAnsi="仿宋" w:eastAsia="仿宋" w:cs="仿宋"/>
                <w:sz w:val="20"/>
                <w:szCs w:val="20"/>
              </w:rPr>
            </w:pPr>
          </w:p>
        </w:tc>
        <w:tc>
          <w:tcPr>
            <w:tcW w:w="989" w:type="dxa"/>
            <w:vAlign w:val="center"/>
          </w:tcPr>
          <w:p w14:paraId="3279D1D6">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年初</w:t>
            </w:r>
          </w:p>
          <w:p w14:paraId="7D5E744D">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267" w:type="dxa"/>
            <w:gridSpan w:val="2"/>
            <w:vAlign w:val="center"/>
          </w:tcPr>
          <w:p w14:paraId="464F4F31">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全年预算数</w:t>
            </w:r>
          </w:p>
        </w:tc>
        <w:tc>
          <w:tcPr>
            <w:tcW w:w="1117" w:type="dxa"/>
            <w:vAlign w:val="center"/>
          </w:tcPr>
          <w:p w14:paraId="73C0C693">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w:t>
            </w:r>
          </w:p>
          <w:p w14:paraId="5E5FB4C8">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696" w:type="dxa"/>
            <w:vAlign w:val="center"/>
          </w:tcPr>
          <w:p w14:paraId="7C15D043">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683" w:type="dxa"/>
            <w:vAlign w:val="center"/>
          </w:tcPr>
          <w:p w14:paraId="65F16B84">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155" w:type="dxa"/>
            <w:vAlign w:val="center"/>
          </w:tcPr>
          <w:p w14:paraId="53344235">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2A53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757DB8B3">
            <w:pPr>
              <w:widowControl/>
              <w:spacing w:line="240" w:lineRule="exact"/>
              <w:jc w:val="center"/>
              <w:rPr>
                <w:rFonts w:ascii="仿宋" w:hAnsi="仿宋" w:eastAsia="仿宋" w:cs="仿宋"/>
                <w:color w:val="000000"/>
                <w:kern w:val="0"/>
                <w:sz w:val="20"/>
                <w:szCs w:val="20"/>
              </w:rPr>
            </w:pPr>
          </w:p>
        </w:tc>
        <w:tc>
          <w:tcPr>
            <w:tcW w:w="2222" w:type="dxa"/>
            <w:gridSpan w:val="2"/>
            <w:vAlign w:val="center"/>
          </w:tcPr>
          <w:p w14:paraId="6439C28E">
            <w:pPr>
              <w:widowControl/>
              <w:spacing w:line="240" w:lineRule="exact"/>
              <w:jc w:val="center"/>
              <w:rPr>
                <w:rFonts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9" w:type="dxa"/>
            <w:vAlign w:val="center"/>
          </w:tcPr>
          <w:p w14:paraId="338C0975">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2473.85</w:t>
            </w:r>
          </w:p>
        </w:tc>
        <w:tc>
          <w:tcPr>
            <w:tcW w:w="1267" w:type="dxa"/>
            <w:gridSpan w:val="2"/>
            <w:vAlign w:val="center"/>
          </w:tcPr>
          <w:p w14:paraId="4712DBD5">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2165.18</w:t>
            </w:r>
          </w:p>
        </w:tc>
        <w:tc>
          <w:tcPr>
            <w:tcW w:w="1117" w:type="dxa"/>
            <w:vAlign w:val="center"/>
          </w:tcPr>
          <w:p w14:paraId="5F8347A9">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2165.18</w:t>
            </w:r>
          </w:p>
        </w:tc>
        <w:tc>
          <w:tcPr>
            <w:tcW w:w="696" w:type="dxa"/>
            <w:vAlign w:val="center"/>
          </w:tcPr>
          <w:p w14:paraId="0C763218">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w:t>
            </w:r>
          </w:p>
        </w:tc>
        <w:tc>
          <w:tcPr>
            <w:tcW w:w="683" w:type="dxa"/>
            <w:vAlign w:val="center"/>
          </w:tcPr>
          <w:p w14:paraId="019BA3DB">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100%</w:t>
            </w:r>
          </w:p>
        </w:tc>
        <w:tc>
          <w:tcPr>
            <w:tcW w:w="1155" w:type="dxa"/>
            <w:vAlign w:val="center"/>
          </w:tcPr>
          <w:p w14:paraId="3763380D">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r>
      <w:tr w14:paraId="7A1B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7047F9BF">
            <w:pPr>
              <w:widowControl/>
              <w:spacing w:line="240" w:lineRule="exact"/>
              <w:jc w:val="left"/>
              <w:rPr>
                <w:rFonts w:ascii="仿宋" w:hAnsi="仿宋" w:eastAsia="仿宋" w:cs="仿宋"/>
                <w:color w:val="000000"/>
                <w:kern w:val="0"/>
                <w:sz w:val="20"/>
                <w:szCs w:val="20"/>
              </w:rPr>
            </w:pPr>
          </w:p>
        </w:tc>
        <w:tc>
          <w:tcPr>
            <w:tcW w:w="4478" w:type="dxa"/>
            <w:gridSpan w:val="5"/>
            <w:vAlign w:val="center"/>
          </w:tcPr>
          <w:p w14:paraId="5241B3B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r>
              <w:rPr>
                <w:rFonts w:hint="eastAsia" w:ascii="Times New Roman" w:hAnsi="Times New Roman" w:eastAsia="仿宋_GB2312" w:cs="Times New Roman"/>
                <w:sz w:val="20"/>
                <w:szCs w:val="20"/>
              </w:rPr>
              <w:t>2165.18</w:t>
            </w:r>
          </w:p>
        </w:tc>
        <w:tc>
          <w:tcPr>
            <w:tcW w:w="3651" w:type="dxa"/>
            <w:gridSpan w:val="4"/>
            <w:vAlign w:val="center"/>
          </w:tcPr>
          <w:p w14:paraId="4AB016B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r>
              <w:rPr>
                <w:rFonts w:hint="eastAsia" w:ascii="Times New Roman" w:hAnsi="Times New Roman" w:eastAsia="仿宋_GB2312" w:cs="Times New Roman"/>
                <w:sz w:val="20"/>
                <w:szCs w:val="20"/>
              </w:rPr>
              <w:t>2165.18</w:t>
            </w:r>
          </w:p>
        </w:tc>
      </w:tr>
      <w:tr w14:paraId="02D5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4F48C14E">
            <w:pPr>
              <w:widowControl/>
              <w:spacing w:line="240" w:lineRule="exact"/>
              <w:jc w:val="left"/>
              <w:rPr>
                <w:rFonts w:ascii="仿宋" w:hAnsi="仿宋" w:eastAsia="仿宋" w:cs="仿宋"/>
                <w:color w:val="000000"/>
                <w:kern w:val="0"/>
                <w:sz w:val="20"/>
                <w:szCs w:val="20"/>
              </w:rPr>
            </w:pPr>
          </w:p>
        </w:tc>
        <w:tc>
          <w:tcPr>
            <w:tcW w:w="4478" w:type="dxa"/>
            <w:gridSpan w:val="5"/>
            <w:vAlign w:val="center"/>
          </w:tcPr>
          <w:p w14:paraId="4899554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r>
              <w:rPr>
                <w:rFonts w:hint="eastAsia" w:ascii="Times New Roman" w:hAnsi="Times New Roman" w:eastAsia="仿宋_GB2312" w:cs="Times New Roman"/>
                <w:color w:val="000000"/>
                <w:sz w:val="20"/>
                <w:szCs w:val="20"/>
              </w:rPr>
              <w:t>678.95</w:t>
            </w:r>
          </w:p>
        </w:tc>
        <w:tc>
          <w:tcPr>
            <w:tcW w:w="3651" w:type="dxa"/>
            <w:gridSpan w:val="4"/>
            <w:vAlign w:val="center"/>
          </w:tcPr>
          <w:p w14:paraId="5864504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其中：基本支出：</w:t>
            </w:r>
            <w:r>
              <w:rPr>
                <w:rFonts w:hint="eastAsia" w:ascii="Times New Roman" w:hAnsi="Times New Roman" w:eastAsia="仿宋_GB2312" w:cs="Times New Roman"/>
                <w:color w:val="000000"/>
                <w:sz w:val="20"/>
                <w:szCs w:val="20"/>
              </w:rPr>
              <w:t>2165.18</w:t>
            </w:r>
          </w:p>
        </w:tc>
      </w:tr>
      <w:tr w14:paraId="0BC3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3B2FC557">
            <w:pPr>
              <w:widowControl/>
              <w:spacing w:line="240" w:lineRule="exact"/>
              <w:jc w:val="left"/>
              <w:rPr>
                <w:rFonts w:ascii="仿宋" w:hAnsi="仿宋" w:eastAsia="仿宋" w:cs="仿宋"/>
                <w:color w:val="000000"/>
                <w:kern w:val="0"/>
                <w:sz w:val="20"/>
                <w:szCs w:val="20"/>
              </w:rPr>
            </w:pPr>
          </w:p>
        </w:tc>
        <w:tc>
          <w:tcPr>
            <w:tcW w:w="4478" w:type="dxa"/>
            <w:gridSpan w:val="5"/>
            <w:vAlign w:val="center"/>
          </w:tcPr>
          <w:p w14:paraId="4C424D1D">
            <w:pPr>
              <w:widowControl/>
              <w:spacing w:line="240" w:lineRule="exact"/>
              <w:ind w:firstLine="800" w:firstLineChars="4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r>
              <w:rPr>
                <w:rFonts w:hint="eastAsia" w:ascii="Times New Roman" w:hAnsi="Times New Roman" w:eastAsia="仿宋_GB2312" w:cs="Times New Roman"/>
                <w:color w:val="000000"/>
                <w:sz w:val="20"/>
                <w:szCs w:val="20"/>
              </w:rPr>
              <w:t>6.92</w:t>
            </w:r>
          </w:p>
        </w:tc>
        <w:tc>
          <w:tcPr>
            <w:tcW w:w="3651" w:type="dxa"/>
            <w:gridSpan w:val="4"/>
            <w:vAlign w:val="center"/>
          </w:tcPr>
          <w:p w14:paraId="1D33A7BA">
            <w:pPr>
              <w:widowControl/>
              <w:spacing w:line="240" w:lineRule="exact"/>
              <w:ind w:firstLine="600" w:firstLineChars="3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项目支出：</w:t>
            </w:r>
            <w:r>
              <w:rPr>
                <w:rFonts w:hint="eastAsia" w:ascii="Times New Roman" w:hAnsi="Times New Roman" w:eastAsia="仿宋_GB2312" w:cs="Times New Roman"/>
                <w:color w:val="000000"/>
                <w:sz w:val="20"/>
                <w:szCs w:val="20"/>
              </w:rPr>
              <w:t>0</w:t>
            </w:r>
          </w:p>
        </w:tc>
      </w:tr>
      <w:tr w14:paraId="10F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21DC537A">
            <w:pPr>
              <w:widowControl/>
              <w:spacing w:line="240" w:lineRule="exact"/>
              <w:jc w:val="left"/>
              <w:rPr>
                <w:rFonts w:ascii="仿宋" w:hAnsi="仿宋" w:eastAsia="仿宋" w:cs="仿宋"/>
                <w:color w:val="000000"/>
                <w:kern w:val="0"/>
                <w:sz w:val="20"/>
                <w:szCs w:val="20"/>
              </w:rPr>
            </w:pPr>
          </w:p>
        </w:tc>
        <w:tc>
          <w:tcPr>
            <w:tcW w:w="4478" w:type="dxa"/>
            <w:gridSpan w:val="5"/>
            <w:vAlign w:val="center"/>
          </w:tcPr>
          <w:p w14:paraId="7C31541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r>
              <w:rPr>
                <w:rFonts w:hint="eastAsia" w:ascii="Times New Roman" w:hAnsi="Times New Roman" w:eastAsia="仿宋_GB2312" w:cs="Times New Roman"/>
                <w:color w:val="000000"/>
                <w:sz w:val="20"/>
                <w:szCs w:val="20"/>
              </w:rPr>
              <w:t>1479.31</w:t>
            </w:r>
          </w:p>
        </w:tc>
        <w:tc>
          <w:tcPr>
            <w:tcW w:w="3651" w:type="dxa"/>
            <w:gridSpan w:val="4"/>
            <w:vAlign w:val="center"/>
          </w:tcPr>
          <w:p w14:paraId="33AD64AF">
            <w:pPr>
              <w:widowControl/>
              <w:spacing w:line="240" w:lineRule="exact"/>
              <w:jc w:val="left"/>
              <w:rPr>
                <w:rFonts w:ascii="仿宋" w:hAnsi="仿宋" w:eastAsia="仿宋" w:cs="仿宋"/>
                <w:color w:val="000000"/>
                <w:kern w:val="0"/>
                <w:sz w:val="20"/>
                <w:szCs w:val="20"/>
              </w:rPr>
            </w:pPr>
          </w:p>
        </w:tc>
      </w:tr>
      <w:tr w14:paraId="1AB8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33" w:type="dxa"/>
            <w:vMerge w:val="continue"/>
            <w:vAlign w:val="center"/>
          </w:tcPr>
          <w:p w14:paraId="4C2C2B01">
            <w:pPr>
              <w:widowControl/>
              <w:spacing w:line="240" w:lineRule="exact"/>
              <w:jc w:val="left"/>
              <w:rPr>
                <w:rFonts w:ascii="仿宋" w:hAnsi="仿宋" w:eastAsia="仿宋" w:cs="仿宋"/>
                <w:color w:val="000000"/>
                <w:kern w:val="0"/>
                <w:sz w:val="20"/>
                <w:szCs w:val="20"/>
              </w:rPr>
            </w:pPr>
          </w:p>
        </w:tc>
        <w:tc>
          <w:tcPr>
            <w:tcW w:w="4478" w:type="dxa"/>
            <w:gridSpan w:val="5"/>
            <w:vAlign w:val="center"/>
          </w:tcPr>
          <w:p w14:paraId="5C7CC556">
            <w:pPr>
              <w:widowControl/>
              <w:spacing w:line="240" w:lineRule="exact"/>
              <w:ind w:firstLine="1400" w:firstLineChars="7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其他资金：0</w:t>
            </w:r>
          </w:p>
        </w:tc>
        <w:tc>
          <w:tcPr>
            <w:tcW w:w="3651" w:type="dxa"/>
            <w:gridSpan w:val="4"/>
            <w:vAlign w:val="center"/>
          </w:tcPr>
          <w:p w14:paraId="169AE5E9">
            <w:pPr>
              <w:widowControl/>
              <w:spacing w:line="240" w:lineRule="exact"/>
              <w:jc w:val="left"/>
              <w:rPr>
                <w:rFonts w:ascii="仿宋" w:hAnsi="仿宋" w:eastAsia="仿宋" w:cs="仿宋"/>
                <w:color w:val="000000"/>
                <w:kern w:val="0"/>
                <w:sz w:val="20"/>
                <w:szCs w:val="20"/>
              </w:rPr>
            </w:pPr>
          </w:p>
        </w:tc>
      </w:tr>
      <w:tr w14:paraId="2DFA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restart"/>
            <w:vAlign w:val="center"/>
          </w:tcPr>
          <w:p w14:paraId="0104DFC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78" w:type="dxa"/>
            <w:gridSpan w:val="5"/>
            <w:vAlign w:val="center"/>
          </w:tcPr>
          <w:p w14:paraId="7FEAD7F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651" w:type="dxa"/>
            <w:gridSpan w:val="4"/>
            <w:vAlign w:val="center"/>
          </w:tcPr>
          <w:p w14:paraId="4D83E2E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92B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33" w:type="dxa"/>
            <w:vMerge w:val="continue"/>
            <w:vAlign w:val="center"/>
          </w:tcPr>
          <w:p w14:paraId="4BDD9470">
            <w:pPr>
              <w:widowControl/>
              <w:spacing w:line="240" w:lineRule="exact"/>
              <w:jc w:val="left"/>
              <w:rPr>
                <w:rFonts w:ascii="仿宋" w:hAnsi="仿宋" w:eastAsia="仿宋" w:cs="仿宋"/>
                <w:color w:val="000000"/>
                <w:kern w:val="0"/>
                <w:sz w:val="20"/>
                <w:szCs w:val="20"/>
              </w:rPr>
            </w:pPr>
          </w:p>
        </w:tc>
        <w:tc>
          <w:tcPr>
            <w:tcW w:w="4478" w:type="dxa"/>
            <w:gridSpan w:val="5"/>
            <w:vAlign w:val="center"/>
          </w:tcPr>
          <w:p w14:paraId="2A057E0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3651" w:type="dxa"/>
            <w:gridSpan w:val="4"/>
            <w:vAlign w:val="center"/>
          </w:tcPr>
          <w:p w14:paraId="16E41E1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1A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33" w:type="dxa"/>
            <w:vMerge w:val="restart"/>
            <w:vAlign w:val="center"/>
          </w:tcPr>
          <w:p w14:paraId="50FC688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A362D5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3C2944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691237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40" w:type="dxa"/>
            <w:vAlign w:val="center"/>
          </w:tcPr>
          <w:p w14:paraId="5A48D36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2" w:type="dxa"/>
            <w:vAlign w:val="center"/>
          </w:tcPr>
          <w:p w14:paraId="02CCB1E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9" w:type="dxa"/>
            <w:gridSpan w:val="2"/>
            <w:vAlign w:val="center"/>
          </w:tcPr>
          <w:p w14:paraId="0615E7E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77" w:type="dxa"/>
            <w:vAlign w:val="center"/>
          </w:tcPr>
          <w:p w14:paraId="439BE2A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FC396E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7" w:type="dxa"/>
            <w:vAlign w:val="center"/>
          </w:tcPr>
          <w:p w14:paraId="73ED85B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E759ED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6" w:type="dxa"/>
            <w:vAlign w:val="center"/>
          </w:tcPr>
          <w:p w14:paraId="08DACF0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83" w:type="dxa"/>
            <w:vAlign w:val="center"/>
          </w:tcPr>
          <w:p w14:paraId="500E103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5" w:type="dxa"/>
          </w:tcPr>
          <w:p w14:paraId="657095F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F231B8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E1593C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79B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2B0E9091">
            <w:pPr>
              <w:widowControl/>
              <w:spacing w:line="240" w:lineRule="exact"/>
              <w:jc w:val="center"/>
              <w:rPr>
                <w:rFonts w:ascii="仿宋" w:hAnsi="仿宋" w:eastAsia="仿宋" w:cs="仿宋"/>
                <w:color w:val="000000"/>
                <w:kern w:val="0"/>
                <w:sz w:val="20"/>
                <w:szCs w:val="20"/>
              </w:rPr>
            </w:pPr>
          </w:p>
        </w:tc>
        <w:tc>
          <w:tcPr>
            <w:tcW w:w="1140" w:type="dxa"/>
            <w:vMerge w:val="restart"/>
            <w:vAlign w:val="center"/>
          </w:tcPr>
          <w:p w14:paraId="5AB41F7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C8007B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（50分)</w:t>
            </w:r>
          </w:p>
        </w:tc>
        <w:tc>
          <w:tcPr>
            <w:tcW w:w="1082" w:type="dxa"/>
            <w:vAlign w:val="center"/>
          </w:tcPr>
          <w:p w14:paraId="37683ED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3255D5E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584F522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全市2023年实现招生计划目标</w:t>
            </w:r>
          </w:p>
        </w:tc>
        <w:tc>
          <w:tcPr>
            <w:tcW w:w="1177" w:type="dxa"/>
            <w:vAlign w:val="center"/>
          </w:tcPr>
          <w:p w14:paraId="1AD719B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≥1800</w:t>
            </w:r>
          </w:p>
        </w:tc>
        <w:tc>
          <w:tcPr>
            <w:tcW w:w="1117" w:type="dxa"/>
            <w:vAlign w:val="center"/>
          </w:tcPr>
          <w:p w14:paraId="6F28322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1391</w:t>
            </w:r>
          </w:p>
        </w:tc>
        <w:tc>
          <w:tcPr>
            <w:tcW w:w="696" w:type="dxa"/>
            <w:vAlign w:val="center"/>
          </w:tcPr>
          <w:p w14:paraId="7156E8F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683" w:type="dxa"/>
            <w:vAlign w:val="center"/>
          </w:tcPr>
          <w:p w14:paraId="0342552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16</w:t>
            </w:r>
          </w:p>
        </w:tc>
        <w:tc>
          <w:tcPr>
            <w:tcW w:w="1155" w:type="dxa"/>
            <w:vAlign w:val="center"/>
          </w:tcPr>
          <w:p w14:paraId="1F2A521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落实治招要求，拓宽招生渠道。</w:t>
            </w:r>
          </w:p>
        </w:tc>
      </w:tr>
      <w:tr w14:paraId="041A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58A463D1">
            <w:pPr>
              <w:widowControl/>
              <w:spacing w:line="240" w:lineRule="exact"/>
              <w:jc w:val="center"/>
              <w:rPr>
                <w:rFonts w:ascii="仿宋" w:hAnsi="仿宋" w:eastAsia="仿宋" w:cs="仿宋"/>
                <w:color w:val="000000"/>
                <w:kern w:val="0"/>
                <w:sz w:val="20"/>
                <w:szCs w:val="20"/>
              </w:rPr>
            </w:pPr>
          </w:p>
        </w:tc>
        <w:tc>
          <w:tcPr>
            <w:tcW w:w="1140" w:type="dxa"/>
            <w:vMerge w:val="continue"/>
            <w:vAlign w:val="center"/>
          </w:tcPr>
          <w:p w14:paraId="424A6E70">
            <w:pPr>
              <w:widowControl/>
              <w:spacing w:line="240" w:lineRule="exact"/>
              <w:jc w:val="left"/>
              <w:rPr>
                <w:rFonts w:ascii="仿宋" w:hAnsi="仿宋" w:eastAsia="仿宋" w:cs="仿宋"/>
                <w:color w:val="000000"/>
                <w:kern w:val="0"/>
                <w:sz w:val="20"/>
                <w:szCs w:val="20"/>
              </w:rPr>
            </w:pPr>
          </w:p>
        </w:tc>
        <w:tc>
          <w:tcPr>
            <w:tcW w:w="1082" w:type="dxa"/>
            <w:vAlign w:val="center"/>
          </w:tcPr>
          <w:p w14:paraId="532B2E7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6EE2186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53CE415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干部网络教育</w:t>
            </w:r>
          </w:p>
        </w:tc>
        <w:tc>
          <w:tcPr>
            <w:tcW w:w="1177" w:type="dxa"/>
            <w:vAlign w:val="center"/>
          </w:tcPr>
          <w:p w14:paraId="44AA7DD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≥95%</w:t>
            </w:r>
          </w:p>
        </w:tc>
        <w:tc>
          <w:tcPr>
            <w:tcW w:w="1117" w:type="dxa"/>
            <w:vAlign w:val="center"/>
          </w:tcPr>
          <w:p w14:paraId="1349113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96" w:type="dxa"/>
            <w:vAlign w:val="center"/>
          </w:tcPr>
          <w:p w14:paraId="17A1A48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683" w:type="dxa"/>
            <w:vAlign w:val="center"/>
          </w:tcPr>
          <w:p w14:paraId="4CC3E1C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1155" w:type="dxa"/>
            <w:vAlign w:val="center"/>
          </w:tcPr>
          <w:p w14:paraId="5E9220B6">
            <w:pPr>
              <w:widowControl/>
              <w:spacing w:line="240" w:lineRule="exact"/>
              <w:jc w:val="center"/>
              <w:rPr>
                <w:rFonts w:ascii="仿宋" w:hAnsi="仿宋" w:eastAsia="仿宋" w:cs="仿宋"/>
                <w:color w:val="000000"/>
                <w:kern w:val="0"/>
                <w:sz w:val="20"/>
                <w:szCs w:val="20"/>
              </w:rPr>
            </w:pPr>
          </w:p>
        </w:tc>
      </w:tr>
      <w:tr w14:paraId="7E67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2B83FF47">
            <w:pPr>
              <w:widowControl/>
              <w:spacing w:line="240" w:lineRule="exact"/>
              <w:jc w:val="center"/>
              <w:rPr>
                <w:rFonts w:ascii="仿宋" w:hAnsi="仿宋" w:eastAsia="仿宋" w:cs="仿宋"/>
                <w:color w:val="000000"/>
                <w:kern w:val="0"/>
                <w:sz w:val="20"/>
                <w:szCs w:val="20"/>
              </w:rPr>
            </w:pPr>
          </w:p>
        </w:tc>
        <w:tc>
          <w:tcPr>
            <w:tcW w:w="1140" w:type="dxa"/>
            <w:vMerge w:val="continue"/>
            <w:vAlign w:val="center"/>
          </w:tcPr>
          <w:p w14:paraId="794B59BD">
            <w:pPr>
              <w:widowControl/>
              <w:spacing w:line="240" w:lineRule="exact"/>
              <w:jc w:val="left"/>
              <w:rPr>
                <w:rFonts w:ascii="仿宋" w:hAnsi="仿宋" w:eastAsia="仿宋" w:cs="仿宋"/>
                <w:color w:val="000000"/>
                <w:kern w:val="0"/>
                <w:sz w:val="20"/>
                <w:szCs w:val="20"/>
              </w:rPr>
            </w:pPr>
          </w:p>
        </w:tc>
        <w:tc>
          <w:tcPr>
            <w:tcW w:w="1082" w:type="dxa"/>
            <w:vAlign w:val="center"/>
          </w:tcPr>
          <w:p w14:paraId="7F63513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4F954D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7E9B506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77" w:type="dxa"/>
            <w:vAlign w:val="center"/>
          </w:tcPr>
          <w:p w14:paraId="274ADCC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2023年12月31日前完成各项工作</w:t>
            </w:r>
          </w:p>
        </w:tc>
        <w:tc>
          <w:tcPr>
            <w:tcW w:w="1117" w:type="dxa"/>
            <w:vAlign w:val="center"/>
          </w:tcPr>
          <w:p w14:paraId="4FE909C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全部完成</w:t>
            </w:r>
          </w:p>
        </w:tc>
        <w:tc>
          <w:tcPr>
            <w:tcW w:w="696" w:type="dxa"/>
            <w:vAlign w:val="center"/>
          </w:tcPr>
          <w:p w14:paraId="271AB7E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683" w:type="dxa"/>
            <w:vAlign w:val="center"/>
          </w:tcPr>
          <w:p w14:paraId="6506368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55" w:type="dxa"/>
            <w:vAlign w:val="center"/>
          </w:tcPr>
          <w:p w14:paraId="7393AFC7">
            <w:pPr>
              <w:widowControl/>
              <w:spacing w:line="240" w:lineRule="exact"/>
              <w:jc w:val="center"/>
              <w:rPr>
                <w:rFonts w:ascii="仿宋" w:hAnsi="仿宋" w:eastAsia="仿宋" w:cs="仿宋"/>
                <w:color w:val="000000"/>
                <w:kern w:val="0"/>
                <w:sz w:val="20"/>
                <w:szCs w:val="20"/>
              </w:rPr>
            </w:pPr>
          </w:p>
        </w:tc>
      </w:tr>
      <w:tr w14:paraId="50CD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04F1F268">
            <w:pPr>
              <w:widowControl/>
              <w:spacing w:line="240" w:lineRule="exact"/>
              <w:jc w:val="center"/>
              <w:rPr>
                <w:rFonts w:ascii="仿宋" w:hAnsi="仿宋" w:eastAsia="仿宋" w:cs="仿宋"/>
                <w:color w:val="000000"/>
                <w:kern w:val="0"/>
                <w:sz w:val="20"/>
                <w:szCs w:val="20"/>
              </w:rPr>
            </w:pPr>
          </w:p>
        </w:tc>
        <w:tc>
          <w:tcPr>
            <w:tcW w:w="1140" w:type="dxa"/>
            <w:vMerge w:val="continue"/>
            <w:vAlign w:val="center"/>
          </w:tcPr>
          <w:p w14:paraId="513EA1AC">
            <w:pPr>
              <w:widowControl/>
              <w:spacing w:line="240" w:lineRule="exact"/>
              <w:jc w:val="left"/>
              <w:rPr>
                <w:rFonts w:ascii="仿宋" w:hAnsi="仿宋" w:eastAsia="仿宋" w:cs="仿宋"/>
                <w:color w:val="000000"/>
                <w:kern w:val="0"/>
                <w:sz w:val="20"/>
                <w:szCs w:val="20"/>
              </w:rPr>
            </w:pPr>
          </w:p>
        </w:tc>
        <w:tc>
          <w:tcPr>
            <w:tcW w:w="1082" w:type="dxa"/>
            <w:vAlign w:val="center"/>
          </w:tcPr>
          <w:p w14:paraId="7C21FDD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1D04288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65E9F02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成本节约率</w:t>
            </w:r>
          </w:p>
        </w:tc>
        <w:tc>
          <w:tcPr>
            <w:tcW w:w="1177" w:type="dxa"/>
            <w:vAlign w:val="center"/>
          </w:tcPr>
          <w:p w14:paraId="68428CE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117" w:type="dxa"/>
            <w:vAlign w:val="center"/>
          </w:tcPr>
          <w:p w14:paraId="305DF6D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12.48%</w:t>
            </w:r>
          </w:p>
        </w:tc>
        <w:tc>
          <w:tcPr>
            <w:tcW w:w="696" w:type="dxa"/>
            <w:vAlign w:val="center"/>
          </w:tcPr>
          <w:p w14:paraId="2941E88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683" w:type="dxa"/>
            <w:vAlign w:val="center"/>
          </w:tcPr>
          <w:p w14:paraId="2BA35FE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55" w:type="dxa"/>
            <w:vAlign w:val="center"/>
          </w:tcPr>
          <w:p w14:paraId="15F1A3FE">
            <w:pPr>
              <w:widowControl/>
              <w:spacing w:line="240" w:lineRule="exact"/>
              <w:jc w:val="center"/>
              <w:rPr>
                <w:rFonts w:ascii="仿宋" w:hAnsi="仿宋" w:eastAsia="仿宋" w:cs="仿宋"/>
                <w:color w:val="000000"/>
                <w:kern w:val="0"/>
                <w:sz w:val="20"/>
                <w:szCs w:val="20"/>
              </w:rPr>
            </w:pPr>
          </w:p>
        </w:tc>
      </w:tr>
      <w:tr w14:paraId="2493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5EB2768D">
            <w:pPr>
              <w:widowControl/>
              <w:spacing w:line="240" w:lineRule="exact"/>
              <w:jc w:val="center"/>
              <w:rPr>
                <w:rFonts w:ascii="仿宋" w:hAnsi="仿宋" w:eastAsia="仿宋" w:cs="仿宋"/>
                <w:color w:val="000000"/>
                <w:kern w:val="0"/>
                <w:sz w:val="20"/>
                <w:szCs w:val="20"/>
              </w:rPr>
            </w:pPr>
          </w:p>
        </w:tc>
        <w:tc>
          <w:tcPr>
            <w:tcW w:w="1140" w:type="dxa"/>
            <w:vMerge w:val="restart"/>
            <w:vAlign w:val="center"/>
          </w:tcPr>
          <w:p w14:paraId="31B1D7A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6CC537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2" w:type="dxa"/>
            <w:vAlign w:val="center"/>
          </w:tcPr>
          <w:p w14:paraId="3F3805D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91A4FE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9" w:type="dxa"/>
            <w:gridSpan w:val="2"/>
            <w:vAlign w:val="center"/>
          </w:tcPr>
          <w:p w14:paraId="723726CF">
            <w:pPr>
              <w:widowControl/>
              <w:spacing w:line="240" w:lineRule="exact"/>
              <w:jc w:val="left"/>
              <w:rPr>
                <w:rFonts w:ascii="仿宋" w:hAnsi="仿宋" w:eastAsia="仿宋" w:cs="仿宋"/>
                <w:color w:val="000000"/>
                <w:kern w:val="0"/>
                <w:sz w:val="20"/>
                <w:szCs w:val="20"/>
              </w:rPr>
            </w:pPr>
          </w:p>
        </w:tc>
        <w:tc>
          <w:tcPr>
            <w:tcW w:w="1177" w:type="dxa"/>
            <w:vAlign w:val="center"/>
          </w:tcPr>
          <w:p w14:paraId="104A487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7" w:type="dxa"/>
            <w:vAlign w:val="center"/>
          </w:tcPr>
          <w:p w14:paraId="219BDA8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6" w:type="dxa"/>
            <w:vAlign w:val="center"/>
          </w:tcPr>
          <w:p w14:paraId="3150355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83" w:type="dxa"/>
            <w:vAlign w:val="center"/>
          </w:tcPr>
          <w:p w14:paraId="70375DB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55" w:type="dxa"/>
            <w:vAlign w:val="center"/>
          </w:tcPr>
          <w:p w14:paraId="47AF726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DA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76C9FE77">
            <w:pPr>
              <w:widowControl/>
              <w:spacing w:line="240" w:lineRule="exact"/>
              <w:jc w:val="center"/>
              <w:rPr>
                <w:rFonts w:ascii="仿宋" w:hAnsi="仿宋" w:eastAsia="仿宋" w:cs="仿宋"/>
                <w:color w:val="000000"/>
                <w:kern w:val="0"/>
                <w:sz w:val="20"/>
                <w:szCs w:val="20"/>
              </w:rPr>
            </w:pPr>
          </w:p>
        </w:tc>
        <w:tc>
          <w:tcPr>
            <w:tcW w:w="1140" w:type="dxa"/>
            <w:vMerge w:val="continue"/>
            <w:vAlign w:val="center"/>
          </w:tcPr>
          <w:p w14:paraId="4F634914">
            <w:pPr>
              <w:widowControl/>
              <w:spacing w:line="240" w:lineRule="exact"/>
              <w:jc w:val="left"/>
              <w:rPr>
                <w:rFonts w:ascii="仿宋" w:hAnsi="仿宋" w:eastAsia="仿宋" w:cs="仿宋"/>
                <w:color w:val="000000"/>
                <w:kern w:val="0"/>
                <w:sz w:val="20"/>
                <w:szCs w:val="20"/>
              </w:rPr>
            </w:pPr>
          </w:p>
        </w:tc>
        <w:tc>
          <w:tcPr>
            <w:tcW w:w="1082" w:type="dxa"/>
            <w:vAlign w:val="center"/>
          </w:tcPr>
          <w:p w14:paraId="750C399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26C2D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9" w:type="dxa"/>
            <w:gridSpan w:val="2"/>
            <w:vAlign w:val="center"/>
          </w:tcPr>
          <w:p w14:paraId="4285A78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推动区域文明建设程度</w:t>
            </w:r>
          </w:p>
        </w:tc>
        <w:tc>
          <w:tcPr>
            <w:tcW w:w="1177" w:type="dxa"/>
            <w:vAlign w:val="center"/>
          </w:tcPr>
          <w:p w14:paraId="6881A87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明显进步</w:t>
            </w:r>
          </w:p>
        </w:tc>
        <w:tc>
          <w:tcPr>
            <w:tcW w:w="1117" w:type="dxa"/>
            <w:vAlign w:val="center"/>
          </w:tcPr>
          <w:p w14:paraId="084EB43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社区教育效果显著</w:t>
            </w:r>
          </w:p>
        </w:tc>
        <w:tc>
          <w:tcPr>
            <w:tcW w:w="696" w:type="dxa"/>
            <w:vAlign w:val="center"/>
          </w:tcPr>
          <w:p w14:paraId="624E539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15　</w:t>
            </w:r>
          </w:p>
        </w:tc>
        <w:tc>
          <w:tcPr>
            <w:tcW w:w="683" w:type="dxa"/>
            <w:vAlign w:val="center"/>
          </w:tcPr>
          <w:p w14:paraId="42D56E6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15</w:t>
            </w:r>
          </w:p>
        </w:tc>
        <w:tc>
          <w:tcPr>
            <w:tcW w:w="1155" w:type="dxa"/>
            <w:vAlign w:val="center"/>
          </w:tcPr>
          <w:p w14:paraId="0E346E9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84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7B194F80">
            <w:pPr>
              <w:widowControl/>
              <w:spacing w:line="240" w:lineRule="exact"/>
              <w:jc w:val="center"/>
              <w:rPr>
                <w:rFonts w:ascii="仿宋" w:hAnsi="仿宋" w:eastAsia="仿宋" w:cs="仿宋"/>
                <w:color w:val="000000"/>
                <w:kern w:val="0"/>
                <w:sz w:val="20"/>
                <w:szCs w:val="20"/>
              </w:rPr>
            </w:pPr>
          </w:p>
        </w:tc>
        <w:tc>
          <w:tcPr>
            <w:tcW w:w="1140" w:type="dxa"/>
            <w:vMerge w:val="continue"/>
            <w:vAlign w:val="center"/>
          </w:tcPr>
          <w:p w14:paraId="755A3B2E">
            <w:pPr>
              <w:widowControl/>
              <w:spacing w:line="240" w:lineRule="exact"/>
              <w:jc w:val="left"/>
              <w:rPr>
                <w:rFonts w:ascii="仿宋" w:hAnsi="仿宋" w:eastAsia="仿宋" w:cs="仿宋"/>
                <w:color w:val="000000"/>
                <w:kern w:val="0"/>
                <w:sz w:val="20"/>
                <w:szCs w:val="20"/>
              </w:rPr>
            </w:pPr>
          </w:p>
        </w:tc>
        <w:tc>
          <w:tcPr>
            <w:tcW w:w="1082" w:type="dxa"/>
            <w:vAlign w:val="center"/>
          </w:tcPr>
          <w:p w14:paraId="751DFDB6">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EA58B1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9" w:type="dxa"/>
            <w:gridSpan w:val="2"/>
            <w:vAlign w:val="center"/>
          </w:tcPr>
          <w:p w14:paraId="4598CC36">
            <w:pPr>
              <w:widowControl/>
              <w:spacing w:line="240" w:lineRule="exact"/>
              <w:jc w:val="left"/>
              <w:rPr>
                <w:rFonts w:ascii="仿宋" w:hAnsi="仿宋" w:eastAsia="仿宋" w:cs="仿宋"/>
                <w:color w:val="000000"/>
                <w:kern w:val="0"/>
                <w:sz w:val="20"/>
                <w:szCs w:val="20"/>
              </w:rPr>
            </w:pPr>
          </w:p>
        </w:tc>
        <w:tc>
          <w:tcPr>
            <w:tcW w:w="1177" w:type="dxa"/>
            <w:vAlign w:val="center"/>
          </w:tcPr>
          <w:p w14:paraId="476B8DD8">
            <w:pPr>
              <w:widowControl/>
              <w:spacing w:line="240" w:lineRule="exact"/>
              <w:jc w:val="left"/>
              <w:rPr>
                <w:rFonts w:ascii="仿宋" w:hAnsi="仿宋" w:eastAsia="仿宋" w:cs="仿宋"/>
                <w:color w:val="000000"/>
                <w:kern w:val="0"/>
                <w:sz w:val="20"/>
                <w:szCs w:val="20"/>
              </w:rPr>
            </w:pPr>
          </w:p>
        </w:tc>
        <w:tc>
          <w:tcPr>
            <w:tcW w:w="1117" w:type="dxa"/>
            <w:vAlign w:val="center"/>
          </w:tcPr>
          <w:p w14:paraId="19ACCED9">
            <w:pPr>
              <w:widowControl/>
              <w:spacing w:line="240" w:lineRule="exact"/>
              <w:jc w:val="left"/>
              <w:rPr>
                <w:rFonts w:ascii="仿宋" w:hAnsi="仿宋" w:eastAsia="仿宋" w:cs="仿宋"/>
                <w:color w:val="000000"/>
                <w:kern w:val="0"/>
                <w:sz w:val="20"/>
                <w:szCs w:val="20"/>
              </w:rPr>
            </w:pPr>
          </w:p>
        </w:tc>
        <w:tc>
          <w:tcPr>
            <w:tcW w:w="696" w:type="dxa"/>
            <w:vAlign w:val="center"/>
          </w:tcPr>
          <w:p w14:paraId="5EB3D417">
            <w:pPr>
              <w:widowControl/>
              <w:spacing w:line="240" w:lineRule="exact"/>
              <w:jc w:val="left"/>
              <w:rPr>
                <w:rFonts w:ascii="仿宋" w:hAnsi="仿宋" w:eastAsia="仿宋" w:cs="仿宋"/>
                <w:color w:val="000000"/>
                <w:kern w:val="0"/>
                <w:sz w:val="20"/>
                <w:szCs w:val="20"/>
              </w:rPr>
            </w:pPr>
          </w:p>
        </w:tc>
        <w:tc>
          <w:tcPr>
            <w:tcW w:w="683" w:type="dxa"/>
            <w:vAlign w:val="center"/>
          </w:tcPr>
          <w:p w14:paraId="2D6782DA">
            <w:pPr>
              <w:widowControl/>
              <w:spacing w:line="240" w:lineRule="exact"/>
              <w:jc w:val="left"/>
              <w:rPr>
                <w:rFonts w:ascii="仿宋" w:hAnsi="仿宋" w:eastAsia="仿宋" w:cs="仿宋"/>
                <w:color w:val="000000"/>
                <w:kern w:val="0"/>
                <w:sz w:val="20"/>
                <w:szCs w:val="20"/>
              </w:rPr>
            </w:pPr>
          </w:p>
        </w:tc>
        <w:tc>
          <w:tcPr>
            <w:tcW w:w="1155" w:type="dxa"/>
            <w:vAlign w:val="center"/>
          </w:tcPr>
          <w:p w14:paraId="45BCFD52">
            <w:pPr>
              <w:widowControl/>
              <w:spacing w:line="240" w:lineRule="exact"/>
              <w:jc w:val="left"/>
              <w:rPr>
                <w:rFonts w:ascii="仿宋" w:hAnsi="仿宋" w:eastAsia="仿宋" w:cs="仿宋"/>
                <w:color w:val="000000"/>
                <w:kern w:val="0"/>
                <w:sz w:val="20"/>
                <w:szCs w:val="20"/>
              </w:rPr>
            </w:pPr>
          </w:p>
        </w:tc>
      </w:tr>
      <w:tr w14:paraId="2873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4ADE8CA0">
            <w:pPr>
              <w:widowControl/>
              <w:spacing w:line="240" w:lineRule="exact"/>
              <w:jc w:val="center"/>
              <w:rPr>
                <w:rFonts w:ascii="仿宋" w:hAnsi="仿宋" w:eastAsia="仿宋" w:cs="仿宋"/>
                <w:color w:val="000000"/>
                <w:kern w:val="0"/>
                <w:sz w:val="20"/>
                <w:szCs w:val="20"/>
              </w:rPr>
            </w:pPr>
          </w:p>
        </w:tc>
        <w:tc>
          <w:tcPr>
            <w:tcW w:w="1140" w:type="dxa"/>
            <w:vMerge w:val="continue"/>
            <w:vAlign w:val="center"/>
          </w:tcPr>
          <w:p w14:paraId="56DA3DEE">
            <w:pPr>
              <w:widowControl/>
              <w:spacing w:line="240" w:lineRule="exact"/>
              <w:jc w:val="left"/>
              <w:rPr>
                <w:rFonts w:ascii="仿宋" w:hAnsi="仿宋" w:eastAsia="仿宋" w:cs="仿宋"/>
                <w:color w:val="000000"/>
                <w:kern w:val="0"/>
                <w:sz w:val="20"/>
                <w:szCs w:val="20"/>
              </w:rPr>
            </w:pPr>
          </w:p>
        </w:tc>
        <w:tc>
          <w:tcPr>
            <w:tcW w:w="1082" w:type="dxa"/>
            <w:vAlign w:val="center"/>
          </w:tcPr>
          <w:p w14:paraId="1F7285A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9" w:type="dxa"/>
            <w:gridSpan w:val="2"/>
            <w:vAlign w:val="center"/>
          </w:tcPr>
          <w:p w14:paraId="53C5167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推动区域社会和谐程度</w:t>
            </w:r>
          </w:p>
        </w:tc>
        <w:tc>
          <w:tcPr>
            <w:tcW w:w="1177" w:type="dxa"/>
            <w:vAlign w:val="center"/>
          </w:tcPr>
          <w:p w14:paraId="2D482EA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和谐发展</w:t>
            </w:r>
          </w:p>
        </w:tc>
        <w:tc>
          <w:tcPr>
            <w:tcW w:w="1117" w:type="dxa"/>
            <w:vAlign w:val="center"/>
          </w:tcPr>
          <w:p w14:paraId="4C62B0A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为</w:t>
            </w:r>
            <w:r>
              <w:rPr>
                <w:rFonts w:hint="eastAsia" w:ascii="仿宋" w:hAnsi="仿宋" w:eastAsia="仿宋" w:cs="仿宋"/>
                <w:color w:val="000000"/>
                <w:kern w:val="0"/>
                <w:sz w:val="18"/>
                <w:szCs w:val="18"/>
              </w:rPr>
              <w:t>学生提供优质学习支持服务</w:t>
            </w:r>
          </w:p>
        </w:tc>
        <w:tc>
          <w:tcPr>
            <w:tcW w:w="696" w:type="dxa"/>
            <w:vAlign w:val="center"/>
          </w:tcPr>
          <w:p w14:paraId="627584E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15</w:t>
            </w:r>
          </w:p>
        </w:tc>
        <w:tc>
          <w:tcPr>
            <w:tcW w:w="683" w:type="dxa"/>
            <w:vAlign w:val="center"/>
          </w:tcPr>
          <w:p w14:paraId="298F840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15</w:t>
            </w:r>
          </w:p>
        </w:tc>
        <w:tc>
          <w:tcPr>
            <w:tcW w:w="1155" w:type="dxa"/>
            <w:vAlign w:val="center"/>
          </w:tcPr>
          <w:p w14:paraId="1D4D023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DD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3" w:type="dxa"/>
            <w:vMerge w:val="continue"/>
            <w:vAlign w:val="center"/>
          </w:tcPr>
          <w:p w14:paraId="1072D2D7">
            <w:pPr>
              <w:widowControl/>
              <w:spacing w:line="240" w:lineRule="exact"/>
              <w:jc w:val="left"/>
              <w:rPr>
                <w:rFonts w:ascii="仿宋" w:hAnsi="仿宋" w:eastAsia="仿宋" w:cs="仿宋"/>
                <w:color w:val="000000"/>
                <w:kern w:val="0"/>
                <w:sz w:val="20"/>
                <w:szCs w:val="20"/>
              </w:rPr>
            </w:pPr>
          </w:p>
        </w:tc>
        <w:tc>
          <w:tcPr>
            <w:tcW w:w="1140" w:type="dxa"/>
            <w:vAlign w:val="center"/>
          </w:tcPr>
          <w:p w14:paraId="5231137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47000E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7EFBBB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2" w:type="dxa"/>
            <w:vAlign w:val="center"/>
          </w:tcPr>
          <w:p w14:paraId="22165ED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79" w:type="dxa"/>
            <w:gridSpan w:val="2"/>
            <w:vAlign w:val="center"/>
          </w:tcPr>
          <w:p w14:paraId="307B2EE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77" w:type="dxa"/>
            <w:vAlign w:val="center"/>
          </w:tcPr>
          <w:p w14:paraId="142C320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≥90%</w:t>
            </w:r>
          </w:p>
        </w:tc>
        <w:tc>
          <w:tcPr>
            <w:tcW w:w="1117" w:type="dxa"/>
            <w:vAlign w:val="center"/>
          </w:tcPr>
          <w:p w14:paraId="09B82A1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满意</w:t>
            </w:r>
          </w:p>
        </w:tc>
        <w:tc>
          <w:tcPr>
            <w:tcW w:w="696" w:type="dxa"/>
            <w:vAlign w:val="center"/>
          </w:tcPr>
          <w:p w14:paraId="33852C2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683" w:type="dxa"/>
            <w:vAlign w:val="center"/>
          </w:tcPr>
          <w:p w14:paraId="7D345DB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8</w:t>
            </w:r>
          </w:p>
        </w:tc>
        <w:tc>
          <w:tcPr>
            <w:tcW w:w="1155" w:type="dxa"/>
            <w:vAlign w:val="center"/>
          </w:tcPr>
          <w:p w14:paraId="61A5391A">
            <w:pPr>
              <w:widowControl/>
              <w:spacing w:line="240" w:lineRule="exact"/>
              <w:jc w:val="left"/>
              <w:rPr>
                <w:rFonts w:ascii="仿宋" w:hAnsi="仿宋" w:eastAsia="仿宋_GB2312" w:cs="仿宋"/>
                <w:color w:val="000000"/>
                <w:kern w:val="0"/>
                <w:sz w:val="20"/>
                <w:szCs w:val="20"/>
              </w:rPr>
            </w:pPr>
            <w:r>
              <w:rPr>
                <w:rFonts w:hint="eastAsia" w:ascii="Times New Roman" w:hAnsi="Times New Roman" w:eastAsia="仿宋_GB2312"/>
                <w:color w:val="000000"/>
                <w:sz w:val="20"/>
                <w:szCs w:val="20"/>
              </w:rPr>
              <w:t>加强沟通交流，提供更加优质的服务。</w:t>
            </w:r>
          </w:p>
        </w:tc>
      </w:tr>
      <w:tr w14:paraId="3980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28" w:type="dxa"/>
            <w:gridSpan w:val="7"/>
            <w:vAlign w:val="center"/>
          </w:tcPr>
          <w:p w14:paraId="49AED39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6" w:type="dxa"/>
            <w:vAlign w:val="center"/>
          </w:tcPr>
          <w:p w14:paraId="1BDC866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83" w:type="dxa"/>
            <w:vAlign w:val="center"/>
          </w:tcPr>
          <w:p w14:paraId="4949D42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94</w:t>
            </w:r>
          </w:p>
        </w:tc>
        <w:tc>
          <w:tcPr>
            <w:tcW w:w="1155" w:type="dxa"/>
            <w:vAlign w:val="center"/>
          </w:tcPr>
          <w:p w14:paraId="5F2CF75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DD290CD">
      <w:pPr>
        <w:spacing w:line="600" w:lineRule="exact"/>
        <w:rPr>
          <w:rFonts w:ascii="Times New Roman" w:hAnsi="Times New Roman" w:eastAsia="仿宋_GB2312" w:cs="Times New Roman"/>
          <w:color w:val="000000"/>
          <w:kern w:val="0"/>
          <w:sz w:val="32"/>
          <w:szCs w:val="32"/>
        </w:rPr>
      </w:pPr>
      <w:r>
        <w:rPr>
          <w:rFonts w:ascii="仿宋" w:hAnsi="仿宋" w:eastAsia="仿宋" w:cs="Times New Roman"/>
          <w:color w:val="000000"/>
          <w:kern w:val="0"/>
          <w:sz w:val="24"/>
        </w:rPr>
        <w:t>填表人：</w:t>
      </w:r>
      <w:r>
        <w:rPr>
          <w:rFonts w:hint="eastAsia" w:ascii="仿宋" w:hAnsi="仿宋" w:eastAsia="仿宋" w:cs="微软雅黑"/>
          <w:color w:val="000000"/>
          <w:kern w:val="0"/>
          <w:sz w:val="24"/>
          <w:lang w:val="en-US" w:eastAsia="zh-CN"/>
        </w:rPr>
        <w:t xml:space="preserve">      </w:t>
      </w:r>
      <w:r>
        <w:rPr>
          <w:rFonts w:hint="eastAsia" w:ascii="仿宋" w:hAnsi="仿宋" w:eastAsia="仿宋" w:cs="Times New Roman"/>
          <w:color w:val="000000"/>
          <w:kern w:val="0"/>
          <w:sz w:val="24"/>
        </w:rPr>
        <w:t xml:space="preserve">  </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 xml:space="preserve">  联系电话：</w:t>
      </w:r>
      <w:r>
        <w:rPr>
          <w:rFonts w:hint="eastAsia" w:ascii="Times New Roman" w:hAnsi="Times New Roman" w:eastAsia="仿宋_GB2312" w:cs="Times New Roman"/>
          <w:color w:val="000000"/>
          <w:kern w:val="0"/>
          <w:sz w:val="24"/>
        </w:rPr>
        <w:t>2720048</w:t>
      </w:r>
    </w:p>
    <w:p w14:paraId="2AEFE734"/>
    <w:p w14:paraId="6B641C2F">
      <w:pPr>
        <w:spacing w:line="560" w:lineRule="exact"/>
        <w:rPr>
          <w:rFonts w:ascii="黑体" w:hAnsi="宋体" w:eastAsia="黑体" w:cs="宋体"/>
          <w:kern w:val="0"/>
          <w:sz w:val="32"/>
          <w:szCs w:val="32"/>
        </w:rPr>
      </w:pPr>
      <w:r>
        <w:rPr>
          <w:rFonts w:hint="eastAsia" w:ascii="黑体" w:hAnsi="宋体" w:eastAsia="黑体" w:cs="宋体"/>
          <w:kern w:val="0"/>
          <w:sz w:val="32"/>
          <w:szCs w:val="32"/>
        </w:rPr>
        <w:t>附件2</w:t>
      </w:r>
    </w:p>
    <w:p w14:paraId="50EBA093">
      <w:pPr>
        <w:jc w:val="center"/>
        <w:rPr>
          <w:rFonts w:eastAsia="方正小标宋_GBK"/>
          <w:sz w:val="52"/>
          <w:szCs w:val="52"/>
        </w:rPr>
      </w:pPr>
    </w:p>
    <w:p w14:paraId="6F4D4B70">
      <w:pPr>
        <w:rPr>
          <w:rFonts w:eastAsia="方正小标宋_GBK"/>
          <w:sz w:val="52"/>
          <w:szCs w:val="52"/>
        </w:rPr>
      </w:pPr>
    </w:p>
    <w:p w14:paraId="45C90E50">
      <w:pPr>
        <w:jc w:val="center"/>
        <w:rPr>
          <w:rFonts w:ascii="黑体" w:hAnsi="黑体" w:eastAsia="黑体" w:cs="黑体"/>
          <w:b/>
          <w:bCs/>
          <w:sz w:val="52"/>
          <w:szCs w:val="52"/>
        </w:rPr>
      </w:pPr>
      <w:r>
        <w:rPr>
          <w:rFonts w:hint="eastAsia" w:ascii="黑体" w:hAnsi="黑体" w:eastAsia="黑体" w:cs="黑体"/>
          <w:b/>
          <w:bCs/>
          <w:sz w:val="52"/>
          <w:szCs w:val="52"/>
        </w:rPr>
        <w:t>2023年度怀化开放大学</w:t>
      </w:r>
    </w:p>
    <w:p w14:paraId="3683C7E4">
      <w:pPr>
        <w:jc w:val="center"/>
        <w:rPr>
          <w:rFonts w:ascii="黑体" w:hAnsi="黑体" w:eastAsia="黑体" w:cs="黑体"/>
          <w:sz w:val="52"/>
          <w:szCs w:val="52"/>
        </w:rPr>
      </w:pPr>
      <w:r>
        <w:rPr>
          <w:rFonts w:hint="eastAsia" w:ascii="黑体" w:hAnsi="黑体" w:eastAsia="黑体" w:cs="黑体"/>
          <w:b/>
          <w:bCs/>
          <w:sz w:val="52"/>
          <w:szCs w:val="52"/>
        </w:rPr>
        <w:t xml:space="preserve"> 社区教育专项资金绩效自评报告表</w:t>
      </w:r>
    </w:p>
    <w:p w14:paraId="4B6CA183">
      <w:pPr>
        <w:rPr>
          <w:rFonts w:eastAsia="楷体_GB2312"/>
          <w:b/>
          <w:sz w:val="32"/>
          <w:szCs w:val="32"/>
        </w:rPr>
      </w:pPr>
    </w:p>
    <w:p w14:paraId="4B1D9DB0">
      <w:pPr>
        <w:jc w:val="center"/>
        <w:rPr>
          <w:rFonts w:eastAsia="黑体"/>
          <w:sz w:val="32"/>
          <w:szCs w:val="32"/>
        </w:rPr>
      </w:pPr>
    </w:p>
    <w:p w14:paraId="0FD796DF">
      <w:pPr>
        <w:jc w:val="center"/>
        <w:rPr>
          <w:rFonts w:eastAsia="黑体"/>
          <w:sz w:val="32"/>
          <w:szCs w:val="32"/>
        </w:rPr>
      </w:pPr>
    </w:p>
    <w:p w14:paraId="35D34A5B">
      <w:pPr>
        <w:jc w:val="center"/>
        <w:rPr>
          <w:rFonts w:eastAsia="黑体"/>
          <w:sz w:val="32"/>
          <w:szCs w:val="32"/>
        </w:rPr>
      </w:pPr>
    </w:p>
    <w:p w14:paraId="39C6A52B">
      <w:pPr>
        <w:jc w:val="center"/>
        <w:rPr>
          <w:rFonts w:eastAsia="黑体"/>
          <w:sz w:val="32"/>
          <w:szCs w:val="32"/>
        </w:rPr>
      </w:pPr>
    </w:p>
    <w:p w14:paraId="186F989E">
      <w:pPr>
        <w:jc w:val="center"/>
        <w:rPr>
          <w:rFonts w:eastAsia="黑体"/>
          <w:sz w:val="32"/>
          <w:szCs w:val="32"/>
        </w:rPr>
      </w:pPr>
    </w:p>
    <w:p w14:paraId="21C59AFE">
      <w:pPr>
        <w:jc w:val="center"/>
        <w:rPr>
          <w:rFonts w:eastAsia="黑体"/>
          <w:sz w:val="32"/>
          <w:szCs w:val="32"/>
        </w:rPr>
      </w:pPr>
    </w:p>
    <w:p w14:paraId="0D2D9052">
      <w:pPr>
        <w:rPr>
          <w:rFonts w:eastAsia="黑体"/>
          <w:sz w:val="32"/>
          <w:szCs w:val="32"/>
        </w:rPr>
      </w:pPr>
    </w:p>
    <w:p w14:paraId="7294C16A">
      <w:pPr>
        <w:jc w:val="center"/>
        <w:rPr>
          <w:rFonts w:eastAsia="黑体"/>
          <w:sz w:val="32"/>
          <w:szCs w:val="32"/>
        </w:rPr>
      </w:pPr>
    </w:p>
    <w:p w14:paraId="284B6732">
      <w:pPr>
        <w:spacing w:line="600" w:lineRule="exact"/>
        <w:ind w:firstLine="1920" w:firstLineChars="600"/>
        <w:rPr>
          <w:rFonts w:ascii="仿宋" w:hAnsi="仿宋" w:eastAsia="仿宋"/>
          <w:sz w:val="32"/>
          <w:szCs w:val="32"/>
          <w:u w:val="single"/>
        </w:rPr>
      </w:pPr>
      <w:r>
        <w:rPr>
          <w:rFonts w:ascii="仿宋" w:hAnsi="仿宋" w:eastAsia="仿宋"/>
          <w:sz w:val="32"/>
          <w:szCs w:val="32"/>
        </w:rPr>
        <w:t>单位名称：</w:t>
      </w:r>
      <w:r>
        <w:rPr>
          <w:rFonts w:ascii="仿宋" w:hAnsi="仿宋" w:eastAsia="仿宋"/>
          <w:sz w:val="32"/>
          <w:szCs w:val="32"/>
          <w:u w:val="single"/>
        </w:rPr>
        <w:t xml:space="preserve">（盖章）        </w:t>
      </w:r>
    </w:p>
    <w:p w14:paraId="61274F23">
      <w:pPr>
        <w:spacing w:line="600" w:lineRule="exact"/>
        <w:ind w:firstLine="3200" w:firstLineChars="1000"/>
        <w:rPr>
          <w:rFonts w:ascii="仿宋" w:hAnsi="仿宋" w:eastAsia="仿宋"/>
          <w:sz w:val="32"/>
          <w:szCs w:val="32"/>
        </w:rPr>
      </w:pPr>
      <w:r>
        <w:rPr>
          <w:rFonts w:hint="eastAsia" w:ascii="仿宋" w:hAnsi="仿宋" w:eastAsia="仿宋"/>
          <w:sz w:val="32"/>
          <w:szCs w:val="32"/>
        </w:rPr>
        <w:t>2023</w:t>
      </w:r>
      <w:r>
        <w:rPr>
          <w:rFonts w:ascii="仿宋" w:hAnsi="仿宋" w:eastAsia="仿宋"/>
          <w:sz w:val="32"/>
          <w:szCs w:val="32"/>
        </w:rPr>
        <w:t xml:space="preserve">年 </w:t>
      </w:r>
      <w:r>
        <w:rPr>
          <w:rFonts w:hint="eastAsia" w:ascii="仿宋" w:hAnsi="仿宋" w:eastAsia="仿宋"/>
          <w:sz w:val="32"/>
          <w:szCs w:val="32"/>
        </w:rPr>
        <w:t>7</w:t>
      </w:r>
      <w:r>
        <w:rPr>
          <w:rFonts w:ascii="仿宋" w:hAnsi="仿宋" w:eastAsia="仿宋"/>
          <w:sz w:val="32"/>
          <w:szCs w:val="32"/>
        </w:rPr>
        <w:t>月</w:t>
      </w:r>
      <w:r>
        <w:rPr>
          <w:rFonts w:hint="eastAsia" w:ascii="仿宋" w:hAnsi="仿宋" w:eastAsia="仿宋"/>
          <w:sz w:val="32"/>
          <w:szCs w:val="32"/>
        </w:rPr>
        <w:t>12</w:t>
      </w:r>
      <w:r>
        <w:rPr>
          <w:rFonts w:ascii="仿宋" w:hAnsi="仿宋" w:eastAsia="仿宋"/>
          <w:sz w:val="32"/>
          <w:szCs w:val="32"/>
        </w:rPr>
        <w:t>日</w:t>
      </w:r>
    </w:p>
    <w:p w14:paraId="1B6B7492">
      <w:pPr>
        <w:jc w:val="center"/>
        <w:rPr>
          <w:rFonts w:ascii="仿宋" w:hAnsi="仿宋" w:eastAsia="仿宋"/>
          <w:sz w:val="32"/>
          <w:szCs w:val="32"/>
        </w:rPr>
      </w:pPr>
    </w:p>
    <w:p w14:paraId="73FCC5A9">
      <w:pPr>
        <w:jc w:val="center"/>
        <w:rPr>
          <w:rFonts w:hint="eastAsia" w:ascii="仿宋" w:hAnsi="仿宋" w:eastAsia="仿宋"/>
          <w:sz w:val="32"/>
          <w:szCs w:val="32"/>
        </w:rPr>
      </w:pPr>
      <w:r>
        <w:rPr>
          <w:rFonts w:ascii="仿宋" w:hAnsi="仿宋" w:eastAsia="仿宋"/>
          <w:sz w:val="32"/>
          <w:szCs w:val="32"/>
        </w:rPr>
        <w:t>（此页为封面）</w:t>
      </w:r>
    </w:p>
    <w:p w14:paraId="4A0B206E">
      <w:pPr>
        <w:pStyle w:val="13"/>
        <w:shd w:val="clear" w:color="auto" w:fill="FFFFFF"/>
        <w:spacing w:line="560" w:lineRule="exact"/>
        <w:jc w:val="center"/>
        <w:rPr>
          <w:rFonts w:ascii="华文中宋" w:hAnsi="华文中宋" w:eastAsia="华文中宋" w:cs="方正小标宋_GBK"/>
          <w:b/>
          <w:bCs/>
          <w:sz w:val="44"/>
          <w:szCs w:val="44"/>
        </w:rPr>
      </w:pPr>
      <w:r>
        <w:rPr>
          <w:rFonts w:hint="eastAsia" w:ascii="华文中宋" w:hAnsi="华文中宋" w:eastAsia="华文中宋" w:cs="宋体"/>
          <w:b/>
          <w:bCs/>
          <w:sz w:val="44"/>
          <w:szCs w:val="44"/>
        </w:rPr>
        <w:t>怀</w:t>
      </w:r>
      <w:r>
        <w:rPr>
          <w:rFonts w:hint="eastAsia" w:ascii="华文中宋" w:hAnsi="华文中宋" w:eastAsia="华文中宋" w:cs="方正小标宋_GBK"/>
          <w:b/>
          <w:bCs/>
          <w:sz w:val="44"/>
          <w:szCs w:val="44"/>
        </w:rPr>
        <w:t>化开放大学2023年度社区教育</w:t>
      </w:r>
    </w:p>
    <w:p w14:paraId="261CDB37">
      <w:pPr>
        <w:pStyle w:val="13"/>
        <w:shd w:val="clear" w:color="auto" w:fill="FFFFFF"/>
        <w:spacing w:line="560" w:lineRule="exact"/>
        <w:jc w:val="center"/>
        <w:rPr>
          <w:rFonts w:ascii="华文中宋" w:hAnsi="华文中宋" w:eastAsia="华文中宋" w:cs="方正小标宋_GBK"/>
          <w:b/>
          <w:bCs/>
          <w:sz w:val="44"/>
          <w:szCs w:val="44"/>
        </w:rPr>
      </w:pPr>
      <w:r>
        <w:rPr>
          <w:rFonts w:hint="eastAsia" w:ascii="华文中宋" w:hAnsi="华文中宋" w:eastAsia="华文中宋" w:cs="方正小标宋_GBK"/>
          <w:b/>
          <w:bCs/>
          <w:sz w:val="44"/>
          <w:szCs w:val="44"/>
        </w:rPr>
        <w:t>专项资金绩效评价报告</w:t>
      </w:r>
    </w:p>
    <w:p w14:paraId="4AA1E347">
      <w:pPr>
        <w:pStyle w:val="13"/>
        <w:spacing w:line="360" w:lineRule="auto"/>
        <w:ind w:firstLine="643" w:firstLineChars="200"/>
        <w:rPr>
          <w:rFonts w:ascii="楷体" w:eastAsia="楷体"/>
          <w:b/>
          <w:sz w:val="32"/>
          <w:szCs w:val="32"/>
          <w:highlight w:val="yellow"/>
        </w:rPr>
      </w:pPr>
    </w:p>
    <w:p w14:paraId="7E27500E">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r>
        <w:rPr>
          <w:rFonts w:hint="eastAsia" w:ascii="黑体" w:hAnsi="黑体" w:eastAsia="黑体" w:cs="黑体"/>
          <w:color w:val="000000"/>
          <w:sz w:val="32"/>
          <w:szCs w:val="32"/>
          <w:shd w:val="clear" w:color="auto" w:fill="FFFFFF"/>
          <w:lang w:bidi="ar"/>
        </w:rPr>
        <w:t>一、项目基本情况</w:t>
      </w:r>
    </w:p>
    <w:p w14:paraId="5A1EF561">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（一）项目概况</w:t>
      </w:r>
    </w:p>
    <w:p w14:paraId="1EA0397F">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1.项目决策背景</w:t>
      </w:r>
    </w:p>
    <w:p w14:paraId="61E32D15">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国家中长期教育改革和发展规划纲要（2010-2020年）》强调了社区教育在终身教育体系中的重要作用；《湖南省社区教育发展规划（2018-2025年）》《中共怀化市委、怀化市人民政府关于推进终身教育和学习型社会建设的实施意见》（怀发[2012]3号）和2015年3月原市领导审批同意的《怀化广播电视大学关于增加终身教育经费预算的报告》,制定了具体的实施方案和经费管理办法，确保社区教育专项经费的有效使用。</w:t>
      </w:r>
    </w:p>
    <w:p w14:paraId="4A39FF7D">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2.项目主要内容</w:t>
      </w:r>
    </w:p>
    <w:p w14:paraId="1CDF0575">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专项经费主要用于市本级及县市区社区教育网络建设、社区教育指导工作支出、市本级社区教育线下班课程建设及注册社团活动经费支出，具体内容包括课程开发、理论研究、业务指导、教学示范、教师薪酬、活动服装场地费等。</w:t>
      </w:r>
    </w:p>
    <w:p w14:paraId="5687F44B">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3.项目组织管理机构</w:t>
      </w:r>
    </w:p>
    <w:p w14:paraId="49C06ACE">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sz w:val="32"/>
          <w:szCs w:val="32"/>
          <w:shd w:val="clear" w:color="auto" w:fill="FFFFFF"/>
          <w:lang w:bidi="ar"/>
        </w:rPr>
      </w:pPr>
      <w:r>
        <w:rPr>
          <w:rFonts w:hint="eastAsia" w:ascii="仿宋" w:hAnsi="仿宋" w:eastAsia="仿宋" w:cs="仿宋_GB2312"/>
          <w:sz w:val="32"/>
          <w:szCs w:val="32"/>
          <w:shd w:val="clear" w:color="auto" w:fill="FFFFFF"/>
          <w:lang w:bidi="ar"/>
        </w:rPr>
        <w:t>怀化开放大学总务科、怀化开放大学终身教育指导服务中心等。</w:t>
      </w:r>
    </w:p>
    <w:p w14:paraId="20805DBA">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（二）预算资金使用管理情况</w:t>
      </w:r>
    </w:p>
    <w:p w14:paraId="4E9698A6">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bookmarkStart w:id="0" w:name="_Toc10810"/>
      <w:r>
        <w:rPr>
          <w:rFonts w:hint="eastAsia" w:ascii="仿宋" w:hAnsi="仿宋" w:eastAsia="仿宋" w:cs="仿宋_GB2312"/>
          <w:b/>
          <w:bCs/>
          <w:color w:val="000000"/>
          <w:sz w:val="32"/>
          <w:szCs w:val="32"/>
          <w:shd w:val="clear" w:color="auto" w:fill="FFFFFF"/>
          <w:lang w:bidi="ar"/>
        </w:rPr>
        <w:t>1.预算资金安排及管理情况</w:t>
      </w:r>
      <w:bookmarkEnd w:id="0"/>
    </w:p>
    <w:p w14:paraId="749927EE">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（1）资金来源及拨付流程</w:t>
      </w:r>
    </w:p>
    <w:p w14:paraId="72300ED1">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根据《中共怀化市委、怀化市人民政府关于推进终身教育和学习型社会建设的实施意见》要求，将社区教育工作计划纳入本级财政年度财政预算。2015年市本级财政安排社区教育专项经费50万元。按照压价专项经费的要求，2022年本专项压减到30万元，到2023年缩减至25万元。资金拨付年初由财政局统一拨付至怀化开放大学账户。</w:t>
      </w:r>
    </w:p>
    <w:p w14:paraId="6661C8D2">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（2）资金到位情况</w:t>
      </w:r>
    </w:p>
    <w:p w14:paraId="2691290F">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2023年专项资金25万元全部拨付到位，资金到位率100%。</w:t>
      </w:r>
    </w:p>
    <w:p w14:paraId="32D898E6">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（3）资金使用情况</w:t>
      </w:r>
    </w:p>
    <w:p w14:paraId="3C682337">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开展社区教育活动支出35825元，课程资源建设支出19370元，社区教育一般商品和服务支出（办公、差旅费、课题研究等）194805元。</w:t>
      </w:r>
    </w:p>
    <w:p w14:paraId="6437E9E6">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（4）资金管理制度及执行情况</w:t>
      </w:r>
    </w:p>
    <w:p w14:paraId="589A332C">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项目组织机构健全、职责分工明确、实施程序规范；专项资金做到了专款专用，无截留和挪用等情况。</w:t>
      </w:r>
    </w:p>
    <w:p w14:paraId="7B2DC7A9">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2.项目组织实施管理情况</w:t>
      </w:r>
    </w:p>
    <w:p w14:paraId="55F9FEF5">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按照社区教育年度工作计划，编制年度经费预算方案，将工作任务细化到部门及具体内容，各项支出严格按照按程序执行。在市财政局的监督下，以终身教育指导服务中心为主体，总务科负责资金核算和经费控制，依据《怀化开放大学经费支出管理办法》和《怀化开放大学专项经费管理办法》实施，确保资金安全，发挥经费使用效益。</w:t>
      </w:r>
    </w:p>
    <w:p w14:paraId="6C82C222">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（三）预算绩效目标情况</w:t>
      </w:r>
    </w:p>
    <w:p w14:paraId="40816CDB">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1.绩效目标</w:t>
      </w:r>
    </w:p>
    <w:p w14:paraId="61080020">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落实《中共怀化市委、怀化市人民政府关于推进终身教育和学习型社会建设的实施意见》的目标要求。即：全市建成比较完善的终身教育体系，加快终身教育网络建设，提高社区教育普及程度，加强社区教育指导工作。</w:t>
      </w:r>
    </w:p>
    <w:p w14:paraId="11E1ECE5">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2.绩效指标</w:t>
      </w:r>
    </w:p>
    <w:p w14:paraId="4621DBCE">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绩效指标主要包括年度新增社区教育学习阵地数量，课程资源开发数量及取得成效，社区教育理论研究成果，如申报课题、发表论文数量，社团展演活动次数及获奖成绩等指标。</w:t>
      </w:r>
    </w:p>
    <w:p w14:paraId="64A32469">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r>
        <w:rPr>
          <w:rFonts w:hint="eastAsia" w:ascii="黑体" w:hAnsi="黑体" w:eastAsia="黑体" w:cs="黑体"/>
          <w:color w:val="000000"/>
          <w:sz w:val="32"/>
          <w:szCs w:val="32"/>
          <w:shd w:val="clear" w:color="auto" w:fill="FFFFFF"/>
          <w:lang w:bidi="ar"/>
        </w:rPr>
        <w:t>二、绩效评价工作情况</w:t>
      </w:r>
    </w:p>
    <w:p w14:paraId="064812B0">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（一）绩效评价目的</w:t>
      </w:r>
    </w:p>
    <w:p w14:paraId="7AC385FC">
      <w:pPr>
        <w:pStyle w:val="6"/>
        <w:widowControl/>
        <w:shd w:val="clear" w:color="auto" w:fill="FFFFFF"/>
        <w:snapToGrid w:val="0"/>
        <w:spacing w:beforeAutospacing="0" w:afterAutospacing="0" w:line="560" w:lineRule="exact"/>
        <w:ind w:firstLine="640" w:firstLineChars="200"/>
        <w:jc w:val="both"/>
        <w:rPr>
          <w:rFonts w:ascii="仿宋_GB2312" w:hAnsi="仿宋_GB2312" w:eastAsia="仿宋_GB2312" w:cs="仿宋_GB2312"/>
          <w:color w:val="000000"/>
          <w:sz w:val="32"/>
          <w:szCs w:val="32"/>
          <w:shd w:val="clear" w:color="auto" w:fill="FFFFFF"/>
          <w:lang w:bidi="ar"/>
        </w:rPr>
      </w:pPr>
      <w:r>
        <w:rPr>
          <w:rFonts w:hint="eastAsia" w:ascii="仿宋_GB2312" w:hAnsi="仿宋_GB2312" w:eastAsia="仿宋_GB2312" w:cs="仿宋_GB2312"/>
          <w:color w:val="000000"/>
          <w:sz w:val="32"/>
          <w:szCs w:val="32"/>
          <w:shd w:val="clear" w:color="auto" w:fill="FFFFFF"/>
          <w:lang w:bidi="ar"/>
        </w:rPr>
        <w:t>1</w:t>
      </w:r>
      <w:r>
        <w:rPr>
          <w:rFonts w:ascii="仿宋_GB2312" w:hAnsi="仿宋_GB2312" w:eastAsia="仿宋_GB2312" w:cs="仿宋_GB2312"/>
          <w:color w:val="000000"/>
          <w:sz w:val="32"/>
          <w:szCs w:val="32"/>
          <w:shd w:val="clear" w:color="auto" w:fill="FFFFFF"/>
          <w:lang w:bidi="ar"/>
        </w:rPr>
        <w:t>.</w:t>
      </w:r>
      <w:r>
        <w:rPr>
          <w:rFonts w:hint="eastAsia" w:ascii="仿宋_GB2312" w:hAnsi="仿宋_GB2312" w:eastAsia="仿宋_GB2312" w:cs="仿宋_GB2312"/>
          <w:color w:val="000000"/>
          <w:sz w:val="32"/>
          <w:szCs w:val="32"/>
          <w:shd w:val="clear" w:color="auto" w:fill="FFFFFF"/>
          <w:lang w:bidi="ar"/>
        </w:rPr>
        <w:t>评估经费使用效果，确保资金的合理使用和效益最大化。</w:t>
      </w:r>
    </w:p>
    <w:p w14:paraId="03FC07FC">
      <w:pPr>
        <w:pStyle w:val="6"/>
        <w:widowControl/>
        <w:shd w:val="clear" w:color="auto" w:fill="FFFFFF"/>
        <w:snapToGrid w:val="0"/>
        <w:spacing w:beforeAutospacing="0" w:afterAutospacing="0" w:line="560" w:lineRule="exact"/>
        <w:ind w:firstLine="640" w:firstLineChars="200"/>
        <w:jc w:val="both"/>
        <w:rPr>
          <w:rFonts w:ascii="仿宋_GB2312" w:hAnsi="仿宋_GB2312" w:eastAsia="仿宋_GB2312" w:cs="仿宋_GB2312"/>
          <w:color w:val="000000"/>
          <w:sz w:val="32"/>
          <w:szCs w:val="32"/>
          <w:shd w:val="clear" w:color="auto" w:fill="FFFFFF"/>
          <w:lang w:bidi="ar"/>
        </w:rPr>
      </w:pPr>
      <w:r>
        <w:rPr>
          <w:rFonts w:hint="eastAsia" w:ascii="仿宋_GB2312" w:hAnsi="仿宋_GB2312" w:eastAsia="仿宋_GB2312" w:cs="仿宋_GB2312"/>
          <w:color w:val="000000"/>
          <w:sz w:val="32"/>
          <w:szCs w:val="32"/>
          <w:shd w:val="clear" w:color="auto" w:fill="FFFFFF"/>
          <w:lang w:bidi="ar"/>
        </w:rPr>
        <w:t>2</w:t>
      </w:r>
      <w:r>
        <w:rPr>
          <w:rFonts w:ascii="仿宋_GB2312" w:hAnsi="仿宋_GB2312" w:eastAsia="仿宋_GB2312" w:cs="仿宋_GB2312"/>
          <w:color w:val="000000"/>
          <w:sz w:val="32"/>
          <w:szCs w:val="32"/>
          <w:shd w:val="clear" w:color="auto" w:fill="FFFFFF"/>
          <w:lang w:bidi="ar"/>
        </w:rPr>
        <w:t>.</w:t>
      </w:r>
      <w:r>
        <w:rPr>
          <w:rFonts w:hint="eastAsia" w:ascii="仿宋_GB2312" w:hAnsi="仿宋_GB2312" w:eastAsia="仿宋_GB2312" w:cs="仿宋_GB2312"/>
          <w:color w:val="000000"/>
          <w:sz w:val="32"/>
          <w:szCs w:val="32"/>
          <w:shd w:val="clear" w:color="auto" w:fill="FFFFFF"/>
          <w:lang w:bidi="ar"/>
        </w:rPr>
        <w:t>发现资金使用和管理中存在的问题，提出改进措施，优化资源配置。</w:t>
      </w:r>
    </w:p>
    <w:p w14:paraId="6AF0E955">
      <w:pPr>
        <w:pStyle w:val="6"/>
        <w:widowControl/>
        <w:shd w:val="clear" w:color="auto" w:fill="FFFFFF"/>
        <w:snapToGrid w:val="0"/>
        <w:spacing w:beforeAutospacing="0" w:afterAutospacing="0" w:line="560" w:lineRule="exact"/>
        <w:ind w:firstLine="640" w:firstLineChars="200"/>
        <w:jc w:val="both"/>
        <w:rPr>
          <w:rFonts w:ascii="仿宋_GB2312" w:hAnsi="仿宋_GB2312" w:eastAsia="仿宋_GB2312" w:cs="仿宋_GB2312"/>
          <w:color w:val="000000"/>
          <w:sz w:val="32"/>
          <w:szCs w:val="32"/>
          <w:shd w:val="clear" w:color="auto" w:fill="FFFFFF"/>
          <w:lang w:bidi="ar"/>
        </w:rPr>
      </w:pPr>
      <w:r>
        <w:rPr>
          <w:rFonts w:hint="eastAsia" w:ascii="仿宋_GB2312" w:hAnsi="仿宋_GB2312" w:eastAsia="仿宋_GB2312" w:cs="仿宋_GB2312"/>
          <w:color w:val="000000"/>
          <w:sz w:val="32"/>
          <w:szCs w:val="32"/>
          <w:shd w:val="clear" w:color="auto" w:fill="FFFFFF"/>
          <w:lang w:bidi="ar"/>
        </w:rPr>
        <w:t>3</w:t>
      </w:r>
      <w:r>
        <w:rPr>
          <w:rFonts w:ascii="仿宋_GB2312" w:hAnsi="仿宋_GB2312" w:eastAsia="仿宋_GB2312" w:cs="仿宋_GB2312"/>
          <w:color w:val="000000"/>
          <w:sz w:val="32"/>
          <w:szCs w:val="32"/>
          <w:shd w:val="clear" w:color="auto" w:fill="FFFFFF"/>
          <w:lang w:bidi="ar"/>
        </w:rPr>
        <w:t>.</w:t>
      </w:r>
      <w:r>
        <w:rPr>
          <w:rFonts w:hint="eastAsia" w:ascii="仿宋_GB2312" w:hAnsi="仿宋_GB2312" w:eastAsia="仿宋_GB2312" w:cs="仿宋_GB2312"/>
          <w:color w:val="000000"/>
          <w:sz w:val="32"/>
          <w:szCs w:val="32"/>
          <w:shd w:val="clear" w:color="auto" w:fill="FFFFFF"/>
          <w:lang w:bidi="ar"/>
        </w:rPr>
        <w:t>促进社区教育事业的健康发展，提升社区居民的教育水平和文化素养。</w:t>
      </w:r>
    </w:p>
    <w:p w14:paraId="759139CB">
      <w:pPr>
        <w:pStyle w:val="6"/>
        <w:widowControl/>
        <w:shd w:val="clear" w:color="auto" w:fill="FFFFFF"/>
        <w:snapToGrid w:val="0"/>
        <w:spacing w:beforeAutospacing="0" w:afterAutospacing="0" w:line="560" w:lineRule="exact"/>
        <w:ind w:firstLine="640" w:firstLineChars="200"/>
        <w:jc w:val="both"/>
        <w:rPr>
          <w:rFonts w:ascii="仿宋_GB2312" w:hAnsi="仿宋_GB2312" w:eastAsia="仿宋_GB2312" w:cs="仿宋_GB2312"/>
          <w:color w:val="000000"/>
          <w:sz w:val="32"/>
          <w:szCs w:val="32"/>
          <w:shd w:val="clear" w:color="auto" w:fill="FFFFFF"/>
          <w:lang w:bidi="ar"/>
        </w:rPr>
      </w:pPr>
      <w:r>
        <w:rPr>
          <w:rFonts w:hint="eastAsia" w:ascii="仿宋_GB2312" w:hAnsi="仿宋_GB2312" w:eastAsia="仿宋_GB2312" w:cs="仿宋_GB2312"/>
          <w:color w:val="000000"/>
          <w:sz w:val="32"/>
          <w:szCs w:val="32"/>
          <w:shd w:val="clear" w:color="auto" w:fill="FFFFFF"/>
          <w:lang w:bidi="ar"/>
        </w:rPr>
        <w:t>4</w:t>
      </w:r>
      <w:r>
        <w:rPr>
          <w:rFonts w:ascii="仿宋_GB2312" w:hAnsi="仿宋_GB2312" w:eastAsia="仿宋_GB2312" w:cs="仿宋_GB2312"/>
          <w:color w:val="000000"/>
          <w:sz w:val="32"/>
          <w:szCs w:val="32"/>
          <w:shd w:val="clear" w:color="auto" w:fill="FFFFFF"/>
          <w:lang w:bidi="ar"/>
        </w:rPr>
        <w:t>.</w:t>
      </w:r>
      <w:r>
        <w:rPr>
          <w:rFonts w:hint="eastAsia" w:ascii="仿宋_GB2312" w:hAnsi="仿宋_GB2312" w:eastAsia="仿宋_GB2312" w:cs="仿宋_GB2312"/>
          <w:color w:val="000000"/>
          <w:sz w:val="32"/>
          <w:szCs w:val="32"/>
          <w:shd w:val="clear" w:color="auto" w:fill="FFFFFF"/>
          <w:lang w:bidi="ar"/>
        </w:rPr>
        <w:t>为政策制定和决策提供科学依据，推动社区教育政策的不断完善和优化。</w:t>
      </w:r>
    </w:p>
    <w:p w14:paraId="5CB64848">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（二）被评价单位、绩效评价范围与时段</w:t>
      </w:r>
    </w:p>
    <w:p w14:paraId="20F57044">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1.绩效评价范围</w:t>
      </w:r>
    </w:p>
    <w:p w14:paraId="48A5A828">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（1）经费来源与使用：评价社区教育专项经费的来源是否合规，以及经费的使用是否符合预算计划和相关政策要求。</w:t>
      </w:r>
    </w:p>
    <w:p w14:paraId="070A0F78">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（2）项目执行情况：评价社区教育项目的实施进度、项目目标完成情况、项目效果和质量等，特别是关注经费支出与项目实际效益的匹配度。</w:t>
      </w:r>
    </w:p>
    <w:p w14:paraId="71BA384C">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（3）组织管理水平：评价社区教育专项经费的管理机构设置、管理制度、决策程序等是否完善。</w:t>
      </w:r>
    </w:p>
    <w:p w14:paraId="0AE084DF">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2.绩效评价时段</w:t>
      </w:r>
    </w:p>
    <w:p w14:paraId="77963017">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（1）年度评价：每年度结束后，对社区教育专项经费的全年使用情况进行绩效评价，评估经费使用效益和管理水平。</w:t>
      </w:r>
    </w:p>
    <w:p w14:paraId="2A71494F">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（2）项目周期评价：针对具体的社区教育项目，在项目周期结束后进行绩效评价，评估项目目标的实现情况、成果产出及经费使用效率。</w:t>
      </w:r>
    </w:p>
    <w:p w14:paraId="20761369">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（三）绩效评价原则、评价指标、评价方法</w:t>
      </w:r>
    </w:p>
    <w:p w14:paraId="4727EB31">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1.评价原则</w:t>
      </w:r>
    </w:p>
    <w:p w14:paraId="0E803B8C">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社区教育专项经费的绩效评价应遵循以下原则，以确保评价工作的客观性、公正性和有效性：</w:t>
      </w:r>
    </w:p>
    <w:p w14:paraId="015B8AC0">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（1）目标导向原则：绩效评价应围绕社区教育的整体目标和具体任务，评价经费使用的针对性和效果性。</w:t>
      </w:r>
    </w:p>
    <w:p w14:paraId="231FBC1C">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（2）系统全面原则：评价应涵盖经费使用的全过程，包括规划、执行、监督和反馈等环节，形成全面评价体系。</w:t>
      </w:r>
    </w:p>
    <w:p w14:paraId="2309A4DB">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（3）公开透明原则：评价过程应公开透明，接受社会监督，确保评价结果的公信力和可信度。</w:t>
      </w:r>
    </w:p>
    <w:p w14:paraId="7322B352">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（4）激励与约束相结合原则：通过绩效评价，既要对成效显著的进行激励，又要对问题突出的进行约束和整改。</w:t>
      </w:r>
    </w:p>
    <w:p w14:paraId="5C60823D">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2.评价指标体系</w:t>
      </w:r>
    </w:p>
    <w:p w14:paraId="3088932C">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（1）经费使用情况：包括经费的投入、支出、结余等情况，以及经费使用的合规性。</w:t>
      </w:r>
    </w:p>
    <w:p w14:paraId="21318010">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（2）项目实施情况：评价项目的完成情况、进度安排、质量效益等，以及项目实施过程中是否达到预设目标。</w:t>
      </w:r>
    </w:p>
    <w:p w14:paraId="2E8A991E">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（3）社会效益：评价项目对社区居民的受益情况，包括居民满意度、社区教育水平提升等。</w:t>
      </w:r>
    </w:p>
    <w:p w14:paraId="1240DFC7">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（4）可持续发展能力：评价项目是否具备长期可持续发展的能力，包括资源利用、环境保护等。</w:t>
      </w:r>
    </w:p>
    <w:p w14:paraId="0569CEC5">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3.评价方法</w:t>
      </w:r>
    </w:p>
    <w:p w14:paraId="1E9136A4">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在进行社区教育专项经费绩效评价时，采用以下方法：</w:t>
      </w:r>
    </w:p>
    <w:p w14:paraId="599E8768">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（1）数据分析法：通过收集、整理和分析相关的数据资料，如财务报表、项目总结报告等，进行定量评价。</w:t>
      </w:r>
    </w:p>
    <w:p w14:paraId="13A21870">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（2）问卷调查法：通过设计问卷对社区居民进行调查，了解居民对项目的满意度和受益情况，进行定性评价。</w:t>
      </w:r>
    </w:p>
    <w:p w14:paraId="7383EC8B">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（3）专家评估法：邀请相关领域的专家对项目进行评估，提供专业的意见和建议，形成权威评价。</w:t>
      </w:r>
    </w:p>
    <w:p w14:paraId="0A90FB52">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在具体评价过程中，可以根据实际情况灵活运用以上方法，并结合项目的特点和需求进行个性化评价设计。同时，要注重评价结果的反馈和应用，及时调整和优化经费使用和管理策略，提高社区教育的质量和效益。</w:t>
      </w:r>
    </w:p>
    <w:p w14:paraId="7EDE18FE">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bookmarkStart w:id="1" w:name="_Toc32076"/>
      <w:bookmarkStart w:id="2" w:name="_Toc7615"/>
      <w:r>
        <w:rPr>
          <w:rFonts w:hint="eastAsia" w:ascii="黑体" w:hAnsi="黑体" w:eastAsia="黑体" w:cs="黑体"/>
          <w:color w:val="000000"/>
          <w:sz w:val="32"/>
          <w:szCs w:val="32"/>
          <w:shd w:val="clear" w:color="auto" w:fill="FFFFFF"/>
          <w:lang w:bidi="ar"/>
        </w:rPr>
        <w:t>三、主要绩效及评价结论</w:t>
      </w:r>
      <w:bookmarkEnd w:id="1"/>
      <w:bookmarkEnd w:id="2"/>
    </w:p>
    <w:p w14:paraId="706827D1">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（一）社会效益</w:t>
      </w:r>
    </w:p>
    <w:p w14:paraId="4CDA1C39">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1.教育普及率的提升：</w:t>
      </w:r>
      <w:r>
        <w:rPr>
          <w:rFonts w:hint="eastAsia" w:ascii="仿宋" w:hAnsi="仿宋" w:eastAsia="仿宋" w:cs="仿宋_GB2312"/>
          <w:color w:val="000000"/>
          <w:sz w:val="32"/>
          <w:szCs w:val="32"/>
          <w:shd w:val="clear" w:color="auto" w:fill="FFFFFF"/>
          <w:lang w:bidi="ar"/>
        </w:rPr>
        <w:t>通过专项经费的支持，社区教育得以广泛开展，使得更多社区居民有机会接受教育，提高了整体教育普及率。</w:t>
      </w:r>
    </w:p>
    <w:p w14:paraId="1351F17E">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2.社区居民素质的提升：</w:t>
      </w:r>
      <w:r>
        <w:rPr>
          <w:rFonts w:hint="eastAsia" w:ascii="仿宋" w:hAnsi="仿宋" w:eastAsia="仿宋" w:cs="仿宋_GB2312"/>
          <w:color w:val="000000"/>
          <w:sz w:val="32"/>
          <w:szCs w:val="32"/>
          <w:shd w:val="clear" w:color="auto" w:fill="FFFFFF"/>
          <w:lang w:bidi="ar"/>
        </w:rPr>
        <w:t>教育项目的实施，不仅传授了知识技能，还提升了居民的文化素养和综合素质，为社区营造了良好的文化氛围。</w:t>
      </w:r>
    </w:p>
    <w:p w14:paraId="2997451B">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3.社区凝聚力的增强：</w:t>
      </w:r>
      <w:r>
        <w:rPr>
          <w:rFonts w:hint="eastAsia" w:ascii="仿宋" w:hAnsi="仿宋" w:eastAsia="仿宋" w:cs="仿宋_GB2312"/>
          <w:color w:val="000000"/>
          <w:sz w:val="32"/>
          <w:szCs w:val="32"/>
          <w:shd w:val="clear" w:color="auto" w:fill="FFFFFF"/>
          <w:lang w:bidi="ar"/>
        </w:rPr>
        <w:t>通过社区教育活动，居民之间的交流与互动增加，社区凝聚力得到增强，促进了社区的和谐稳定。</w:t>
      </w:r>
    </w:p>
    <w:p w14:paraId="6C2B91B8">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（二）生态效益</w:t>
      </w:r>
    </w:p>
    <w:p w14:paraId="36A30226">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Cs/>
          <w:color w:val="000000"/>
          <w:sz w:val="32"/>
          <w:szCs w:val="32"/>
          <w:shd w:val="clear" w:color="auto" w:fill="FFFFFF"/>
          <w:lang w:bidi="ar"/>
        </w:rPr>
        <w:t>1.</w:t>
      </w:r>
      <w:r>
        <w:rPr>
          <w:rFonts w:hint="eastAsia" w:ascii="仿宋" w:hAnsi="仿宋" w:eastAsia="仿宋" w:cs="仿宋_GB2312"/>
          <w:color w:val="000000"/>
          <w:sz w:val="32"/>
          <w:szCs w:val="32"/>
          <w:shd w:val="clear" w:color="auto" w:fill="FFFFFF"/>
          <w:lang w:bidi="ar"/>
        </w:rPr>
        <w:t>严格按照预算控制，加强流程管理，严审开支情况，做到控制成本。项目资金做到了专款专用，无截留、占用和挪用等情况。</w:t>
      </w:r>
    </w:p>
    <w:p w14:paraId="25426136">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Cs/>
          <w:color w:val="000000"/>
          <w:sz w:val="32"/>
          <w:szCs w:val="32"/>
          <w:shd w:val="clear" w:color="auto" w:fill="FFFFFF"/>
          <w:lang w:bidi="ar"/>
        </w:rPr>
        <w:t>2.</w:t>
      </w:r>
      <w:r>
        <w:rPr>
          <w:rFonts w:hint="eastAsia" w:ascii="仿宋" w:hAnsi="仿宋" w:eastAsia="仿宋" w:cs="仿宋_GB2312"/>
          <w:color w:val="000000"/>
          <w:sz w:val="32"/>
          <w:szCs w:val="32"/>
          <w:shd w:val="clear" w:color="auto" w:fill="FFFFFF"/>
          <w:lang w:bidi="ar"/>
        </w:rPr>
        <w:t>资源节约与循环利用：项目中注重资源节约和循环利用，如利用废旧物品制作教具、使用节能环保的教学设备等，减少了资源消耗和环境污染。</w:t>
      </w:r>
    </w:p>
    <w:p w14:paraId="18209483">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（三）可持续影响</w:t>
      </w:r>
    </w:p>
    <w:p w14:paraId="1DB1B434">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1.长效机制的形成：</w:t>
      </w:r>
      <w:r>
        <w:rPr>
          <w:rFonts w:hint="eastAsia" w:ascii="仿宋" w:hAnsi="仿宋" w:eastAsia="仿宋" w:cs="仿宋_GB2312"/>
          <w:color w:val="000000"/>
          <w:sz w:val="32"/>
          <w:szCs w:val="32"/>
          <w:shd w:val="clear" w:color="auto" w:fill="FFFFFF"/>
          <w:lang w:bidi="ar"/>
        </w:rPr>
        <w:t>项目通过建立健全长效机制，确保了社区教育的持续开展，为社区的长期发展奠定了基础。</w:t>
      </w:r>
    </w:p>
    <w:p w14:paraId="50A2E3B9">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2.社区发展的推动：</w:t>
      </w:r>
      <w:r>
        <w:rPr>
          <w:rFonts w:hint="eastAsia" w:ascii="仿宋" w:hAnsi="仿宋" w:eastAsia="仿宋" w:cs="仿宋_GB2312"/>
          <w:color w:val="000000"/>
          <w:sz w:val="32"/>
          <w:szCs w:val="32"/>
          <w:shd w:val="clear" w:color="auto" w:fill="FFFFFF"/>
          <w:lang w:bidi="ar"/>
        </w:rPr>
        <w:t>教育项目的实施，不仅提高了居民素质，还推动了社区经济、文化等多方面的发展，为社区的全面进步提供了有力支持。</w:t>
      </w:r>
    </w:p>
    <w:p w14:paraId="176A7973">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（四）满意度情况</w:t>
      </w:r>
    </w:p>
    <w:p w14:paraId="1782F283">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1.居民对项目的知晓率高：</w:t>
      </w:r>
      <w:r>
        <w:rPr>
          <w:rFonts w:hint="eastAsia" w:ascii="仿宋" w:hAnsi="仿宋" w:eastAsia="仿宋" w:cs="仿宋_GB2312"/>
          <w:color w:val="000000"/>
          <w:sz w:val="32"/>
          <w:szCs w:val="32"/>
          <w:shd w:val="clear" w:color="auto" w:fill="FFFFFF"/>
          <w:lang w:bidi="ar"/>
        </w:rPr>
        <w:t>大部分居民对社区教育专项经费项目有所了解，并积极参与其中。</w:t>
      </w:r>
    </w:p>
    <w:p w14:paraId="7EA5DCE2">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2.居民满意度高：</w:t>
      </w:r>
      <w:r>
        <w:rPr>
          <w:rFonts w:hint="eastAsia" w:ascii="仿宋" w:hAnsi="仿宋" w:eastAsia="仿宋" w:cs="仿宋_GB2312"/>
          <w:color w:val="000000"/>
          <w:sz w:val="32"/>
          <w:szCs w:val="32"/>
          <w:shd w:val="clear" w:color="auto" w:fill="FFFFFF"/>
          <w:lang w:bidi="ar"/>
        </w:rPr>
        <w:t>居民对项目的满意度普遍较高，认为项目给他们带来了实实在在的利益，提高了生活质量。</w:t>
      </w:r>
    </w:p>
    <w:p w14:paraId="5AC3CCD9">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r>
        <w:rPr>
          <w:rFonts w:hint="eastAsia" w:ascii="楷体" w:hAnsi="楷体" w:eastAsia="楷体" w:cs="楷体_GB2312"/>
          <w:b/>
          <w:bCs/>
          <w:color w:val="000000"/>
          <w:sz w:val="32"/>
          <w:szCs w:val="32"/>
          <w:shd w:val="clear" w:color="auto" w:fill="FFFFFF"/>
          <w:lang w:bidi="ar"/>
        </w:rPr>
        <w:t>（五）评价结论</w:t>
      </w:r>
    </w:p>
    <w:p w14:paraId="0EE8203A">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综上所述，社区教育专项经费项目在社会效益、生态效益、可持续影响以及居民满意度等方面均取得了显著成效。项目有效提升了社区居民的教育水平和综合素质，促进了社区的和谐稳定发展。同时，项目在资源节约、环保意识培养等方面也发挥了积极作用。未来，建议继续加大对社区教育专项经费的投入力度，进一步完善项目机制，确保项目的持续开展和深入推进。</w:t>
      </w:r>
    </w:p>
    <w:p w14:paraId="1E27EC94">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bookmarkStart w:id="3" w:name="_Toc27541"/>
      <w:bookmarkStart w:id="4" w:name="_Toc16332"/>
      <w:r>
        <w:rPr>
          <w:rFonts w:hint="eastAsia" w:ascii="黑体" w:hAnsi="黑体" w:eastAsia="黑体" w:cs="黑体"/>
          <w:color w:val="000000"/>
          <w:sz w:val="32"/>
          <w:szCs w:val="32"/>
          <w:shd w:val="clear" w:color="auto" w:fill="FFFFFF"/>
          <w:lang w:bidi="ar"/>
        </w:rPr>
        <w:t>四、绩效评价指标分析</w:t>
      </w:r>
      <w:bookmarkEnd w:id="3"/>
      <w:bookmarkEnd w:id="4"/>
    </w:p>
    <w:p w14:paraId="090E0995">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bookmarkStart w:id="5" w:name="_Toc17679"/>
      <w:r>
        <w:rPr>
          <w:rFonts w:hint="eastAsia" w:ascii="楷体" w:hAnsi="楷体" w:eastAsia="楷体" w:cs="楷体_GB2312"/>
          <w:b/>
          <w:bCs/>
          <w:color w:val="000000"/>
          <w:sz w:val="32"/>
          <w:szCs w:val="32"/>
          <w:shd w:val="clear" w:color="auto" w:fill="FFFFFF"/>
          <w:lang w:bidi="ar"/>
        </w:rPr>
        <w:t>（一）项目决策情况</w:t>
      </w:r>
      <w:bookmarkEnd w:id="5"/>
    </w:p>
    <w:p w14:paraId="55E4909A">
      <w:pPr>
        <w:pStyle w:val="6"/>
        <w:widowControl/>
        <w:shd w:val="clear" w:color="auto" w:fill="FFFFFF"/>
        <w:snapToGrid w:val="0"/>
        <w:spacing w:beforeAutospacing="0" w:afterAutospacing="0" w:line="560" w:lineRule="exact"/>
        <w:ind w:firstLine="640" w:firstLineChars="200"/>
        <w:jc w:val="both"/>
        <w:rPr>
          <w:rFonts w:ascii="仿宋_GB2312" w:hAnsi="仿宋_GB2312" w:eastAsia="仿宋_GB2312" w:cs="仿宋_GB2312"/>
          <w:color w:val="000000"/>
          <w:sz w:val="32"/>
          <w:szCs w:val="32"/>
          <w:shd w:val="clear" w:color="auto" w:fill="FFFFFF"/>
          <w:lang w:bidi="ar"/>
        </w:rPr>
      </w:pPr>
      <w:r>
        <w:rPr>
          <w:rFonts w:hint="eastAsia" w:ascii="仿宋_GB2312" w:hAnsi="仿宋_GB2312" w:eastAsia="仿宋_GB2312" w:cs="仿宋_GB2312"/>
          <w:color w:val="000000"/>
          <w:sz w:val="32"/>
          <w:szCs w:val="32"/>
          <w:shd w:val="clear" w:color="auto" w:fill="FFFFFF"/>
          <w:lang w:bidi="ar"/>
        </w:rPr>
        <w:t>按照社区教育年度工作计划，编制年度经费预算方案，将工作任务细化到部门及具体内容，各项支出严格按照按程序执行。</w:t>
      </w:r>
    </w:p>
    <w:p w14:paraId="213D2638">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bookmarkStart w:id="6" w:name="_Toc28411"/>
      <w:r>
        <w:rPr>
          <w:rFonts w:hint="eastAsia" w:ascii="楷体" w:hAnsi="楷体" w:eastAsia="楷体" w:cs="楷体_GB2312"/>
          <w:b/>
          <w:bCs/>
          <w:color w:val="000000"/>
          <w:sz w:val="32"/>
          <w:szCs w:val="32"/>
          <w:shd w:val="clear" w:color="auto" w:fill="FFFFFF"/>
          <w:lang w:bidi="ar"/>
        </w:rPr>
        <w:t>(二)项目过程情况</w:t>
      </w:r>
      <w:bookmarkEnd w:id="6"/>
    </w:p>
    <w:p w14:paraId="2A6BC94C">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bookmarkStart w:id="7" w:name="_Toc10140"/>
      <w:r>
        <w:rPr>
          <w:rFonts w:hint="eastAsia" w:ascii="仿宋" w:hAnsi="仿宋" w:eastAsia="仿宋" w:cs="仿宋_GB2312"/>
          <w:b/>
          <w:bCs/>
          <w:color w:val="000000"/>
          <w:sz w:val="32"/>
          <w:szCs w:val="32"/>
          <w:shd w:val="clear" w:color="auto" w:fill="FFFFFF"/>
          <w:lang w:bidi="ar"/>
        </w:rPr>
        <w:t>1.资金管理</w:t>
      </w:r>
      <w:bookmarkEnd w:id="7"/>
      <w:r>
        <w:rPr>
          <w:rFonts w:hint="eastAsia" w:ascii="仿宋" w:hAnsi="仿宋" w:eastAsia="仿宋" w:cs="仿宋_GB2312"/>
          <w:b/>
          <w:bCs/>
          <w:color w:val="000000"/>
          <w:sz w:val="32"/>
          <w:szCs w:val="32"/>
          <w:shd w:val="clear" w:color="auto" w:fill="FFFFFF"/>
          <w:lang w:bidi="ar"/>
        </w:rPr>
        <w:t>：</w:t>
      </w:r>
      <w:r>
        <w:rPr>
          <w:rFonts w:hint="eastAsia" w:ascii="仿宋" w:hAnsi="仿宋" w:eastAsia="仿宋" w:cs="仿宋_GB2312"/>
          <w:color w:val="000000"/>
          <w:sz w:val="32"/>
          <w:szCs w:val="32"/>
          <w:shd w:val="clear" w:color="auto" w:fill="FFFFFF"/>
          <w:lang w:bidi="ar"/>
        </w:rPr>
        <w:t>在市财政局的监督下，以终身教育指导服务中心为主体，总务科负责资金核算和经费控制，依据《怀化开放大学经费支出管理办法》和《怀化开放大学专项经费管理办法》实施，确保资金安全，发挥经费使用效益。</w:t>
      </w:r>
    </w:p>
    <w:p w14:paraId="5DAC7010">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bookmarkStart w:id="8" w:name="_Toc1210"/>
      <w:r>
        <w:rPr>
          <w:rFonts w:hint="eastAsia" w:ascii="仿宋" w:hAnsi="仿宋" w:eastAsia="仿宋" w:cs="仿宋_GB2312"/>
          <w:b/>
          <w:bCs/>
          <w:color w:val="000000"/>
          <w:sz w:val="32"/>
          <w:szCs w:val="32"/>
          <w:shd w:val="clear" w:color="auto" w:fill="FFFFFF"/>
          <w:lang w:bidi="ar"/>
        </w:rPr>
        <w:t>2.项目实施</w:t>
      </w:r>
      <w:bookmarkEnd w:id="8"/>
      <w:r>
        <w:rPr>
          <w:rFonts w:hint="eastAsia" w:ascii="仿宋" w:hAnsi="仿宋" w:eastAsia="仿宋" w:cs="仿宋_GB2312"/>
          <w:b/>
          <w:bCs/>
          <w:color w:val="000000"/>
          <w:sz w:val="32"/>
          <w:szCs w:val="32"/>
          <w:shd w:val="clear" w:color="auto" w:fill="FFFFFF"/>
          <w:lang w:bidi="ar"/>
        </w:rPr>
        <w:t>：</w:t>
      </w:r>
      <w:r>
        <w:rPr>
          <w:rFonts w:hint="eastAsia" w:ascii="仿宋" w:hAnsi="仿宋" w:eastAsia="仿宋" w:cs="仿宋_GB2312"/>
          <w:color w:val="000000"/>
          <w:sz w:val="32"/>
          <w:szCs w:val="32"/>
          <w:shd w:val="clear" w:color="auto" w:fill="FFFFFF"/>
          <w:lang w:bidi="ar"/>
        </w:rPr>
        <w:t>项目组织机构健全、职责分工明确、实施程序规范；专项资金做到了专款专用，无截留和挪用等情况。</w:t>
      </w:r>
    </w:p>
    <w:p w14:paraId="3AE31067">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bookmarkStart w:id="9" w:name="_Toc6604"/>
      <w:r>
        <w:rPr>
          <w:rFonts w:hint="eastAsia" w:ascii="楷体" w:hAnsi="楷体" w:eastAsia="楷体" w:cs="楷体_GB2312"/>
          <w:b/>
          <w:bCs/>
          <w:color w:val="000000"/>
          <w:sz w:val="32"/>
          <w:szCs w:val="32"/>
          <w:shd w:val="clear" w:color="auto" w:fill="FFFFFF"/>
          <w:lang w:bidi="ar"/>
        </w:rPr>
        <w:t>(三)项目产出情况</w:t>
      </w:r>
      <w:bookmarkEnd w:id="9"/>
    </w:p>
    <w:p w14:paraId="0259DE0D">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bookmarkStart w:id="10" w:name="_Toc20742"/>
      <w:r>
        <w:rPr>
          <w:rFonts w:hint="eastAsia" w:ascii="仿宋" w:hAnsi="仿宋" w:eastAsia="仿宋" w:cs="仿宋_GB2312"/>
          <w:b/>
          <w:bCs/>
          <w:color w:val="000000"/>
          <w:sz w:val="32"/>
          <w:szCs w:val="32"/>
          <w:shd w:val="clear" w:color="auto" w:fill="FFFFFF"/>
          <w:lang w:bidi="ar"/>
        </w:rPr>
        <w:t>1.产出数量</w:t>
      </w:r>
      <w:bookmarkEnd w:id="10"/>
    </w:p>
    <w:p w14:paraId="2CB83E05">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fldChar w:fldCharType="begin"/>
      </w:r>
      <w:r>
        <w:rPr>
          <w:rFonts w:hint="eastAsia" w:ascii="仿宋" w:hAnsi="仿宋" w:eastAsia="仿宋" w:cs="仿宋_GB2312"/>
          <w:color w:val="000000"/>
          <w:sz w:val="32"/>
          <w:szCs w:val="32"/>
          <w:shd w:val="clear" w:color="auto" w:fill="FFFFFF"/>
          <w:lang w:bidi="ar"/>
        </w:rPr>
        <w:instrText xml:space="preserve"> = 1 \* GB3 </w:instrText>
      </w:r>
      <w:r>
        <w:rPr>
          <w:rFonts w:hint="eastAsia" w:ascii="仿宋" w:hAnsi="仿宋" w:eastAsia="仿宋" w:cs="仿宋_GB2312"/>
          <w:color w:val="000000"/>
          <w:sz w:val="32"/>
          <w:szCs w:val="32"/>
          <w:shd w:val="clear" w:color="auto" w:fill="FFFFFF"/>
          <w:lang w:bidi="ar"/>
        </w:rPr>
        <w:fldChar w:fldCharType="separate"/>
      </w:r>
      <w:r>
        <w:rPr>
          <w:rFonts w:hint="eastAsia" w:ascii="仿宋" w:hAnsi="仿宋" w:eastAsia="仿宋" w:cs="仿宋_GB2312"/>
          <w:color w:val="000000"/>
          <w:sz w:val="32"/>
          <w:szCs w:val="32"/>
          <w:shd w:val="clear" w:color="auto" w:fill="FFFFFF"/>
          <w:lang w:bidi="ar"/>
        </w:rPr>
        <w:t>①</w:t>
      </w:r>
      <w:r>
        <w:rPr>
          <w:rFonts w:hint="eastAsia" w:ascii="仿宋" w:hAnsi="仿宋" w:eastAsia="仿宋" w:cs="仿宋_GB2312"/>
          <w:color w:val="000000"/>
          <w:sz w:val="32"/>
          <w:szCs w:val="32"/>
          <w:shd w:val="clear" w:color="auto" w:fill="FFFFFF"/>
          <w:lang w:bidi="ar"/>
        </w:rPr>
        <w:fldChar w:fldCharType="end"/>
      </w:r>
      <w:r>
        <w:rPr>
          <w:rFonts w:hint="eastAsia" w:ascii="仿宋" w:hAnsi="仿宋" w:eastAsia="仿宋" w:cs="仿宋_GB2312"/>
          <w:color w:val="000000"/>
          <w:sz w:val="32"/>
          <w:szCs w:val="32"/>
          <w:shd w:val="clear" w:color="auto" w:fill="FFFFFF"/>
          <w:lang w:bidi="ar"/>
        </w:rPr>
        <w:t>完善终身教育体系，为市民“处处可学”奠定了基础。截止2023年末，全市已建成1个社区大学、13个社区学院、95个社区学校、300多个社区学习中心。</w:t>
      </w:r>
    </w:p>
    <w:p w14:paraId="4FF4D2FE">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fldChar w:fldCharType="begin"/>
      </w:r>
      <w:r>
        <w:rPr>
          <w:rFonts w:hint="eastAsia" w:ascii="仿宋" w:hAnsi="仿宋" w:eastAsia="仿宋" w:cs="仿宋_GB2312"/>
          <w:color w:val="000000"/>
          <w:sz w:val="32"/>
          <w:szCs w:val="32"/>
          <w:shd w:val="clear" w:color="auto" w:fill="FFFFFF"/>
          <w:lang w:bidi="ar"/>
        </w:rPr>
        <w:instrText xml:space="preserve"> = 2 \* GB3 </w:instrText>
      </w:r>
      <w:r>
        <w:rPr>
          <w:rFonts w:hint="eastAsia" w:ascii="仿宋" w:hAnsi="仿宋" w:eastAsia="仿宋" w:cs="仿宋_GB2312"/>
          <w:color w:val="000000"/>
          <w:sz w:val="32"/>
          <w:szCs w:val="32"/>
          <w:shd w:val="clear" w:color="auto" w:fill="FFFFFF"/>
          <w:lang w:bidi="ar"/>
        </w:rPr>
        <w:fldChar w:fldCharType="separate"/>
      </w:r>
      <w:r>
        <w:rPr>
          <w:rFonts w:hint="eastAsia" w:ascii="仿宋" w:hAnsi="仿宋" w:eastAsia="仿宋" w:cs="仿宋_GB2312"/>
          <w:color w:val="000000"/>
          <w:sz w:val="32"/>
          <w:szCs w:val="32"/>
          <w:shd w:val="clear" w:color="auto" w:fill="FFFFFF"/>
          <w:lang w:bidi="ar"/>
        </w:rPr>
        <w:t>②</w:t>
      </w:r>
      <w:r>
        <w:rPr>
          <w:rFonts w:hint="eastAsia" w:ascii="仿宋" w:hAnsi="仿宋" w:eastAsia="仿宋" w:cs="仿宋_GB2312"/>
          <w:color w:val="000000"/>
          <w:sz w:val="32"/>
          <w:szCs w:val="32"/>
          <w:shd w:val="clear" w:color="auto" w:fill="FFFFFF"/>
          <w:lang w:bidi="ar"/>
        </w:rPr>
        <w:fldChar w:fldCharType="end"/>
      </w:r>
      <w:r>
        <w:rPr>
          <w:rFonts w:hint="eastAsia" w:ascii="仿宋" w:hAnsi="仿宋" w:eastAsia="仿宋" w:cs="仿宋_GB2312"/>
          <w:color w:val="000000"/>
          <w:sz w:val="32"/>
          <w:szCs w:val="32"/>
          <w:shd w:val="clear" w:color="auto" w:fill="FFFFFF"/>
          <w:lang w:bidi="ar"/>
        </w:rPr>
        <w:t>形成社区教育品牌。坚持以社区大学为引领，在社区大学开设3个示范班，成立了社区大学合唱团、雪峰山民族艺术团、歌友健康艺术团和京剧俱乐部等4个社区教育社团。</w:t>
      </w:r>
    </w:p>
    <w:p w14:paraId="0E3C29FE">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fldChar w:fldCharType="begin"/>
      </w:r>
      <w:r>
        <w:rPr>
          <w:rFonts w:hint="eastAsia" w:ascii="仿宋" w:hAnsi="仿宋" w:eastAsia="仿宋" w:cs="仿宋_GB2312"/>
          <w:color w:val="000000"/>
          <w:sz w:val="32"/>
          <w:szCs w:val="32"/>
          <w:shd w:val="clear" w:color="auto" w:fill="FFFFFF"/>
          <w:lang w:bidi="ar"/>
        </w:rPr>
        <w:instrText xml:space="preserve"> = 3 \* GB3 </w:instrText>
      </w:r>
      <w:r>
        <w:rPr>
          <w:rFonts w:hint="eastAsia" w:ascii="仿宋" w:hAnsi="仿宋" w:eastAsia="仿宋" w:cs="仿宋_GB2312"/>
          <w:color w:val="000000"/>
          <w:sz w:val="32"/>
          <w:szCs w:val="32"/>
          <w:shd w:val="clear" w:color="auto" w:fill="FFFFFF"/>
          <w:lang w:bidi="ar"/>
        </w:rPr>
        <w:fldChar w:fldCharType="separate"/>
      </w:r>
      <w:r>
        <w:rPr>
          <w:rFonts w:hint="eastAsia" w:ascii="仿宋" w:hAnsi="仿宋" w:eastAsia="仿宋" w:cs="仿宋_GB2312"/>
          <w:color w:val="000000"/>
          <w:sz w:val="32"/>
          <w:szCs w:val="32"/>
          <w:shd w:val="clear" w:color="auto" w:fill="FFFFFF"/>
          <w:lang w:bidi="ar"/>
        </w:rPr>
        <w:t>③</w:t>
      </w:r>
      <w:r>
        <w:rPr>
          <w:rFonts w:hint="eastAsia" w:ascii="仿宋" w:hAnsi="仿宋" w:eastAsia="仿宋" w:cs="仿宋_GB2312"/>
          <w:color w:val="000000"/>
          <w:sz w:val="32"/>
          <w:szCs w:val="32"/>
          <w:shd w:val="clear" w:color="auto" w:fill="FFFFFF"/>
          <w:lang w:bidi="ar"/>
        </w:rPr>
        <w:fldChar w:fldCharType="end"/>
      </w:r>
      <w:r>
        <w:rPr>
          <w:rFonts w:hint="eastAsia" w:ascii="仿宋" w:hAnsi="仿宋" w:eastAsia="仿宋" w:cs="仿宋_GB2312"/>
          <w:color w:val="000000"/>
          <w:sz w:val="32"/>
          <w:szCs w:val="32"/>
          <w:shd w:val="clear" w:color="auto" w:fill="FFFFFF"/>
          <w:lang w:bidi="ar"/>
        </w:rPr>
        <w:t>开展社区教育活动。社区大学合唱团、雪峰山民族艺术团分别主办专场音乐晚会和舞蹈演出各1场，全年组织社区教育社团开展文艺演出20多场，参加人员达2000多人次。通过活动的开展，展现了社区教育成果，产生了较好的社会效益。</w:t>
      </w:r>
    </w:p>
    <w:p w14:paraId="78AD5674">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bookmarkStart w:id="11" w:name="_Toc5372"/>
      <w:r>
        <w:rPr>
          <w:rFonts w:hint="eastAsia" w:ascii="仿宋" w:hAnsi="仿宋" w:eastAsia="仿宋" w:cs="仿宋_GB2312"/>
          <w:b/>
          <w:bCs/>
          <w:color w:val="000000"/>
          <w:sz w:val="32"/>
          <w:szCs w:val="32"/>
          <w:shd w:val="clear" w:color="auto" w:fill="FFFFFF"/>
          <w:lang w:bidi="ar"/>
        </w:rPr>
        <w:t>2.产出质量</w:t>
      </w:r>
      <w:bookmarkEnd w:id="11"/>
    </w:p>
    <w:p w14:paraId="34F5DDAB">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按照设定的绩效目标，本专项资金主要是用于社区教育工作开展。通过专项经费的支持，社区教育教育教学质量有了较大提升，起到了一定的示范引领作用。</w:t>
      </w:r>
    </w:p>
    <w:p w14:paraId="706DBFDC">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bookmarkStart w:id="12" w:name="_Toc25948"/>
      <w:r>
        <w:rPr>
          <w:rFonts w:hint="eastAsia" w:ascii="仿宋" w:hAnsi="仿宋" w:eastAsia="仿宋" w:cs="仿宋_GB2312"/>
          <w:b/>
          <w:bCs/>
          <w:color w:val="000000"/>
          <w:sz w:val="32"/>
          <w:szCs w:val="32"/>
          <w:shd w:val="clear" w:color="auto" w:fill="FFFFFF"/>
          <w:lang w:bidi="ar"/>
        </w:rPr>
        <w:t>3.产出成本</w:t>
      </w:r>
      <w:bookmarkEnd w:id="12"/>
    </w:p>
    <w:p w14:paraId="65C920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bookmarkStart w:id="13" w:name="_Toc21477"/>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开展社区教育活动支出35825元，课程资源建设支出19370元，社区教育一般商品和服务支出（办公、差旅费、课题研究等）194805元，都在规范合理的预算范围之内。</w:t>
      </w:r>
    </w:p>
    <w:p w14:paraId="2918A517">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4.产出时效</w:t>
      </w:r>
      <w:bookmarkEnd w:id="13"/>
    </w:p>
    <w:p w14:paraId="5073A104">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通过完善终身教育体系和开展各类社区教育活动，形成了社区教育品牌，产生了较好的社会效益。</w:t>
      </w:r>
    </w:p>
    <w:p w14:paraId="6372B440">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bookmarkStart w:id="14" w:name="_Toc12690"/>
      <w:bookmarkStart w:id="15" w:name="_Toc3072"/>
      <w:r>
        <w:rPr>
          <w:rFonts w:hint="eastAsia" w:ascii="楷体" w:hAnsi="楷体" w:eastAsia="楷体" w:cs="楷体_GB2312"/>
          <w:b/>
          <w:bCs/>
          <w:color w:val="000000"/>
          <w:sz w:val="32"/>
          <w:szCs w:val="32"/>
          <w:shd w:val="clear" w:color="auto" w:fill="FFFFFF"/>
          <w:lang w:bidi="ar"/>
        </w:rPr>
        <w:t>(四）项目效益情况</w:t>
      </w:r>
      <w:bookmarkEnd w:id="14"/>
      <w:bookmarkEnd w:id="15"/>
    </w:p>
    <w:p w14:paraId="3EC48486">
      <w:pPr>
        <w:pStyle w:val="6"/>
        <w:widowControl/>
        <w:shd w:val="clear" w:color="auto" w:fill="FFFFFF"/>
        <w:snapToGrid w:val="0"/>
        <w:spacing w:beforeAutospacing="0" w:afterAutospacing="0" w:line="560" w:lineRule="exact"/>
        <w:ind w:firstLine="640" w:firstLineChars="200"/>
        <w:jc w:val="both"/>
        <w:rPr>
          <w:rFonts w:ascii="仿宋_GB2312" w:hAnsi="仿宋_GB2312" w:eastAsia="仿宋_GB2312" w:cs="仿宋_GB2312"/>
          <w:color w:val="000000"/>
          <w:sz w:val="32"/>
          <w:szCs w:val="32"/>
          <w:shd w:val="clear" w:color="auto" w:fill="FFFFFF"/>
          <w:lang w:bidi="ar"/>
        </w:rPr>
      </w:pPr>
      <w:r>
        <w:rPr>
          <w:rFonts w:hint="eastAsia" w:ascii="仿宋_GB2312" w:hAnsi="仿宋_GB2312" w:eastAsia="仿宋_GB2312" w:cs="仿宋_GB2312"/>
          <w:color w:val="000000"/>
          <w:sz w:val="32"/>
          <w:szCs w:val="32"/>
          <w:shd w:val="clear" w:color="auto" w:fill="FFFFFF"/>
          <w:lang w:bidi="ar"/>
        </w:rPr>
        <w:t>一是提高社区居民的教育水平和文化素养，满足居民多样化的学习需求；二是促进社区和谐稳定，通过社区教育增进居民之间的交流与理解；三是推动社区经济发展，培养具备一定技能和文化素质的劳动力；四是促进文化传承与创新，保护和传承地方优秀传统文化。</w:t>
      </w:r>
    </w:p>
    <w:p w14:paraId="4B87FC7A">
      <w:pPr>
        <w:pStyle w:val="6"/>
        <w:widowControl/>
        <w:shd w:val="clear" w:color="auto" w:fill="FFFFFF"/>
        <w:snapToGrid w:val="0"/>
        <w:spacing w:beforeAutospacing="0" w:afterAutospacing="0" w:line="560" w:lineRule="exact"/>
        <w:ind w:firstLine="640" w:firstLineChars="200"/>
        <w:jc w:val="both"/>
        <w:rPr>
          <w:rFonts w:ascii="黑体" w:hAnsi="黑体" w:eastAsia="黑体" w:cs="黑体"/>
          <w:color w:val="000000"/>
          <w:sz w:val="32"/>
          <w:szCs w:val="32"/>
          <w:shd w:val="clear" w:color="auto" w:fill="FFFFFF"/>
          <w:lang w:bidi="ar"/>
        </w:rPr>
      </w:pPr>
      <w:bookmarkStart w:id="16" w:name="_Toc390096931"/>
      <w:bookmarkStart w:id="17" w:name="_Toc390267055"/>
      <w:bookmarkStart w:id="18" w:name="_Toc24241"/>
      <w:bookmarkStart w:id="19" w:name="_Toc12414"/>
      <w:r>
        <w:rPr>
          <w:rFonts w:hint="eastAsia" w:ascii="黑体" w:hAnsi="黑体" w:eastAsia="黑体" w:cs="黑体"/>
          <w:color w:val="000000"/>
          <w:sz w:val="32"/>
          <w:szCs w:val="32"/>
          <w:shd w:val="clear" w:color="auto" w:fill="FFFFFF"/>
          <w:lang w:bidi="ar"/>
        </w:rPr>
        <w:t>五、项目主要经验、存在的问题</w:t>
      </w:r>
      <w:bookmarkEnd w:id="16"/>
      <w:bookmarkEnd w:id="17"/>
      <w:r>
        <w:rPr>
          <w:rFonts w:hint="eastAsia" w:ascii="黑体" w:hAnsi="黑体" w:eastAsia="黑体" w:cs="黑体"/>
          <w:color w:val="000000"/>
          <w:sz w:val="32"/>
          <w:szCs w:val="32"/>
          <w:shd w:val="clear" w:color="auto" w:fill="FFFFFF"/>
          <w:lang w:bidi="ar"/>
        </w:rPr>
        <w:t>及建议</w:t>
      </w:r>
      <w:bookmarkEnd w:id="18"/>
      <w:bookmarkEnd w:id="19"/>
    </w:p>
    <w:p w14:paraId="1E004A3D">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bookmarkStart w:id="20" w:name="_Toc23434"/>
      <w:bookmarkStart w:id="21" w:name="_Toc5316"/>
      <w:r>
        <w:rPr>
          <w:rFonts w:hint="eastAsia" w:ascii="楷体" w:hAnsi="楷体" w:eastAsia="楷体" w:cs="楷体_GB2312"/>
          <w:b/>
          <w:bCs/>
          <w:color w:val="000000"/>
          <w:sz w:val="32"/>
          <w:szCs w:val="32"/>
          <w:shd w:val="clear" w:color="auto" w:fill="FFFFFF"/>
          <w:lang w:bidi="ar"/>
        </w:rPr>
        <w:t>（一）项目主要经验</w:t>
      </w:r>
      <w:bookmarkEnd w:id="20"/>
      <w:r>
        <w:rPr>
          <w:rFonts w:hint="eastAsia" w:ascii="楷体" w:hAnsi="楷体" w:eastAsia="楷体" w:cs="楷体_GB2312"/>
          <w:b/>
          <w:bCs/>
          <w:color w:val="000000"/>
          <w:sz w:val="32"/>
          <w:szCs w:val="32"/>
          <w:shd w:val="clear" w:color="auto" w:fill="FFFFFF"/>
          <w:lang w:bidi="ar"/>
        </w:rPr>
        <w:t>及做法</w:t>
      </w:r>
      <w:bookmarkEnd w:id="21"/>
    </w:p>
    <w:p w14:paraId="3446C882">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fldChar w:fldCharType="begin"/>
      </w:r>
      <w:r>
        <w:rPr>
          <w:rFonts w:hint="eastAsia" w:ascii="仿宋" w:hAnsi="仿宋" w:eastAsia="仿宋" w:cs="仿宋_GB2312"/>
          <w:color w:val="000000"/>
          <w:sz w:val="32"/>
          <w:szCs w:val="32"/>
          <w:shd w:val="clear" w:color="auto" w:fill="FFFFFF"/>
          <w:lang w:bidi="ar"/>
        </w:rPr>
        <w:instrText xml:space="preserve"> = 1 \* GB3 </w:instrText>
      </w:r>
      <w:r>
        <w:rPr>
          <w:rFonts w:hint="eastAsia" w:ascii="仿宋" w:hAnsi="仿宋" w:eastAsia="仿宋" w:cs="仿宋_GB2312"/>
          <w:color w:val="000000"/>
          <w:sz w:val="32"/>
          <w:szCs w:val="32"/>
          <w:shd w:val="clear" w:color="auto" w:fill="FFFFFF"/>
          <w:lang w:bidi="ar"/>
        </w:rPr>
        <w:fldChar w:fldCharType="separate"/>
      </w:r>
      <w:r>
        <w:rPr>
          <w:rFonts w:hint="eastAsia" w:ascii="仿宋" w:hAnsi="仿宋" w:eastAsia="仿宋" w:cs="仿宋_GB2312"/>
          <w:color w:val="000000"/>
          <w:sz w:val="32"/>
          <w:szCs w:val="32"/>
          <w:shd w:val="clear" w:color="auto" w:fill="FFFFFF"/>
          <w:lang w:bidi="ar"/>
        </w:rPr>
        <w:t>①</w:t>
      </w:r>
      <w:r>
        <w:rPr>
          <w:rFonts w:hint="eastAsia" w:ascii="仿宋" w:hAnsi="仿宋" w:eastAsia="仿宋" w:cs="仿宋_GB2312"/>
          <w:color w:val="000000"/>
          <w:sz w:val="32"/>
          <w:szCs w:val="32"/>
          <w:shd w:val="clear" w:color="auto" w:fill="FFFFFF"/>
          <w:lang w:bidi="ar"/>
        </w:rPr>
        <w:fldChar w:fldCharType="end"/>
      </w:r>
      <w:r>
        <w:rPr>
          <w:rFonts w:hint="eastAsia" w:ascii="仿宋" w:hAnsi="仿宋" w:eastAsia="仿宋" w:cs="仿宋_GB2312"/>
          <w:color w:val="000000"/>
          <w:sz w:val="32"/>
          <w:szCs w:val="32"/>
          <w:shd w:val="clear" w:color="auto" w:fill="FFFFFF"/>
          <w:lang w:bidi="ar"/>
        </w:rPr>
        <w:t>开展多种形式的社区教育活动。一年来，终身教育各社团文艺骨干创作了一大批弘扬时代主旋律的优秀原创作品，以文艺展演、参加比赛、消夏演出的方式面向广大群众展示。9月，我校成功举办“唱响新时代</w:t>
      </w:r>
      <w:r>
        <w:rPr>
          <w:rFonts w:hint="eastAsia" w:ascii="微软雅黑" w:hAnsi="微软雅黑" w:eastAsia="微软雅黑" w:cs="微软雅黑"/>
          <w:color w:val="000000"/>
          <w:sz w:val="32"/>
          <w:szCs w:val="32"/>
          <w:shd w:val="clear" w:color="auto" w:fill="FFFFFF"/>
          <w:lang w:bidi="ar"/>
        </w:rPr>
        <w:t>•</w:t>
      </w:r>
      <w:r>
        <w:rPr>
          <w:rFonts w:hint="eastAsia" w:ascii="仿宋" w:hAnsi="仿宋" w:eastAsia="仿宋" w:cs="仿宋"/>
          <w:color w:val="000000"/>
          <w:sz w:val="32"/>
          <w:szCs w:val="32"/>
          <w:shd w:val="clear" w:color="auto" w:fill="FFFFFF"/>
          <w:lang w:bidi="ar"/>
        </w:rPr>
        <w:t>礼赞新征程”</w:t>
      </w:r>
      <w:r>
        <w:rPr>
          <w:rFonts w:hint="eastAsia" w:ascii="仿宋" w:hAnsi="仿宋" w:eastAsia="仿宋" w:cs="仿宋_GB2312"/>
          <w:color w:val="000000"/>
          <w:sz w:val="32"/>
          <w:szCs w:val="32"/>
          <w:shd w:val="clear" w:color="auto" w:fill="FFFFFF"/>
          <w:lang w:bidi="ar"/>
        </w:rPr>
        <w:t>2023湖南省合唱展演怀化专场，老年教育线下班追梦合唱团获一等奖，并参加湖南省合唱联盟总展演获银奖和最佳人气奖。同时参加由怀化市人大、怀化国际陆港经开区主办的合唱展演。我校合唱团杨彬修教授改编的《我有一个梦》混声合唱参加第二届怀化市艺术节闭幕式暨颁奖晚会。老年教育十一组合小合唱作品《燕子》参加第二届怀化艺术节，获怀化有戏社区文艺大比拼二等奖；老年社团雪峰山民族艺术团作品《种子》参加怀化第二届艺术节获戏曲小品类二等奖。展现了我校推进社区教育发展坚持“党政主导、统筹规划，社会参与、资源共享，按需施教、注重实效”的原则所取得的丰硕教学成果。</w:t>
      </w:r>
    </w:p>
    <w:p w14:paraId="10D41A9A">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围绕重大节庆日，办好系列主题活动。为宣传贯彻党的二十大精神，讴歌党的光辉历程，展现新时代怀化人民开拓创新、攻坚克难、干事创业的新气象，我校合唱团在学校领导的大力支持下，“传承红色文化，传唱红色经典”，经过一年的筹备与排练，联合麻阳音协合唱团、怀铁二中蓝精灵合唱团、锦溪小学小风铃合唱团和怀铁一小小火车合唱团，在怀化国际陆港经济开发区、怀化市文化旅游广电体育局共同主办下，成功承办了2024年怀化国际陆港《黄河大合唱》新年合唱音乐会。京剧俱乐部开展“传承红色基因 迈向新的征程”现代京剧专场，歌友艺术团联合长湾里社区、莲花池社区、学林社区举办“颂伟大的党 唱伟大祖国”文艺汇演，歌友艺术团举办“庆三八 欢歌笑语迎开学”“九九庆重阳节文艺汇演”等五场大型文艺活动，惠及群众5000人次，向广大市民展示了一批彰显时代感、凝聚正能量、提振精气神的精品佳作。这些活动既展示了教学成果，发挥了学员们的优势特长，又彰显了社区大学的重要功用。</w:t>
      </w:r>
    </w:p>
    <w:p w14:paraId="67F473D6">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fldChar w:fldCharType="begin"/>
      </w:r>
      <w:r>
        <w:rPr>
          <w:rFonts w:hint="eastAsia" w:ascii="仿宋" w:hAnsi="仿宋" w:eastAsia="仿宋" w:cs="仿宋_GB2312"/>
          <w:color w:val="000000"/>
          <w:sz w:val="32"/>
          <w:szCs w:val="32"/>
          <w:shd w:val="clear" w:color="auto" w:fill="FFFFFF"/>
          <w:lang w:bidi="ar"/>
        </w:rPr>
        <w:instrText xml:space="preserve"> = 2 \* GB3 </w:instrText>
      </w:r>
      <w:r>
        <w:rPr>
          <w:rFonts w:hint="eastAsia" w:ascii="仿宋" w:hAnsi="仿宋" w:eastAsia="仿宋" w:cs="仿宋_GB2312"/>
          <w:color w:val="000000"/>
          <w:sz w:val="32"/>
          <w:szCs w:val="32"/>
          <w:shd w:val="clear" w:color="auto" w:fill="FFFFFF"/>
          <w:lang w:bidi="ar"/>
        </w:rPr>
        <w:fldChar w:fldCharType="separate"/>
      </w:r>
      <w:r>
        <w:rPr>
          <w:rFonts w:hint="eastAsia" w:ascii="仿宋" w:hAnsi="仿宋" w:eastAsia="仿宋" w:cs="仿宋_GB2312"/>
          <w:color w:val="000000"/>
          <w:sz w:val="32"/>
          <w:szCs w:val="32"/>
          <w:shd w:val="clear" w:color="auto" w:fill="FFFFFF"/>
          <w:lang w:bidi="ar"/>
        </w:rPr>
        <w:t>②</w:t>
      </w:r>
      <w:r>
        <w:rPr>
          <w:rFonts w:hint="eastAsia" w:ascii="仿宋" w:hAnsi="仿宋" w:eastAsia="仿宋" w:cs="仿宋_GB2312"/>
          <w:color w:val="000000"/>
          <w:sz w:val="32"/>
          <w:szCs w:val="32"/>
          <w:shd w:val="clear" w:color="auto" w:fill="FFFFFF"/>
          <w:lang w:bidi="ar"/>
        </w:rPr>
        <w:fldChar w:fldCharType="end"/>
      </w:r>
      <w:r>
        <w:rPr>
          <w:rFonts w:hint="eastAsia" w:ascii="仿宋" w:hAnsi="仿宋" w:eastAsia="仿宋" w:cs="仿宋_GB2312"/>
          <w:color w:val="000000"/>
          <w:sz w:val="32"/>
          <w:szCs w:val="32"/>
          <w:shd w:val="clear" w:color="auto" w:fill="FFFFFF"/>
          <w:lang w:bidi="ar"/>
        </w:rPr>
        <w:t>培植社区教育示范项目。积极开展湖南省“百姓学习之星”“终身学习品牌项目”“学习型家庭”“优秀学习团队”和“优秀社区学校”遴选工作。在全市范围内广泛收集资料、开展市级评选，其中：“辰州剪纸”和“溆浦县家庭教育幸福家园”获得“湖南省终身学习品牌项目”称号，“陈俊屹家庭”获得“湖南省学习型家庭”称号，“杨资锐”获得“湖南省百姓学习之星”称号。并评选出19名市级“百姓学习之星”、2项“终身学习品牌项目”，11个“优秀学习团队”，10个“学习型家庭”。</w:t>
      </w:r>
    </w:p>
    <w:p w14:paraId="06E30E80">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b/>
          <w:bCs/>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fldChar w:fldCharType="begin"/>
      </w:r>
      <w:r>
        <w:rPr>
          <w:rFonts w:hint="eastAsia" w:ascii="仿宋" w:hAnsi="仿宋" w:eastAsia="仿宋" w:cs="仿宋_GB2312"/>
          <w:color w:val="000000"/>
          <w:sz w:val="32"/>
          <w:szCs w:val="32"/>
          <w:shd w:val="clear" w:color="auto" w:fill="FFFFFF"/>
          <w:lang w:bidi="ar"/>
        </w:rPr>
        <w:instrText xml:space="preserve"> = 3 \* GB3 </w:instrText>
      </w:r>
      <w:r>
        <w:rPr>
          <w:rFonts w:hint="eastAsia" w:ascii="仿宋" w:hAnsi="仿宋" w:eastAsia="仿宋" w:cs="仿宋_GB2312"/>
          <w:color w:val="000000"/>
          <w:sz w:val="32"/>
          <w:szCs w:val="32"/>
          <w:shd w:val="clear" w:color="auto" w:fill="FFFFFF"/>
          <w:lang w:bidi="ar"/>
        </w:rPr>
        <w:fldChar w:fldCharType="separate"/>
      </w:r>
      <w:r>
        <w:rPr>
          <w:rFonts w:hint="eastAsia" w:ascii="仿宋" w:hAnsi="仿宋" w:eastAsia="仿宋" w:cs="仿宋_GB2312"/>
          <w:color w:val="000000"/>
          <w:sz w:val="32"/>
          <w:szCs w:val="32"/>
          <w:shd w:val="clear" w:color="auto" w:fill="FFFFFF"/>
          <w:lang w:bidi="ar"/>
        </w:rPr>
        <w:t>③</w:t>
      </w:r>
      <w:r>
        <w:rPr>
          <w:rFonts w:hint="eastAsia" w:ascii="仿宋" w:hAnsi="仿宋" w:eastAsia="仿宋" w:cs="仿宋_GB2312"/>
          <w:color w:val="000000"/>
          <w:sz w:val="32"/>
          <w:szCs w:val="32"/>
          <w:shd w:val="clear" w:color="auto" w:fill="FFFFFF"/>
          <w:lang w:bidi="ar"/>
        </w:rPr>
        <w:fldChar w:fldCharType="end"/>
      </w:r>
      <w:r>
        <w:rPr>
          <w:rFonts w:hint="eastAsia" w:ascii="仿宋" w:hAnsi="仿宋" w:eastAsia="仿宋" w:cs="仿宋_GB2312"/>
          <w:color w:val="000000"/>
          <w:sz w:val="32"/>
          <w:szCs w:val="32"/>
          <w:shd w:val="clear" w:color="auto" w:fill="FFFFFF"/>
          <w:lang w:bidi="ar"/>
        </w:rPr>
        <w:t>宣传展示社区教育成果。提炼撰写社区教育案例《弘扬长征精神，赋能社区教育高质量发展》《踏歌雪峰 舞美人生》《唱响五溪大地，点亮社区生活》入选《这十年湖南省社区教育的“四色”创新实践》，向全省推广应用经验，促进全省社区教育新发展。</w:t>
      </w:r>
    </w:p>
    <w:p w14:paraId="65C7EA8F">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bookmarkStart w:id="22" w:name="_Toc6772"/>
      <w:bookmarkStart w:id="23" w:name="_Toc2597"/>
      <w:r>
        <w:rPr>
          <w:rFonts w:hint="eastAsia" w:ascii="楷体" w:hAnsi="楷体" w:eastAsia="楷体" w:cs="楷体_GB2312"/>
          <w:b/>
          <w:bCs/>
          <w:color w:val="000000"/>
          <w:sz w:val="32"/>
          <w:szCs w:val="32"/>
          <w:shd w:val="clear" w:color="auto" w:fill="FFFFFF"/>
          <w:lang w:bidi="ar"/>
        </w:rPr>
        <w:t>（二）存在的问题</w:t>
      </w:r>
      <w:bookmarkEnd w:id="22"/>
      <w:bookmarkEnd w:id="23"/>
    </w:p>
    <w:p w14:paraId="06B7E0A4">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1.社区学院办学积极性不高。</w:t>
      </w:r>
      <w:r>
        <w:rPr>
          <w:rFonts w:hint="eastAsia" w:ascii="仿宋" w:hAnsi="仿宋" w:eastAsia="仿宋" w:cs="仿宋_GB2312"/>
          <w:color w:val="000000"/>
          <w:sz w:val="32"/>
          <w:szCs w:val="32"/>
          <w:shd w:val="clear" w:color="auto" w:fill="FFFFFF"/>
          <w:lang w:bidi="ar"/>
        </w:rPr>
        <w:t>尽管系统建设取得不小成绩，实现13个社区学院下文挂牌成立，但人财物等原因，办学积极性不高，社区教育推进工作任务艰巨。</w:t>
      </w:r>
    </w:p>
    <w:p w14:paraId="3E082559">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2.教育教学质量有待进一步提高。</w:t>
      </w:r>
      <w:r>
        <w:rPr>
          <w:rFonts w:hint="eastAsia" w:ascii="仿宋" w:hAnsi="仿宋" w:eastAsia="仿宋" w:cs="仿宋_GB2312"/>
          <w:color w:val="000000"/>
          <w:sz w:val="32"/>
          <w:szCs w:val="32"/>
          <w:shd w:val="clear" w:color="auto" w:fill="FFFFFF"/>
          <w:lang w:bidi="ar"/>
        </w:rPr>
        <w:t>部分社区学院对终身教育理解不透彻，没有强有力的举措，未积极参与省、市级组织的相关活动。</w:t>
      </w:r>
    </w:p>
    <w:p w14:paraId="6617A4FE">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3.教师队伍建设有待进一步加强。</w:t>
      </w:r>
      <w:r>
        <w:rPr>
          <w:rFonts w:hint="eastAsia" w:ascii="仿宋" w:hAnsi="仿宋" w:eastAsia="仿宋" w:cs="仿宋_GB2312"/>
          <w:color w:val="000000"/>
          <w:sz w:val="32"/>
          <w:szCs w:val="32"/>
          <w:shd w:val="clear" w:color="auto" w:fill="FFFFFF"/>
          <w:lang w:bidi="ar"/>
        </w:rPr>
        <w:t>仍存在社区教育教师、志愿者队伍年龄结构、性别组成不合理，社区大学与社区学院之间师资不均衡，教师配置亟待优化等问题。</w:t>
      </w:r>
    </w:p>
    <w:p w14:paraId="1D259CD3">
      <w:pPr>
        <w:pStyle w:val="6"/>
        <w:widowControl/>
        <w:shd w:val="clear" w:color="auto" w:fill="FFFFFF"/>
        <w:snapToGrid w:val="0"/>
        <w:spacing w:beforeAutospacing="0" w:afterAutospacing="0" w:line="560" w:lineRule="exact"/>
        <w:ind w:firstLine="643"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
          <w:bCs/>
          <w:color w:val="000000"/>
          <w:sz w:val="32"/>
          <w:szCs w:val="32"/>
          <w:shd w:val="clear" w:color="auto" w:fill="FFFFFF"/>
          <w:lang w:bidi="ar"/>
        </w:rPr>
        <w:t>4.资金方面：</w:t>
      </w:r>
      <w:r>
        <w:rPr>
          <w:rFonts w:hint="eastAsia" w:ascii="仿宋" w:hAnsi="仿宋" w:eastAsia="仿宋" w:cs="仿宋_GB2312"/>
          <w:color w:val="000000"/>
          <w:sz w:val="32"/>
          <w:szCs w:val="32"/>
          <w:shd w:val="clear" w:color="auto" w:fill="FFFFFF"/>
          <w:lang w:bidi="ar"/>
        </w:rPr>
        <w:t>我校为经费包干单位，本级财政没有安排日常运转经费，也没有为社区大学安排日常公用经费。由于社区教育是公益性事业，社区教育专项经费实际上是对我校开展社区教育工作的财力补助，因此，我们认为社区大学日常公用经费都可以纳入专项经费的开支范畴。</w:t>
      </w:r>
    </w:p>
    <w:p w14:paraId="47B87997">
      <w:pPr>
        <w:pStyle w:val="6"/>
        <w:widowControl/>
        <w:shd w:val="clear" w:color="auto" w:fill="FFFFFF"/>
        <w:snapToGrid w:val="0"/>
        <w:spacing w:beforeAutospacing="0" w:afterAutospacing="0" w:line="560" w:lineRule="exact"/>
        <w:ind w:firstLine="643" w:firstLineChars="200"/>
        <w:jc w:val="both"/>
        <w:rPr>
          <w:rFonts w:ascii="楷体" w:hAnsi="楷体" w:eastAsia="楷体" w:cs="楷体_GB2312"/>
          <w:b/>
          <w:bCs/>
          <w:color w:val="000000"/>
          <w:sz w:val="32"/>
          <w:szCs w:val="32"/>
          <w:shd w:val="clear" w:color="auto" w:fill="FFFFFF"/>
          <w:lang w:bidi="ar"/>
        </w:rPr>
      </w:pPr>
      <w:bookmarkStart w:id="24" w:name="_Toc29278"/>
      <w:bookmarkStart w:id="25" w:name="_Toc16271"/>
      <w:r>
        <w:rPr>
          <w:rFonts w:hint="eastAsia" w:ascii="楷体" w:hAnsi="楷体" w:eastAsia="楷体" w:cs="楷体_GB2312"/>
          <w:b/>
          <w:bCs/>
          <w:color w:val="000000"/>
          <w:sz w:val="32"/>
          <w:szCs w:val="32"/>
          <w:shd w:val="clear" w:color="auto" w:fill="FFFFFF"/>
          <w:lang w:bidi="ar"/>
        </w:rPr>
        <w:t>（三）几点建议</w:t>
      </w:r>
      <w:bookmarkEnd w:id="24"/>
      <w:bookmarkEnd w:id="25"/>
    </w:p>
    <w:p w14:paraId="3F002DE3">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Cs/>
          <w:color w:val="000000"/>
          <w:sz w:val="32"/>
          <w:szCs w:val="32"/>
          <w:shd w:val="clear" w:color="auto" w:fill="FFFFFF"/>
          <w:lang w:bidi="ar"/>
        </w:rPr>
        <w:t>1.</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加快国家层面的终身教育立法，推动终身教育理念普及，推进政策实施，争取市委市政府和教育部门的政策支持，积极筹建我市终身教育指导服务中心。</w:t>
      </w:r>
    </w:p>
    <w:p w14:paraId="036A57D7">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Cs/>
          <w:color w:val="000000"/>
          <w:sz w:val="32"/>
          <w:szCs w:val="32"/>
          <w:shd w:val="clear" w:color="auto" w:fill="FFFFFF"/>
          <w:lang w:bidi="ar"/>
        </w:rPr>
        <w:t>2.</w:t>
      </w:r>
      <w:r>
        <w:rPr>
          <w:rFonts w:hint="eastAsia" w:ascii="仿宋" w:hAnsi="仿宋" w:eastAsia="仿宋" w:cs="仿宋_GB2312"/>
          <w:color w:val="000000"/>
          <w:sz w:val="32"/>
          <w:szCs w:val="32"/>
          <w:shd w:val="clear" w:color="auto" w:fill="FFFFFF"/>
          <w:lang w:bidi="ar"/>
        </w:rPr>
        <w:t>建立社区教育师资库，推动社区教育稳步发展，构建较为完整并能履行职能的社区教育四级教学机构网络。</w:t>
      </w:r>
    </w:p>
    <w:p w14:paraId="4CA37DF9">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bCs/>
          <w:color w:val="000000"/>
          <w:sz w:val="32"/>
          <w:szCs w:val="32"/>
          <w:shd w:val="clear" w:color="auto" w:fill="FFFFFF"/>
          <w:lang w:bidi="ar"/>
        </w:rPr>
        <w:t>3.</w:t>
      </w:r>
      <w:r>
        <w:rPr>
          <w:rFonts w:hint="eastAsia" w:ascii="仿宋" w:hAnsi="仿宋" w:eastAsia="仿宋" w:cs="仿宋_GB2312"/>
          <w:color w:val="000000"/>
          <w:sz w:val="32"/>
          <w:szCs w:val="32"/>
          <w:shd w:val="clear" w:color="auto" w:fill="FFFFFF"/>
          <w:lang w:bidi="ar"/>
        </w:rPr>
        <w:t>创新老年教育发展模式，使社区大学成为怀化社区教育和老年教育生力军。</w:t>
      </w:r>
    </w:p>
    <w:p w14:paraId="131518B3">
      <w:pPr>
        <w:pStyle w:val="6"/>
        <w:widowControl/>
        <w:shd w:val="clear" w:color="auto" w:fill="FFFFFF"/>
        <w:snapToGrid w:val="0"/>
        <w:spacing w:beforeAutospacing="0" w:afterAutospacing="0" w:line="560" w:lineRule="exact"/>
        <w:ind w:firstLine="640" w:firstLineChars="200"/>
        <w:jc w:val="both"/>
        <w:rPr>
          <w:rFonts w:ascii="仿宋" w:hAnsi="仿宋" w:eastAsia="仿宋" w:cs="仿宋_GB2312"/>
          <w:color w:val="000000"/>
          <w:sz w:val="32"/>
          <w:szCs w:val="32"/>
          <w:shd w:val="clear" w:color="auto" w:fill="FFFFFF"/>
          <w:lang w:bidi="ar"/>
        </w:rPr>
      </w:pPr>
      <w:r>
        <w:rPr>
          <w:rFonts w:hint="eastAsia" w:ascii="仿宋" w:hAnsi="仿宋" w:eastAsia="仿宋" w:cs="仿宋_GB2312"/>
          <w:color w:val="000000"/>
          <w:sz w:val="32"/>
          <w:szCs w:val="32"/>
          <w:shd w:val="clear" w:color="auto" w:fill="FFFFFF"/>
          <w:lang w:bidi="ar"/>
        </w:rPr>
        <w:t>4.市财政及各县（市、区）财政每年应安排一定经费预算，以保证社区教育（老年教育）工作正常开展。</w:t>
      </w:r>
    </w:p>
    <w:p w14:paraId="507D3977">
      <w:pPr>
        <w:rPr>
          <w:rFonts w:ascii="方正小标宋_GBK" w:hAnsi="方正小标宋_GBK" w:eastAsia="方正小标宋_GBK" w:cs="方正小标宋_GBK"/>
          <w:color w:val="000000"/>
          <w:sz w:val="20"/>
          <w:szCs w:val="20"/>
          <w:shd w:val="clear" w:color="auto" w:fill="FFFFFF"/>
        </w:rPr>
      </w:pPr>
      <w:r>
        <w:rPr>
          <w:rFonts w:hint="eastAsia" w:ascii="方正小标宋_GBK" w:hAnsi="方正小标宋_GBK" w:eastAsia="方正小标宋_GBK" w:cs="方正小标宋_GBK"/>
          <w:color w:val="000000"/>
          <w:sz w:val="20"/>
          <w:szCs w:val="20"/>
          <w:shd w:val="clear" w:color="auto" w:fill="FFFFFF"/>
        </w:rPr>
        <w:br w:type="page"/>
      </w:r>
    </w:p>
    <w:p w14:paraId="37B8BE72">
      <w:pPr>
        <w:pStyle w:val="6"/>
        <w:widowControl/>
        <w:shd w:val="clear" w:color="auto" w:fill="FFFFFF"/>
        <w:spacing w:beforeAutospacing="0" w:afterAutospacing="0" w:line="480" w:lineRule="atLeast"/>
        <w:ind w:firstLine="402"/>
        <w:jc w:val="both"/>
        <w:rPr>
          <w:rFonts w:ascii="方正小标宋_GBK" w:hAnsi="方正小标宋_GBK" w:eastAsia="方正小标宋_GBK" w:cs="方正小标宋_GBK"/>
          <w:color w:val="000000"/>
          <w:sz w:val="20"/>
          <w:szCs w:val="20"/>
          <w:shd w:val="clear" w:color="auto" w:fill="FFFFFF"/>
        </w:rPr>
      </w:pPr>
      <w:r>
        <w:rPr>
          <w:rFonts w:hint="eastAsia" w:ascii="宋体" w:hAnsi="宋体" w:eastAsia="宋体" w:cs="宋体"/>
          <w:color w:val="000000"/>
          <w:sz w:val="20"/>
          <w:szCs w:val="20"/>
          <w:shd w:val="clear" w:color="auto" w:fill="FFFFFF"/>
        </w:rPr>
        <w:t>附</w:t>
      </w:r>
      <w:r>
        <w:rPr>
          <w:rFonts w:hint="eastAsia" w:ascii="方正小标宋_GBK" w:hAnsi="方正小标宋_GBK" w:eastAsia="方正小标宋_GBK" w:cs="方正小标宋_GBK"/>
          <w:color w:val="000000"/>
          <w:sz w:val="20"/>
          <w:szCs w:val="20"/>
          <w:shd w:val="clear" w:color="auto" w:fill="FFFFFF"/>
        </w:rPr>
        <w:t>件2-1</w:t>
      </w:r>
    </w:p>
    <w:p w14:paraId="4252A225">
      <w:pPr>
        <w:widowControl/>
        <w:tabs>
          <w:tab w:val="left" w:pos="3611"/>
          <w:tab w:val="left" w:pos="4791"/>
          <w:tab w:val="left" w:pos="5951"/>
          <w:tab w:val="left" w:pos="7071"/>
          <w:tab w:val="left" w:pos="8191"/>
          <w:tab w:val="left" w:pos="9311"/>
        </w:tabs>
        <w:snapToGrid w:val="0"/>
        <w:spacing w:line="440" w:lineRule="atLeast"/>
        <w:jc w:val="center"/>
        <w:rPr>
          <w:rFonts w:ascii="华文中宋" w:hAnsi="华文中宋" w:eastAsia="华文中宋" w:cs="方正小标宋_GBK"/>
          <w:b/>
          <w:color w:val="000000"/>
          <w:kern w:val="0"/>
          <w:sz w:val="28"/>
          <w:szCs w:val="28"/>
          <w:shd w:val="clear" w:color="auto" w:fill="FFFFFF"/>
          <w:lang w:bidi="ar"/>
        </w:rPr>
      </w:pPr>
      <w:r>
        <w:rPr>
          <w:rFonts w:hint="eastAsia" w:ascii="华文中宋" w:hAnsi="华文中宋" w:eastAsia="华文中宋" w:cs="方正小标宋_GBK"/>
          <w:b/>
          <w:color w:val="000000"/>
          <w:kern w:val="0"/>
          <w:sz w:val="28"/>
          <w:szCs w:val="28"/>
          <w:shd w:val="clear" w:color="auto" w:fill="FFFFFF"/>
          <w:lang w:bidi="ar"/>
        </w:rPr>
        <w:t>项目支出绩效自评表</w:t>
      </w:r>
    </w:p>
    <w:tbl>
      <w:tblPr>
        <w:tblStyle w:val="8"/>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02"/>
        <w:gridCol w:w="1210"/>
        <w:gridCol w:w="1330"/>
        <w:gridCol w:w="710"/>
        <w:gridCol w:w="860"/>
        <w:gridCol w:w="1366"/>
      </w:tblGrid>
      <w:tr w14:paraId="2741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0E3DDBCE">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76B8AA76">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838" w:type="dxa"/>
            <w:gridSpan w:val="8"/>
            <w:vAlign w:val="center"/>
          </w:tcPr>
          <w:p w14:paraId="54DD911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怀化开放大学社区教育专项资金绩效项目　</w:t>
            </w:r>
          </w:p>
        </w:tc>
      </w:tr>
      <w:tr w14:paraId="26E9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1B806606">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72" w:type="dxa"/>
            <w:gridSpan w:val="4"/>
            <w:vAlign w:val="center"/>
          </w:tcPr>
          <w:p w14:paraId="0ACCADF1">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怀化市教育局</w:t>
            </w:r>
          </w:p>
        </w:tc>
        <w:tc>
          <w:tcPr>
            <w:tcW w:w="1330" w:type="dxa"/>
            <w:vAlign w:val="center"/>
          </w:tcPr>
          <w:p w14:paraId="55A7C081">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936" w:type="dxa"/>
            <w:gridSpan w:val="3"/>
            <w:vAlign w:val="center"/>
          </w:tcPr>
          <w:p w14:paraId="3C17CE73">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怀化开放大学</w:t>
            </w:r>
          </w:p>
        </w:tc>
      </w:tr>
      <w:tr w14:paraId="5909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54F45C0D">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项目资金</w:t>
            </w:r>
          </w:p>
          <w:p w14:paraId="0CEF19CB">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5F02B1EF">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2" w:type="dxa"/>
            <w:vAlign w:val="center"/>
          </w:tcPr>
          <w:p w14:paraId="0B1696E7">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534E743">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10" w:type="dxa"/>
            <w:vAlign w:val="center"/>
          </w:tcPr>
          <w:p w14:paraId="16ED9B38">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562D828">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330" w:type="dxa"/>
            <w:vAlign w:val="center"/>
          </w:tcPr>
          <w:p w14:paraId="1009ACD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全年</w:t>
            </w:r>
          </w:p>
          <w:p w14:paraId="14175C8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710" w:type="dxa"/>
            <w:vAlign w:val="center"/>
          </w:tcPr>
          <w:p w14:paraId="182C136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60" w:type="dxa"/>
            <w:vAlign w:val="center"/>
          </w:tcPr>
          <w:p w14:paraId="0FE6B09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366" w:type="dxa"/>
            <w:vAlign w:val="center"/>
          </w:tcPr>
          <w:p w14:paraId="4ECE4AE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43DE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72647B2">
            <w:pPr>
              <w:widowControl/>
              <w:spacing w:line="280" w:lineRule="exact"/>
              <w:jc w:val="left"/>
              <w:rPr>
                <w:rFonts w:ascii="仿宋" w:hAnsi="仿宋" w:eastAsia="仿宋" w:cs="仿宋"/>
                <w:color w:val="000000"/>
                <w:kern w:val="0"/>
                <w:sz w:val="20"/>
                <w:szCs w:val="20"/>
              </w:rPr>
            </w:pPr>
          </w:p>
        </w:tc>
        <w:tc>
          <w:tcPr>
            <w:tcW w:w="2160" w:type="dxa"/>
            <w:gridSpan w:val="2"/>
            <w:vAlign w:val="center"/>
          </w:tcPr>
          <w:p w14:paraId="0F66CC3E">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202" w:type="dxa"/>
            <w:vAlign w:val="center"/>
          </w:tcPr>
          <w:p w14:paraId="34FF7071">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1210" w:type="dxa"/>
            <w:vAlign w:val="center"/>
          </w:tcPr>
          <w:p w14:paraId="26BF7A6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1330" w:type="dxa"/>
            <w:vAlign w:val="center"/>
          </w:tcPr>
          <w:p w14:paraId="6CCDB9D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710" w:type="dxa"/>
            <w:vAlign w:val="center"/>
          </w:tcPr>
          <w:p w14:paraId="24EBB23B">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60" w:type="dxa"/>
            <w:vAlign w:val="center"/>
          </w:tcPr>
          <w:p w14:paraId="3AF5BCEF">
            <w:pPr>
              <w:widowControl/>
              <w:spacing w:line="280" w:lineRule="exact"/>
              <w:jc w:val="center"/>
              <w:rPr>
                <w:rFonts w:ascii="仿宋" w:hAnsi="仿宋" w:eastAsia="仿宋" w:cs="仿宋"/>
                <w:color w:val="000000"/>
                <w:kern w:val="0"/>
                <w:sz w:val="20"/>
                <w:szCs w:val="20"/>
              </w:rPr>
            </w:pPr>
            <w:r>
              <w:rPr>
                <w:rFonts w:hint="eastAsia" w:ascii="仿宋_GB2312" w:hAnsi="宋体" w:eastAsia="仿宋_GB2312" w:cs="宋体"/>
                <w:color w:val="000000"/>
                <w:kern w:val="0"/>
                <w:szCs w:val="21"/>
              </w:rPr>
              <w:t>100%</w:t>
            </w:r>
          </w:p>
        </w:tc>
        <w:tc>
          <w:tcPr>
            <w:tcW w:w="1366" w:type="dxa"/>
            <w:vAlign w:val="center"/>
          </w:tcPr>
          <w:p w14:paraId="79F3A7E7">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r>
      <w:tr w14:paraId="0AC3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9D5E909">
            <w:pPr>
              <w:widowControl/>
              <w:spacing w:line="280" w:lineRule="exact"/>
              <w:jc w:val="left"/>
              <w:rPr>
                <w:rFonts w:ascii="仿宋" w:hAnsi="仿宋" w:eastAsia="仿宋" w:cs="仿宋"/>
                <w:color w:val="000000"/>
                <w:kern w:val="0"/>
                <w:sz w:val="20"/>
                <w:szCs w:val="20"/>
              </w:rPr>
            </w:pPr>
          </w:p>
        </w:tc>
        <w:tc>
          <w:tcPr>
            <w:tcW w:w="2160" w:type="dxa"/>
            <w:gridSpan w:val="2"/>
            <w:vAlign w:val="center"/>
          </w:tcPr>
          <w:p w14:paraId="40038349">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202" w:type="dxa"/>
            <w:vAlign w:val="center"/>
          </w:tcPr>
          <w:p w14:paraId="3B348D58">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1210" w:type="dxa"/>
            <w:vAlign w:val="center"/>
          </w:tcPr>
          <w:p w14:paraId="3561B604">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1330" w:type="dxa"/>
            <w:vAlign w:val="center"/>
          </w:tcPr>
          <w:p w14:paraId="27339450">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710" w:type="dxa"/>
            <w:vAlign w:val="center"/>
          </w:tcPr>
          <w:p w14:paraId="60E0E35A">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60" w:type="dxa"/>
            <w:vAlign w:val="center"/>
          </w:tcPr>
          <w:p w14:paraId="4D4A647C">
            <w:pPr>
              <w:widowControl/>
              <w:spacing w:line="280" w:lineRule="exact"/>
              <w:jc w:val="center"/>
              <w:rPr>
                <w:rFonts w:ascii="仿宋" w:hAnsi="仿宋" w:eastAsia="仿宋" w:cs="仿宋"/>
                <w:color w:val="000000"/>
                <w:kern w:val="0"/>
                <w:sz w:val="20"/>
                <w:szCs w:val="20"/>
              </w:rPr>
            </w:pPr>
            <w:r>
              <w:rPr>
                <w:rFonts w:hint="eastAsia" w:ascii="仿宋_GB2312" w:hAnsi="宋体" w:eastAsia="仿宋_GB2312" w:cs="宋体"/>
                <w:color w:val="000000"/>
                <w:kern w:val="0"/>
                <w:szCs w:val="21"/>
              </w:rPr>
              <w:t>100%</w:t>
            </w:r>
          </w:p>
        </w:tc>
        <w:tc>
          <w:tcPr>
            <w:tcW w:w="1366" w:type="dxa"/>
            <w:vAlign w:val="center"/>
          </w:tcPr>
          <w:p w14:paraId="40256D0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r>
      <w:tr w14:paraId="5A47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9889EE4">
            <w:pPr>
              <w:widowControl/>
              <w:spacing w:line="280" w:lineRule="exact"/>
              <w:jc w:val="left"/>
              <w:rPr>
                <w:rFonts w:ascii="仿宋" w:hAnsi="仿宋" w:eastAsia="仿宋" w:cs="仿宋"/>
                <w:color w:val="000000"/>
                <w:kern w:val="0"/>
                <w:sz w:val="20"/>
                <w:szCs w:val="20"/>
              </w:rPr>
            </w:pPr>
          </w:p>
        </w:tc>
        <w:tc>
          <w:tcPr>
            <w:tcW w:w="2160" w:type="dxa"/>
            <w:gridSpan w:val="2"/>
            <w:vAlign w:val="center"/>
          </w:tcPr>
          <w:p w14:paraId="3B1F87C3">
            <w:pPr>
              <w:widowControl/>
              <w:spacing w:line="280" w:lineRule="exact"/>
              <w:ind w:firstLine="600" w:firstLineChars="3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202" w:type="dxa"/>
            <w:vAlign w:val="center"/>
          </w:tcPr>
          <w:p w14:paraId="15635706">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0" w:type="dxa"/>
            <w:vAlign w:val="center"/>
          </w:tcPr>
          <w:p w14:paraId="0E288FD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30" w:type="dxa"/>
            <w:vAlign w:val="center"/>
          </w:tcPr>
          <w:p w14:paraId="2E7001C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0" w:type="dxa"/>
            <w:vAlign w:val="center"/>
          </w:tcPr>
          <w:p w14:paraId="0BCB0046">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60" w:type="dxa"/>
            <w:vAlign w:val="center"/>
          </w:tcPr>
          <w:p w14:paraId="3554BAE1">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6" w:type="dxa"/>
            <w:vAlign w:val="center"/>
          </w:tcPr>
          <w:p w14:paraId="172D5E71">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2A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62F94CD6">
            <w:pPr>
              <w:widowControl/>
              <w:spacing w:line="280" w:lineRule="exact"/>
              <w:jc w:val="left"/>
              <w:rPr>
                <w:rFonts w:ascii="仿宋" w:hAnsi="仿宋" w:eastAsia="仿宋" w:cs="仿宋"/>
                <w:color w:val="000000"/>
                <w:kern w:val="0"/>
                <w:sz w:val="20"/>
                <w:szCs w:val="20"/>
              </w:rPr>
            </w:pPr>
          </w:p>
        </w:tc>
        <w:tc>
          <w:tcPr>
            <w:tcW w:w="2160" w:type="dxa"/>
            <w:gridSpan w:val="2"/>
            <w:vAlign w:val="center"/>
          </w:tcPr>
          <w:p w14:paraId="48B76F95">
            <w:pPr>
              <w:widowControl/>
              <w:spacing w:line="280" w:lineRule="exact"/>
              <w:ind w:firstLine="600" w:firstLineChars="3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02" w:type="dxa"/>
            <w:vAlign w:val="center"/>
          </w:tcPr>
          <w:p w14:paraId="3419E451">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0" w:type="dxa"/>
            <w:vAlign w:val="center"/>
          </w:tcPr>
          <w:p w14:paraId="190457DD">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30" w:type="dxa"/>
            <w:vAlign w:val="center"/>
          </w:tcPr>
          <w:p w14:paraId="60B9B1AF">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0" w:type="dxa"/>
            <w:vAlign w:val="center"/>
          </w:tcPr>
          <w:p w14:paraId="2FAAADB6">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60" w:type="dxa"/>
            <w:vAlign w:val="center"/>
          </w:tcPr>
          <w:p w14:paraId="415481B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6" w:type="dxa"/>
            <w:vAlign w:val="center"/>
          </w:tcPr>
          <w:p w14:paraId="76043624">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9F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6038162A">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72" w:type="dxa"/>
            <w:gridSpan w:val="4"/>
            <w:vAlign w:val="center"/>
          </w:tcPr>
          <w:p w14:paraId="106032C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66" w:type="dxa"/>
            <w:gridSpan w:val="4"/>
            <w:vAlign w:val="center"/>
          </w:tcPr>
          <w:p w14:paraId="490AEB57">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6BE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14:paraId="5354ECF4">
            <w:pPr>
              <w:widowControl/>
              <w:spacing w:line="280" w:lineRule="exact"/>
              <w:jc w:val="left"/>
              <w:rPr>
                <w:rFonts w:ascii="仿宋" w:hAnsi="仿宋" w:eastAsia="仿宋" w:cs="仿宋"/>
                <w:color w:val="000000"/>
                <w:kern w:val="0"/>
                <w:sz w:val="20"/>
                <w:szCs w:val="20"/>
              </w:rPr>
            </w:pPr>
          </w:p>
        </w:tc>
        <w:tc>
          <w:tcPr>
            <w:tcW w:w="4572" w:type="dxa"/>
            <w:gridSpan w:val="4"/>
            <w:vAlign w:val="center"/>
          </w:tcPr>
          <w:p w14:paraId="272D6BB8">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4"/>
              </w:rPr>
              <w:t>一是加强社区教育学习体验阵地建设。二是加大社区教育的业务指导力度，加强基层社区教育机构建设，开展示范性社区学校和优秀社区学习中心评选。三是开展社区教育理论研究，积极申报省教育厅、湖南开放大学社区教育研究课题。</w:t>
            </w:r>
            <w:r>
              <w:rPr>
                <w:rFonts w:hint="eastAsia" w:ascii="仿宋" w:hAnsi="仿宋" w:eastAsia="仿宋" w:cs="仿宋"/>
                <w:color w:val="000000"/>
                <w:kern w:val="0"/>
                <w:sz w:val="20"/>
                <w:szCs w:val="20"/>
              </w:rPr>
              <w:t>　　</w:t>
            </w:r>
          </w:p>
        </w:tc>
        <w:tc>
          <w:tcPr>
            <w:tcW w:w="4266" w:type="dxa"/>
            <w:gridSpan w:val="4"/>
            <w:vAlign w:val="center"/>
          </w:tcPr>
          <w:p w14:paraId="4B77E1C2">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4"/>
              </w:rPr>
              <w:t>一是开展多种形式的社区教育活动。积极参加全省各类活动并开展老年教育活动等。二是培植社区教育示范项目。</w:t>
            </w:r>
            <w:bookmarkStart w:id="26" w:name="_Hlk145668188"/>
            <w:r>
              <w:rPr>
                <w:rFonts w:hint="eastAsia" w:ascii="仿宋" w:hAnsi="仿宋" w:eastAsia="仿宋" w:cs="仿宋"/>
                <w:color w:val="000000"/>
                <w:kern w:val="0"/>
                <w:sz w:val="24"/>
              </w:rPr>
              <w:t>积极开展2023年湖南省“百姓学习之星”、“终身学习品牌项目”、“学习型家庭”、“优秀学习团队”和“优秀社区学校”遴选工作。</w:t>
            </w:r>
            <w:bookmarkEnd w:id="26"/>
            <w:r>
              <w:rPr>
                <w:rFonts w:hint="eastAsia" w:ascii="仿宋" w:hAnsi="仿宋" w:eastAsia="仿宋" w:cs="仿宋"/>
                <w:color w:val="000000"/>
                <w:kern w:val="0"/>
                <w:sz w:val="24"/>
              </w:rPr>
              <w:t>三是宣传展示社区教育成果，撰写社区教育案例并组织开展湖南省第一期家庭教育指导师资能力提升专业培训。</w:t>
            </w:r>
          </w:p>
        </w:tc>
      </w:tr>
      <w:tr w14:paraId="2249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38747D34">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62B0E3F">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952A0BD">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8D8ECB3">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1958D7E2">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3119CBC7">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02" w:type="dxa"/>
            <w:vAlign w:val="center"/>
          </w:tcPr>
          <w:p w14:paraId="769C94FB">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10" w:type="dxa"/>
            <w:vAlign w:val="center"/>
          </w:tcPr>
          <w:p w14:paraId="23BC6BF1">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B0CE335">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330" w:type="dxa"/>
            <w:vAlign w:val="center"/>
          </w:tcPr>
          <w:p w14:paraId="5188A901">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8CF36ED">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10" w:type="dxa"/>
            <w:vAlign w:val="center"/>
          </w:tcPr>
          <w:p w14:paraId="1D2E1B63">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60" w:type="dxa"/>
            <w:vAlign w:val="center"/>
          </w:tcPr>
          <w:p w14:paraId="3416CAAE">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366" w:type="dxa"/>
            <w:vAlign w:val="center"/>
          </w:tcPr>
          <w:p w14:paraId="6587020A">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394457B">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79E5547">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D5C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46EAF61">
            <w:pPr>
              <w:widowControl/>
              <w:spacing w:line="280" w:lineRule="exact"/>
              <w:jc w:val="left"/>
              <w:rPr>
                <w:rFonts w:ascii="仿宋" w:hAnsi="仿宋" w:eastAsia="仿宋" w:cs="仿宋"/>
                <w:color w:val="000000"/>
                <w:kern w:val="0"/>
                <w:sz w:val="20"/>
                <w:szCs w:val="20"/>
              </w:rPr>
            </w:pPr>
          </w:p>
        </w:tc>
        <w:tc>
          <w:tcPr>
            <w:tcW w:w="1080" w:type="dxa"/>
            <w:vMerge w:val="restart"/>
            <w:vAlign w:val="center"/>
          </w:tcPr>
          <w:p w14:paraId="08663B18">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B90D8AA">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（50分）</w:t>
            </w:r>
          </w:p>
        </w:tc>
        <w:tc>
          <w:tcPr>
            <w:tcW w:w="1080" w:type="dxa"/>
            <w:vAlign w:val="center"/>
          </w:tcPr>
          <w:p w14:paraId="778F5DF3">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02" w:type="dxa"/>
            <w:vAlign w:val="center"/>
          </w:tcPr>
          <w:p w14:paraId="2C6F3E3E">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全年计划开展社区教育次数</w:t>
            </w:r>
          </w:p>
        </w:tc>
        <w:tc>
          <w:tcPr>
            <w:tcW w:w="1210" w:type="dxa"/>
            <w:vAlign w:val="center"/>
          </w:tcPr>
          <w:p w14:paraId="4CC204E6">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30" w:type="dxa"/>
            <w:vAlign w:val="center"/>
          </w:tcPr>
          <w:p w14:paraId="72692F4C">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w:t>
            </w:r>
            <w:r>
              <w:rPr>
                <w:rFonts w:ascii="仿宋" w:hAnsi="仿宋" w:eastAsia="仿宋" w:cs="仿宋"/>
                <w:color w:val="000000"/>
                <w:kern w:val="0"/>
                <w:sz w:val="20"/>
                <w:szCs w:val="20"/>
              </w:rPr>
              <w:t xml:space="preserve"> </w:t>
            </w:r>
            <w:r>
              <w:rPr>
                <w:rFonts w:hint="eastAsia" w:ascii="仿宋" w:hAnsi="仿宋" w:eastAsia="仿宋" w:cs="仿宋"/>
                <w:color w:val="000000"/>
                <w:kern w:val="0"/>
                <w:sz w:val="20"/>
                <w:szCs w:val="20"/>
              </w:rPr>
              <w:t>20</w:t>
            </w:r>
          </w:p>
        </w:tc>
        <w:tc>
          <w:tcPr>
            <w:tcW w:w="710" w:type="dxa"/>
            <w:vAlign w:val="center"/>
          </w:tcPr>
          <w:p w14:paraId="5CCE9A0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60" w:type="dxa"/>
            <w:vAlign w:val="center"/>
          </w:tcPr>
          <w:p w14:paraId="78C4ADD7">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66" w:type="dxa"/>
            <w:vAlign w:val="center"/>
          </w:tcPr>
          <w:p w14:paraId="42EFF3CA">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4E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2A7BDDD">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279789E2">
            <w:pPr>
              <w:widowControl/>
              <w:spacing w:line="280" w:lineRule="exact"/>
              <w:jc w:val="left"/>
              <w:rPr>
                <w:rFonts w:ascii="仿宋" w:hAnsi="仿宋" w:eastAsia="仿宋" w:cs="仿宋"/>
                <w:color w:val="000000"/>
                <w:kern w:val="0"/>
                <w:sz w:val="20"/>
                <w:szCs w:val="20"/>
              </w:rPr>
            </w:pPr>
          </w:p>
        </w:tc>
        <w:tc>
          <w:tcPr>
            <w:tcW w:w="1080" w:type="dxa"/>
            <w:vAlign w:val="center"/>
          </w:tcPr>
          <w:p w14:paraId="2384E6BE">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02" w:type="dxa"/>
            <w:vAlign w:val="center"/>
          </w:tcPr>
          <w:p w14:paraId="46A9ADF4">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项目验收合格率</w:t>
            </w:r>
          </w:p>
          <w:p w14:paraId="1ADD0FE1">
            <w:pPr>
              <w:pStyle w:val="4"/>
            </w:pPr>
          </w:p>
        </w:tc>
        <w:tc>
          <w:tcPr>
            <w:tcW w:w="1210" w:type="dxa"/>
            <w:vAlign w:val="center"/>
          </w:tcPr>
          <w:p w14:paraId="3AD6CE86">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_GB2312" w:hAnsi="宋体" w:eastAsia="仿宋_GB2312" w:cs="宋体"/>
                <w:color w:val="000000"/>
                <w:kern w:val="0"/>
                <w:szCs w:val="21"/>
              </w:rPr>
              <w:t>95%</w:t>
            </w:r>
          </w:p>
        </w:tc>
        <w:tc>
          <w:tcPr>
            <w:tcW w:w="1330" w:type="dxa"/>
            <w:vAlign w:val="center"/>
          </w:tcPr>
          <w:p w14:paraId="550F146B">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_GB2312" w:hAnsi="宋体" w:eastAsia="仿宋_GB2312" w:cs="宋体"/>
                <w:color w:val="000000"/>
                <w:kern w:val="0"/>
                <w:szCs w:val="21"/>
              </w:rPr>
              <w:t>100%</w:t>
            </w:r>
          </w:p>
        </w:tc>
        <w:tc>
          <w:tcPr>
            <w:tcW w:w="710" w:type="dxa"/>
            <w:vAlign w:val="center"/>
          </w:tcPr>
          <w:p w14:paraId="04655A54">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60" w:type="dxa"/>
            <w:vAlign w:val="center"/>
          </w:tcPr>
          <w:p w14:paraId="175A18DF">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66" w:type="dxa"/>
            <w:vAlign w:val="center"/>
          </w:tcPr>
          <w:p w14:paraId="0CBE43CE">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24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815784D">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300BC666">
            <w:pPr>
              <w:widowControl/>
              <w:spacing w:line="280" w:lineRule="exact"/>
              <w:jc w:val="left"/>
              <w:rPr>
                <w:rFonts w:ascii="仿宋" w:hAnsi="仿宋" w:eastAsia="仿宋" w:cs="仿宋"/>
                <w:color w:val="000000"/>
                <w:kern w:val="0"/>
                <w:sz w:val="20"/>
                <w:szCs w:val="20"/>
              </w:rPr>
            </w:pPr>
          </w:p>
        </w:tc>
        <w:tc>
          <w:tcPr>
            <w:tcW w:w="1080" w:type="dxa"/>
            <w:vAlign w:val="center"/>
          </w:tcPr>
          <w:p w14:paraId="27AD474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02" w:type="dxa"/>
            <w:vAlign w:val="center"/>
          </w:tcPr>
          <w:p w14:paraId="1BECC232">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10" w:type="dxa"/>
            <w:vAlign w:val="center"/>
          </w:tcPr>
          <w:p w14:paraId="1971C737">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2023年12月之前完成</w:t>
            </w:r>
          </w:p>
        </w:tc>
        <w:tc>
          <w:tcPr>
            <w:tcW w:w="1330" w:type="dxa"/>
            <w:vAlign w:val="center"/>
          </w:tcPr>
          <w:p w14:paraId="5E36159A">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2023年12月之前完成</w:t>
            </w:r>
          </w:p>
        </w:tc>
        <w:tc>
          <w:tcPr>
            <w:tcW w:w="710" w:type="dxa"/>
            <w:vAlign w:val="center"/>
          </w:tcPr>
          <w:p w14:paraId="4F055AB4">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60" w:type="dxa"/>
            <w:vAlign w:val="center"/>
          </w:tcPr>
          <w:p w14:paraId="61E28741">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66" w:type="dxa"/>
            <w:vAlign w:val="center"/>
          </w:tcPr>
          <w:p w14:paraId="56879C0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C0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F8AABAF">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249FE063">
            <w:pPr>
              <w:widowControl/>
              <w:spacing w:line="280" w:lineRule="exact"/>
              <w:jc w:val="left"/>
              <w:rPr>
                <w:rFonts w:ascii="仿宋" w:hAnsi="仿宋" w:eastAsia="仿宋" w:cs="仿宋"/>
                <w:color w:val="000000"/>
                <w:kern w:val="0"/>
                <w:sz w:val="20"/>
                <w:szCs w:val="20"/>
              </w:rPr>
            </w:pPr>
          </w:p>
        </w:tc>
        <w:tc>
          <w:tcPr>
            <w:tcW w:w="1080" w:type="dxa"/>
            <w:vMerge w:val="restart"/>
            <w:vAlign w:val="center"/>
          </w:tcPr>
          <w:p w14:paraId="546DD28E">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202" w:type="dxa"/>
            <w:vAlign w:val="center"/>
          </w:tcPr>
          <w:p w14:paraId="37BB218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10" w:type="dxa"/>
            <w:vAlign w:val="center"/>
          </w:tcPr>
          <w:p w14:paraId="2FE68668">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≤25万</w:t>
            </w:r>
          </w:p>
        </w:tc>
        <w:tc>
          <w:tcPr>
            <w:tcW w:w="1330" w:type="dxa"/>
            <w:vAlign w:val="center"/>
          </w:tcPr>
          <w:p w14:paraId="66EDAA2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25</w:t>
            </w:r>
            <w:r>
              <w:rPr>
                <w:rFonts w:hint="eastAsia" w:ascii="仿宋" w:hAnsi="仿宋" w:eastAsia="仿宋" w:cs="仿宋"/>
                <w:color w:val="000000"/>
                <w:kern w:val="0"/>
                <w:sz w:val="20"/>
                <w:szCs w:val="20"/>
              </w:rPr>
              <w:t>万</w:t>
            </w:r>
          </w:p>
        </w:tc>
        <w:tc>
          <w:tcPr>
            <w:tcW w:w="710" w:type="dxa"/>
            <w:vAlign w:val="center"/>
          </w:tcPr>
          <w:p w14:paraId="2C742B1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60" w:type="dxa"/>
            <w:vAlign w:val="center"/>
          </w:tcPr>
          <w:p w14:paraId="49EFE5A4">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66" w:type="dxa"/>
            <w:vAlign w:val="center"/>
          </w:tcPr>
          <w:p w14:paraId="06BA77A2">
            <w:pPr>
              <w:widowControl/>
              <w:spacing w:line="280" w:lineRule="exact"/>
              <w:rPr>
                <w:rFonts w:ascii="仿宋" w:hAnsi="仿宋" w:eastAsia="仿宋" w:cs="仿宋"/>
                <w:color w:val="000000"/>
                <w:kern w:val="0"/>
                <w:sz w:val="20"/>
                <w:szCs w:val="20"/>
              </w:rPr>
            </w:pPr>
          </w:p>
        </w:tc>
      </w:tr>
      <w:tr w14:paraId="34FE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85CFEC0">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5CA4AC5C">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2C2D875F">
            <w:pPr>
              <w:widowControl/>
              <w:spacing w:line="280" w:lineRule="exact"/>
              <w:jc w:val="left"/>
              <w:rPr>
                <w:rFonts w:ascii="仿宋" w:hAnsi="仿宋" w:eastAsia="仿宋" w:cs="仿宋"/>
                <w:color w:val="000000"/>
                <w:kern w:val="0"/>
                <w:sz w:val="20"/>
                <w:szCs w:val="20"/>
              </w:rPr>
            </w:pPr>
          </w:p>
        </w:tc>
        <w:tc>
          <w:tcPr>
            <w:tcW w:w="1202" w:type="dxa"/>
            <w:vAlign w:val="center"/>
          </w:tcPr>
          <w:p w14:paraId="19BE97E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10" w:type="dxa"/>
            <w:vAlign w:val="center"/>
          </w:tcPr>
          <w:p w14:paraId="318BAACB">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≥0</w:t>
            </w:r>
          </w:p>
        </w:tc>
        <w:tc>
          <w:tcPr>
            <w:tcW w:w="1330" w:type="dxa"/>
            <w:vAlign w:val="center"/>
          </w:tcPr>
          <w:p w14:paraId="262CC521">
            <w:pPr>
              <w:widowControl/>
              <w:spacing w:line="280" w:lineRule="exact"/>
              <w:jc w:val="center"/>
              <w:rPr>
                <w:rFonts w:hint="eastAsia" w:ascii="仿宋" w:hAnsi="仿宋" w:eastAsia="仿宋" w:cs="仿宋"/>
                <w:color w:val="000000"/>
                <w:kern w:val="0"/>
                <w:sz w:val="20"/>
                <w:szCs w:val="20"/>
                <w:lang w:eastAsia="zh-CN"/>
              </w:rPr>
            </w:pPr>
            <w:r>
              <w:rPr>
                <w:rFonts w:hint="eastAsia" w:ascii="仿宋_GB2312" w:hAnsi="宋体" w:eastAsia="仿宋_GB2312" w:cs="宋体"/>
                <w:color w:val="000000"/>
                <w:kern w:val="0"/>
                <w:szCs w:val="21"/>
                <w:lang w:val="en-US" w:eastAsia="zh-CN"/>
              </w:rPr>
              <w:t>0</w:t>
            </w:r>
          </w:p>
        </w:tc>
        <w:tc>
          <w:tcPr>
            <w:tcW w:w="710" w:type="dxa"/>
            <w:vAlign w:val="center"/>
          </w:tcPr>
          <w:p w14:paraId="69B02EE4">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60" w:type="dxa"/>
            <w:vAlign w:val="center"/>
          </w:tcPr>
          <w:p w14:paraId="129737FB">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66" w:type="dxa"/>
            <w:vAlign w:val="center"/>
          </w:tcPr>
          <w:p w14:paraId="7085F65A">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EC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5E4142D">
            <w:pPr>
              <w:widowControl/>
              <w:spacing w:line="280" w:lineRule="exact"/>
              <w:jc w:val="left"/>
              <w:rPr>
                <w:rFonts w:ascii="仿宋" w:hAnsi="仿宋" w:eastAsia="仿宋" w:cs="仿宋"/>
                <w:color w:val="000000"/>
                <w:kern w:val="0"/>
                <w:sz w:val="20"/>
                <w:szCs w:val="20"/>
              </w:rPr>
            </w:pPr>
          </w:p>
        </w:tc>
        <w:tc>
          <w:tcPr>
            <w:tcW w:w="1080" w:type="dxa"/>
            <w:vMerge w:val="restart"/>
            <w:vAlign w:val="center"/>
          </w:tcPr>
          <w:p w14:paraId="3312F9B3">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2970073">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7F22418B">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8A8C321">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2" w:type="dxa"/>
            <w:vAlign w:val="center"/>
          </w:tcPr>
          <w:p w14:paraId="2A20EE4C">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发挥专项资金效益</w:t>
            </w:r>
          </w:p>
          <w:p w14:paraId="3A6591CA">
            <w:pPr>
              <w:pStyle w:val="4"/>
            </w:pPr>
          </w:p>
        </w:tc>
        <w:tc>
          <w:tcPr>
            <w:tcW w:w="1210" w:type="dxa"/>
            <w:vAlign w:val="center"/>
          </w:tcPr>
          <w:p w14:paraId="480A4E0C">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330" w:type="dxa"/>
            <w:vAlign w:val="center"/>
          </w:tcPr>
          <w:p w14:paraId="2079774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10" w:type="dxa"/>
            <w:vAlign w:val="center"/>
          </w:tcPr>
          <w:p w14:paraId="686BB469">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860" w:type="dxa"/>
            <w:vAlign w:val="center"/>
          </w:tcPr>
          <w:p w14:paraId="0A3EECC8">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4</w:t>
            </w:r>
          </w:p>
        </w:tc>
        <w:tc>
          <w:tcPr>
            <w:tcW w:w="1366" w:type="dxa"/>
            <w:vAlign w:val="center"/>
          </w:tcPr>
          <w:p w14:paraId="2C3EF0F8">
            <w:pPr>
              <w:widowControl/>
              <w:spacing w:line="280" w:lineRule="exact"/>
              <w:rPr>
                <w:rFonts w:ascii="仿宋" w:hAnsi="仿宋" w:eastAsia="仿宋" w:cs="仿宋"/>
                <w:color w:val="000000"/>
                <w:kern w:val="0"/>
                <w:sz w:val="20"/>
                <w:szCs w:val="20"/>
              </w:rPr>
            </w:pPr>
            <w:r>
              <w:rPr>
                <w:rFonts w:hint="eastAsia" w:ascii="仿宋" w:hAnsi="仿宋" w:eastAsia="仿宋" w:cs="仿宋"/>
                <w:color w:val="000000"/>
                <w:kern w:val="0"/>
                <w:sz w:val="20"/>
                <w:szCs w:val="20"/>
              </w:rPr>
              <w:t>加大资金投入，提质改造社区教育项目。</w:t>
            </w:r>
          </w:p>
        </w:tc>
      </w:tr>
      <w:tr w14:paraId="03E2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BF7C62A">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7D42DCAD">
            <w:pPr>
              <w:widowControl/>
              <w:spacing w:line="280" w:lineRule="exact"/>
              <w:jc w:val="left"/>
              <w:rPr>
                <w:rFonts w:ascii="仿宋" w:hAnsi="仿宋" w:eastAsia="仿宋" w:cs="仿宋"/>
                <w:color w:val="000000"/>
                <w:kern w:val="0"/>
                <w:sz w:val="20"/>
                <w:szCs w:val="20"/>
              </w:rPr>
            </w:pPr>
          </w:p>
        </w:tc>
        <w:tc>
          <w:tcPr>
            <w:tcW w:w="1080" w:type="dxa"/>
            <w:vAlign w:val="center"/>
          </w:tcPr>
          <w:p w14:paraId="7733FEC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238EEB7">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2" w:type="dxa"/>
            <w:vAlign w:val="center"/>
          </w:tcPr>
          <w:p w14:paraId="77B3B5D8">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Cs w:val="21"/>
              </w:rPr>
              <w:t>推进终身教育和学习型社会建设</w:t>
            </w:r>
          </w:p>
        </w:tc>
        <w:tc>
          <w:tcPr>
            <w:tcW w:w="1210" w:type="dxa"/>
            <w:vAlign w:val="center"/>
          </w:tcPr>
          <w:p w14:paraId="6BF340D1">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不断推进</w:t>
            </w:r>
          </w:p>
        </w:tc>
        <w:tc>
          <w:tcPr>
            <w:tcW w:w="1330" w:type="dxa"/>
            <w:vAlign w:val="center"/>
          </w:tcPr>
          <w:p w14:paraId="7A20B994">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加大辐射度</w:t>
            </w:r>
          </w:p>
        </w:tc>
        <w:tc>
          <w:tcPr>
            <w:tcW w:w="710" w:type="dxa"/>
            <w:vAlign w:val="center"/>
          </w:tcPr>
          <w:p w14:paraId="58E5F23E">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60" w:type="dxa"/>
            <w:vAlign w:val="center"/>
          </w:tcPr>
          <w:p w14:paraId="44B06448">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8</w:t>
            </w:r>
          </w:p>
        </w:tc>
        <w:tc>
          <w:tcPr>
            <w:tcW w:w="1366" w:type="dxa"/>
            <w:vAlign w:val="center"/>
          </w:tcPr>
          <w:p w14:paraId="1C2614D7">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建立四级社区教育体系，加强联系。</w:t>
            </w:r>
          </w:p>
        </w:tc>
      </w:tr>
      <w:tr w14:paraId="5DE5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818CE42">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5F231F29">
            <w:pPr>
              <w:widowControl/>
              <w:spacing w:line="280" w:lineRule="exact"/>
              <w:jc w:val="left"/>
              <w:rPr>
                <w:rFonts w:ascii="仿宋" w:hAnsi="仿宋" w:eastAsia="仿宋" w:cs="仿宋"/>
                <w:color w:val="000000"/>
                <w:kern w:val="0"/>
                <w:sz w:val="20"/>
                <w:szCs w:val="20"/>
              </w:rPr>
            </w:pPr>
          </w:p>
        </w:tc>
        <w:tc>
          <w:tcPr>
            <w:tcW w:w="1080" w:type="dxa"/>
            <w:vAlign w:val="center"/>
          </w:tcPr>
          <w:p w14:paraId="4710BEF0">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75D102D">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2" w:type="dxa"/>
            <w:vAlign w:val="center"/>
          </w:tcPr>
          <w:p w14:paraId="38C381C8">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Cs w:val="21"/>
              </w:rPr>
              <w:t>资源节约与循环利用</w:t>
            </w:r>
          </w:p>
        </w:tc>
        <w:tc>
          <w:tcPr>
            <w:tcW w:w="1210" w:type="dxa"/>
            <w:vAlign w:val="center"/>
          </w:tcPr>
          <w:p w14:paraId="3D02973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专款专用</w:t>
            </w:r>
          </w:p>
        </w:tc>
        <w:tc>
          <w:tcPr>
            <w:tcW w:w="1330" w:type="dxa"/>
            <w:vAlign w:val="center"/>
          </w:tcPr>
          <w:p w14:paraId="1B26E2D8">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无结余、占用</w:t>
            </w:r>
          </w:p>
        </w:tc>
        <w:tc>
          <w:tcPr>
            <w:tcW w:w="710" w:type="dxa"/>
            <w:vAlign w:val="center"/>
          </w:tcPr>
          <w:p w14:paraId="76645E9B">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860" w:type="dxa"/>
            <w:vAlign w:val="center"/>
          </w:tcPr>
          <w:p w14:paraId="64586CC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1366" w:type="dxa"/>
            <w:vAlign w:val="center"/>
          </w:tcPr>
          <w:p w14:paraId="20047C68">
            <w:pPr>
              <w:widowControl/>
              <w:spacing w:line="280" w:lineRule="exact"/>
              <w:jc w:val="left"/>
              <w:rPr>
                <w:rFonts w:ascii="仿宋" w:hAnsi="仿宋" w:eastAsia="仿宋" w:cs="仿宋"/>
                <w:color w:val="000000"/>
                <w:kern w:val="0"/>
                <w:sz w:val="20"/>
                <w:szCs w:val="20"/>
              </w:rPr>
            </w:pPr>
          </w:p>
        </w:tc>
      </w:tr>
      <w:tr w14:paraId="5CFD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8CCF96C">
            <w:pPr>
              <w:widowControl/>
              <w:spacing w:line="280" w:lineRule="exact"/>
              <w:jc w:val="center"/>
              <w:rPr>
                <w:rFonts w:ascii="仿宋" w:hAnsi="仿宋" w:eastAsia="仿宋" w:cs="仿宋"/>
                <w:color w:val="000000"/>
                <w:kern w:val="0"/>
                <w:sz w:val="20"/>
                <w:szCs w:val="20"/>
              </w:rPr>
            </w:pPr>
          </w:p>
        </w:tc>
        <w:tc>
          <w:tcPr>
            <w:tcW w:w="1080" w:type="dxa"/>
            <w:vMerge w:val="continue"/>
            <w:vAlign w:val="center"/>
          </w:tcPr>
          <w:p w14:paraId="79A2E879">
            <w:pPr>
              <w:widowControl/>
              <w:spacing w:line="280" w:lineRule="exact"/>
              <w:jc w:val="left"/>
              <w:rPr>
                <w:rFonts w:ascii="仿宋" w:hAnsi="仿宋" w:eastAsia="仿宋" w:cs="仿宋"/>
                <w:color w:val="000000"/>
                <w:kern w:val="0"/>
                <w:sz w:val="20"/>
                <w:szCs w:val="20"/>
              </w:rPr>
            </w:pPr>
          </w:p>
        </w:tc>
        <w:tc>
          <w:tcPr>
            <w:tcW w:w="1080" w:type="dxa"/>
            <w:vAlign w:val="center"/>
          </w:tcPr>
          <w:p w14:paraId="6A40E33F">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02" w:type="dxa"/>
            <w:vAlign w:val="center"/>
          </w:tcPr>
          <w:p w14:paraId="40484FDF">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终身教育品牌项目</w:t>
            </w:r>
          </w:p>
        </w:tc>
        <w:tc>
          <w:tcPr>
            <w:tcW w:w="1210" w:type="dxa"/>
            <w:vAlign w:val="center"/>
          </w:tcPr>
          <w:p w14:paraId="64432B0D">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创建品牌</w:t>
            </w:r>
          </w:p>
        </w:tc>
        <w:tc>
          <w:tcPr>
            <w:tcW w:w="1330" w:type="dxa"/>
            <w:vAlign w:val="center"/>
          </w:tcPr>
          <w:p w14:paraId="2FD7DAB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2个终身品牌项目</w:t>
            </w:r>
          </w:p>
        </w:tc>
        <w:tc>
          <w:tcPr>
            <w:tcW w:w="710" w:type="dxa"/>
            <w:vAlign w:val="center"/>
          </w:tcPr>
          <w:p w14:paraId="07E8C81E">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60" w:type="dxa"/>
            <w:vAlign w:val="center"/>
          </w:tcPr>
          <w:p w14:paraId="56176587">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66" w:type="dxa"/>
            <w:vAlign w:val="center"/>
          </w:tcPr>
          <w:p w14:paraId="28869BC3">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BB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3976EC3">
            <w:pPr>
              <w:widowControl/>
              <w:spacing w:line="280" w:lineRule="exact"/>
              <w:jc w:val="left"/>
              <w:rPr>
                <w:rFonts w:ascii="仿宋" w:hAnsi="仿宋" w:eastAsia="仿宋" w:cs="仿宋"/>
                <w:color w:val="000000"/>
                <w:kern w:val="0"/>
                <w:sz w:val="20"/>
                <w:szCs w:val="20"/>
              </w:rPr>
            </w:pPr>
          </w:p>
        </w:tc>
        <w:tc>
          <w:tcPr>
            <w:tcW w:w="1080" w:type="dxa"/>
            <w:vMerge w:val="restart"/>
            <w:vAlign w:val="center"/>
          </w:tcPr>
          <w:p w14:paraId="0E47CEA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7B3D47A">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2A20C77">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Merge w:val="restart"/>
            <w:vAlign w:val="center"/>
          </w:tcPr>
          <w:p w14:paraId="0010CAEE">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02" w:type="dxa"/>
            <w:vAlign w:val="center"/>
          </w:tcPr>
          <w:p w14:paraId="17386B67">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18"/>
                <w:szCs w:val="18"/>
                <w:shd w:val="clear" w:color="auto" w:fill="FFFFFF"/>
                <w:lang w:bidi="ar"/>
              </w:rPr>
              <w:t>居民对项目的知晓率高</w:t>
            </w:r>
          </w:p>
        </w:tc>
        <w:tc>
          <w:tcPr>
            <w:tcW w:w="1210" w:type="dxa"/>
            <w:vAlign w:val="center"/>
          </w:tcPr>
          <w:p w14:paraId="2BA7EE8D">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知晓率高</w:t>
            </w:r>
          </w:p>
        </w:tc>
        <w:tc>
          <w:tcPr>
            <w:tcW w:w="1330" w:type="dxa"/>
            <w:vAlign w:val="center"/>
          </w:tcPr>
          <w:p w14:paraId="1592F951">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优秀</w:t>
            </w:r>
          </w:p>
        </w:tc>
        <w:tc>
          <w:tcPr>
            <w:tcW w:w="710" w:type="dxa"/>
            <w:vAlign w:val="center"/>
          </w:tcPr>
          <w:p w14:paraId="0ECA9F8D">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860" w:type="dxa"/>
            <w:vAlign w:val="center"/>
          </w:tcPr>
          <w:p w14:paraId="2A9EA4C5">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4</w:t>
            </w:r>
          </w:p>
        </w:tc>
        <w:tc>
          <w:tcPr>
            <w:tcW w:w="1366" w:type="dxa"/>
            <w:vAlign w:val="center"/>
          </w:tcPr>
          <w:p w14:paraId="0859EE0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建立四级社区教育体系，加强联系。</w:t>
            </w:r>
          </w:p>
        </w:tc>
      </w:tr>
      <w:tr w14:paraId="00EE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DCFC256">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449CEF02">
            <w:pPr>
              <w:widowControl/>
              <w:spacing w:line="280" w:lineRule="exact"/>
              <w:jc w:val="left"/>
              <w:rPr>
                <w:rFonts w:ascii="仿宋" w:hAnsi="仿宋" w:eastAsia="仿宋" w:cs="仿宋"/>
                <w:color w:val="000000"/>
                <w:kern w:val="0"/>
                <w:sz w:val="20"/>
                <w:szCs w:val="20"/>
              </w:rPr>
            </w:pPr>
          </w:p>
        </w:tc>
        <w:tc>
          <w:tcPr>
            <w:tcW w:w="1080" w:type="dxa"/>
            <w:vMerge w:val="continue"/>
            <w:vAlign w:val="center"/>
          </w:tcPr>
          <w:p w14:paraId="7598804C">
            <w:pPr>
              <w:widowControl/>
              <w:spacing w:line="280" w:lineRule="exact"/>
              <w:jc w:val="left"/>
              <w:rPr>
                <w:rFonts w:ascii="仿宋" w:hAnsi="仿宋" w:eastAsia="仿宋" w:cs="仿宋"/>
                <w:color w:val="000000"/>
                <w:kern w:val="0"/>
                <w:sz w:val="20"/>
                <w:szCs w:val="20"/>
              </w:rPr>
            </w:pPr>
          </w:p>
        </w:tc>
        <w:tc>
          <w:tcPr>
            <w:tcW w:w="1202" w:type="dxa"/>
            <w:vAlign w:val="center"/>
          </w:tcPr>
          <w:p w14:paraId="1C3AC9F6">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18"/>
                <w:szCs w:val="18"/>
                <w:shd w:val="clear" w:color="auto" w:fill="FFFFFF"/>
                <w:lang w:bidi="ar"/>
              </w:rPr>
              <w:t>居民满意度高</w:t>
            </w:r>
          </w:p>
        </w:tc>
        <w:tc>
          <w:tcPr>
            <w:tcW w:w="1210" w:type="dxa"/>
            <w:vAlign w:val="center"/>
          </w:tcPr>
          <w:p w14:paraId="02D187A4">
            <w:pPr>
              <w:widowControl/>
              <w:spacing w:line="280" w:lineRule="exact"/>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shd w:val="clear" w:color="auto" w:fill="FFFFFF"/>
                <w:lang w:bidi="ar"/>
              </w:rPr>
              <w:t>≥90%</w:t>
            </w:r>
          </w:p>
        </w:tc>
        <w:tc>
          <w:tcPr>
            <w:tcW w:w="1330" w:type="dxa"/>
            <w:vAlign w:val="center"/>
          </w:tcPr>
          <w:p w14:paraId="429F72A8">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优秀</w:t>
            </w:r>
          </w:p>
        </w:tc>
        <w:tc>
          <w:tcPr>
            <w:tcW w:w="710" w:type="dxa"/>
            <w:vAlign w:val="center"/>
          </w:tcPr>
          <w:p w14:paraId="7E19A5C0">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860" w:type="dxa"/>
            <w:vAlign w:val="center"/>
          </w:tcPr>
          <w:p w14:paraId="32C6D38E">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1366" w:type="dxa"/>
            <w:vAlign w:val="center"/>
          </w:tcPr>
          <w:p w14:paraId="1765097F">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AD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82" w:type="dxa"/>
            <w:gridSpan w:val="6"/>
            <w:vAlign w:val="center"/>
          </w:tcPr>
          <w:p w14:paraId="57161119">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10" w:type="dxa"/>
            <w:vAlign w:val="center"/>
          </w:tcPr>
          <w:p w14:paraId="410BFF58">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60" w:type="dxa"/>
            <w:vAlign w:val="center"/>
          </w:tcPr>
          <w:p w14:paraId="093D5F13">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96</w:t>
            </w:r>
          </w:p>
        </w:tc>
        <w:tc>
          <w:tcPr>
            <w:tcW w:w="1366" w:type="dxa"/>
            <w:vAlign w:val="center"/>
          </w:tcPr>
          <w:p w14:paraId="00B4449E">
            <w:pPr>
              <w:widowControl/>
              <w:spacing w:line="2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20DEFBB">
      <w:pPr>
        <w:spacing w:line="600" w:lineRule="exact"/>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lang w:val="en-US" w:eastAsia="zh-CN"/>
        </w:rPr>
        <w:t xml:space="preserve">    </w:t>
      </w:r>
      <w:r>
        <w:rPr>
          <w:rFonts w:hint="eastAsia" w:ascii="Times New Roman" w:hAnsi="Times New Roman" w:eastAsia="仿宋_GB2312" w:cs="Times New Roman"/>
          <w:color w:val="000000"/>
          <w:kern w:val="0"/>
          <w:sz w:val="24"/>
        </w:rPr>
        <w:t xml:space="preserve">     </w:t>
      </w:r>
      <w:r>
        <w:rPr>
          <w:rFonts w:hint="eastAsia" w:ascii="Times New Roman" w:hAnsi="Times New Roman" w:eastAsia="仿宋_GB2312" w:cs="Times New Roman"/>
          <w:color w:val="000000"/>
          <w:kern w:val="0"/>
          <w:sz w:val="24"/>
          <w:lang w:val="en-US" w:eastAsia="zh-CN"/>
        </w:rPr>
        <w:t xml:space="preserve">  </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2024年</w:t>
      </w:r>
      <w:r>
        <w:rPr>
          <w:rFonts w:hint="eastAsia" w:ascii="Times New Roman" w:hAnsi="Times New Roman" w:eastAsia="仿宋_GB2312" w:cs="Times New Roman"/>
          <w:color w:val="000000"/>
          <w:kern w:val="0"/>
          <w:sz w:val="24"/>
          <w:lang w:val="en-US" w:eastAsia="zh-CN"/>
        </w:rPr>
        <w:t>6</w:t>
      </w:r>
      <w:r>
        <w:rPr>
          <w:rFonts w:hint="eastAsia" w:ascii="Times New Roman" w:hAnsi="Times New Roman" w:eastAsia="仿宋_GB2312" w:cs="Times New Roman"/>
          <w:color w:val="000000"/>
          <w:kern w:val="0"/>
          <w:sz w:val="24"/>
        </w:rPr>
        <w:t xml:space="preserve">月        </w:t>
      </w:r>
      <w:r>
        <w:rPr>
          <w:rFonts w:ascii="Times New Roman" w:hAnsi="Times New Roman" w:eastAsia="仿宋_GB2312" w:cs="Times New Roman"/>
          <w:color w:val="000000"/>
          <w:kern w:val="0"/>
          <w:sz w:val="24"/>
        </w:rPr>
        <w:t xml:space="preserve">  联系电话：</w:t>
      </w:r>
      <w:r>
        <w:rPr>
          <w:rFonts w:hint="eastAsia" w:ascii="Times New Roman" w:hAnsi="Times New Roman" w:eastAsia="仿宋_GB2312" w:cs="Times New Roman"/>
          <w:color w:val="000000"/>
          <w:kern w:val="0"/>
          <w:sz w:val="24"/>
        </w:rPr>
        <w:t>18607459533</w:t>
      </w:r>
    </w:p>
    <w:p w14:paraId="3BA30794">
      <w:pPr>
        <w:spacing w:line="600" w:lineRule="exact"/>
      </w:pPr>
      <w:r>
        <w:rPr>
          <w:rFonts w:hint="eastAsia" w:ascii="Times New Roman" w:hAnsi="Times New Roman" w:eastAsia="仿宋_GB2312" w:cs="Times New Roman"/>
          <w:color w:val="000000"/>
          <w:kern w:val="0"/>
          <w:sz w:val="24"/>
        </w:rPr>
        <w:t xml:space="preserve"> </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2B273B-B455-44E3-8C01-5BA7CF0D9F9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2" w:fontKey="{41FD9213-711A-43AC-A8B8-86BEEDC1F5C7}"/>
  </w:font>
  <w:font w:name="仿宋">
    <w:panose1 w:val="02010609060101010101"/>
    <w:charset w:val="86"/>
    <w:family w:val="modern"/>
    <w:pitch w:val="default"/>
    <w:sig w:usb0="800002BF" w:usb1="38CF7CFA" w:usb2="00000016" w:usb3="00000000" w:csb0="00040001" w:csb1="00000000"/>
    <w:embedRegular r:id="rId3" w:fontKey="{DD50B409-831D-45CB-A5C0-92DD8183A386}"/>
  </w:font>
  <w:font w:name="仿宋_GB2312">
    <w:panose1 w:val="02010609030101010101"/>
    <w:charset w:val="86"/>
    <w:family w:val="auto"/>
    <w:pitch w:val="default"/>
    <w:sig w:usb0="00000001" w:usb1="080E0000" w:usb2="00000000" w:usb3="00000000" w:csb0="00040000" w:csb1="00000000"/>
    <w:embedRegular r:id="rId4" w:fontKey="{EE817E9D-A376-4FE1-B8DA-9A218CD439AC}"/>
  </w:font>
  <w:font w:name="华文中宋">
    <w:panose1 w:val="02010600040101010101"/>
    <w:charset w:val="86"/>
    <w:family w:val="auto"/>
    <w:pitch w:val="default"/>
    <w:sig w:usb0="00000287" w:usb1="080F0000" w:usb2="00000000" w:usb3="00000000" w:csb0="0004009F" w:csb1="DFD70000"/>
    <w:embedRegular r:id="rId5" w:fontKey="{08210F71-7B94-456E-A947-80368CD27AA8}"/>
  </w:font>
  <w:font w:name="方正小标宋简体">
    <w:panose1 w:val="03000509000000000000"/>
    <w:charset w:val="86"/>
    <w:family w:val="auto"/>
    <w:pitch w:val="default"/>
    <w:sig w:usb0="00000001" w:usb1="080E0000" w:usb2="00000000" w:usb3="00000000" w:csb0="00040000" w:csb1="00000000"/>
    <w:embedRegular r:id="rId6" w:fontKey="{50FE8319-18D1-4217-A9B4-BAE0C2E1D4E3}"/>
  </w:font>
  <w:font w:name="楷体">
    <w:panose1 w:val="02010609060101010101"/>
    <w:charset w:val="86"/>
    <w:family w:val="modern"/>
    <w:pitch w:val="default"/>
    <w:sig w:usb0="800002BF" w:usb1="38CF7CFA" w:usb2="00000016" w:usb3="00000000" w:csb0="00040001" w:csb1="00000000"/>
    <w:embedRegular r:id="rId7" w:fontKey="{520BE22F-FBE8-4B0B-ACAE-9AB8E1E00784}"/>
  </w:font>
  <w:font w:name="微软雅黑">
    <w:panose1 w:val="020B0503020204020204"/>
    <w:charset w:val="86"/>
    <w:family w:val="swiss"/>
    <w:pitch w:val="default"/>
    <w:sig w:usb0="80000287" w:usb1="280F3C52" w:usb2="00000016" w:usb3="00000000" w:csb0="0004001F" w:csb1="00000000"/>
    <w:embedRegular r:id="rId8" w:fontKey="{0B06F644-9468-4271-BF15-E466887C3558}"/>
  </w:font>
  <w:font w:name="___WRD_EMBED_SUB_42">
    <w:altName w:val="宋体"/>
    <w:panose1 w:val="00000000000000000000"/>
    <w:charset w:val="86"/>
    <w:family w:val="auto"/>
    <w:pitch w:val="default"/>
    <w:sig w:usb0="00000000" w:usb1="00000000" w:usb2="00000010" w:usb3="00000000" w:csb0="00040000" w:csb1="00000000"/>
    <w:embedRegular r:id="rId9" w:fontKey="{63DE52EF-F551-4CFD-A9F9-B5FFF2403F16}"/>
  </w:font>
  <w:font w:name="___WRD_EMBED_SUB_41">
    <w:altName w:val="宋体"/>
    <w:panose1 w:val="00000000000000000000"/>
    <w:charset w:val="86"/>
    <w:family w:val="auto"/>
    <w:pitch w:val="default"/>
    <w:sig w:usb0="00000000" w:usb1="00000000" w:usb2="00000000" w:usb3="00000000" w:csb0="00040000" w:csb1="00000000"/>
    <w:embedRegular r:id="rId10" w:fontKey="{E9089380-D2A1-4CDA-A4A8-B67A0ED834A8}"/>
  </w:font>
  <w:font w:name="方正小标宋_GBK">
    <w:panose1 w:val="03000509000000000000"/>
    <w:charset w:val="86"/>
    <w:family w:val="auto"/>
    <w:pitch w:val="default"/>
    <w:sig w:usb0="00000001" w:usb1="080E0000" w:usb2="00000000" w:usb3="00000000" w:csb0="00040000" w:csb1="00000000"/>
    <w:embedRegular r:id="rId11" w:fontKey="{3321AEF8-1E97-4CE7-A234-12A395826E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356933"/>
      <w:docPartObj>
        <w:docPartGallery w:val="autotext"/>
      </w:docPartObj>
    </w:sdtPr>
    <w:sdtContent>
      <w:p w14:paraId="555C9D13">
        <w:pPr>
          <w:pStyle w:val="4"/>
          <w:jc w:val="center"/>
        </w:pPr>
        <w:r>
          <w:fldChar w:fldCharType="begin"/>
        </w:r>
        <w:r>
          <w:instrText xml:space="preserve">PAGE   \* MERGEFORMAT</w:instrText>
        </w:r>
        <w:r>
          <w:fldChar w:fldCharType="separate"/>
        </w:r>
        <w:r>
          <w:rPr>
            <w:lang w:val="zh-CN"/>
          </w:rPr>
          <w:t>1</w:t>
        </w:r>
        <w:r>
          <w:fldChar w:fldCharType="end"/>
        </w:r>
      </w:p>
    </w:sdtContent>
  </w:sdt>
  <w:p w14:paraId="421F6284">
    <w:pPr>
      <w:pStyle w:val="4"/>
    </w:pPr>
  </w:p>
  <w:p w14:paraId="66930F22"/>
  <w:p w14:paraId="06BA8DB3"/>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NjRiOGVjNGQ4OGM0YzEzYzQ1MWZkNTM4MWNiNmEifQ=="/>
    <w:docVar w:name="KSO_WPS_MARK_KEY" w:val="9920a277-c0c3-43b4-93d3-1636fe398e0b"/>
  </w:docVars>
  <w:rsids>
    <w:rsidRoot w:val="753C4E9B"/>
    <w:rsid w:val="000555A5"/>
    <w:rsid w:val="00080D03"/>
    <w:rsid w:val="000B16E3"/>
    <w:rsid w:val="0013552D"/>
    <w:rsid w:val="00140E7E"/>
    <w:rsid w:val="002124DA"/>
    <w:rsid w:val="00236104"/>
    <w:rsid w:val="002716DE"/>
    <w:rsid w:val="00296CEE"/>
    <w:rsid w:val="0031031C"/>
    <w:rsid w:val="00336F90"/>
    <w:rsid w:val="003A18BB"/>
    <w:rsid w:val="003B2F93"/>
    <w:rsid w:val="00466774"/>
    <w:rsid w:val="004B0810"/>
    <w:rsid w:val="00535798"/>
    <w:rsid w:val="00571744"/>
    <w:rsid w:val="005D165B"/>
    <w:rsid w:val="006D1A09"/>
    <w:rsid w:val="006F0719"/>
    <w:rsid w:val="007221B1"/>
    <w:rsid w:val="007A6813"/>
    <w:rsid w:val="0096429A"/>
    <w:rsid w:val="00991ADF"/>
    <w:rsid w:val="009B5670"/>
    <w:rsid w:val="009C1350"/>
    <w:rsid w:val="00A159EC"/>
    <w:rsid w:val="00AA5DAF"/>
    <w:rsid w:val="00AD2111"/>
    <w:rsid w:val="00B04951"/>
    <w:rsid w:val="00B71B34"/>
    <w:rsid w:val="00BC3DC2"/>
    <w:rsid w:val="00BD3D49"/>
    <w:rsid w:val="00C62CAD"/>
    <w:rsid w:val="00C9050A"/>
    <w:rsid w:val="00CB07C5"/>
    <w:rsid w:val="00D36789"/>
    <w:rsid w:val="00D523DF"/>
    <w:rsid w:val="00DD1FFC"/>
    <w:rsid w:val="00E37337"/>
    <w:rsid w:val="00F10137"/>
    <w:rsid w:val="00FB6653"/>
    <w:rsid w:val="01687703"/>
    <w:rsid w:val="02E84657"/>
    <w:rsid w:val="049F343C"/>
    <w:rsid w:val="052A53FB"/>
    <w:rsid w:val="057E74F5"/>
    <w:rsid w:val="058663AA"/>
    <w:rsid w:val="05B44CC5"/>
    <w:rsid w:val="05BD626F"/>
    <w:rsid w:val="05E95AA6"/>
    <w:rsid w:val="05FE4192"/>
    <w:rsid w:val="06840B3B"/>
    <w:rsid w:val="06BC55A9"/>
    <w:rsid w:val="06C4362D"/>
    <w:rsid w:val="07DB29DD"/>
    <w:rsid w:val="08155C5D"/>
    <w:rsid w:val="08607F89"/>
    <w:rsid w:val="08EB6C4F"/>
    <w:rsid w:val="08F85810"/>
    <w:rsid w:val="09E10052"/>
    <w:rsid w:val="0A5D3B7D"/>
    <w:rsid w:val="0ADF0A36"/>
    <w:rsid w:val="0B154457"/>
    <w:rsid w:val="0B552AA6"/>
    <w:rsid w:val="0BE856C8"/>
    <w:rsid w:val="0C180A78"/>
    <w:rsid w:val="0C2F1549"/>
    <w:rsid w:val="0C4843B9"/>
    <w:rsid w:val="0CF956B3"/>
    <w:rsid w:val="0D276746"/>
    <w:rsid w:val="0D464D9C"/>
    <w:rsid w:val="0D5D20E6"/>
    <w:rsid w:val="0DD52794"/>
    <w:rsid w:val="0E4868F2"/>
    <w:rsid w:val="0E956870"/>
    <w:rsid w:val="0F696B20"/>
    <w:rsid w:val="0F9B0CA3"/>
    <w:rsid w:val="0FB104C7"/>
    <w:rsid w:val="10C666A5"/>
    <w:rsid w:val="11DC7A7D"/>
    <w:rsid w:val="1223366A"/>
    <w:rsid w:val="123C49C0"/>
    <w:rsid w:val="12535865"/>
    <w:rsid w:val="127557DC"/>
    <w:rsid w:val="12BE324D"/>
    <w:rsid w:val="13372294"/>
    <w:rsid w:val="143877FD"/>
    <w:rsid w:val="147C72F5"/>
    <w:rsid w:val="14F41582"/>
    <w:rsid w:val="1537146E"/>
    <w:rsid w:val="156404B5"/>
    <w:rsid w:val="15AE1730"/>
    <w:rsid w:val="15BE749A"/>
    <w:rsid w:val="17620A24"/>
    <w:rsid w:val="17E56F60"/>
    <w:rsid w:val="183C74C7"/>
    <w:rsid w:val="186C16FD"/>
    <w:rsid w:val="19002914"/>
    <w:rsid w:val="197467ED"/>
    <w:rsid w:val="19E805B2"/>
    <w:rsid w:val="1AC13CB4"/>
    <w:rsid w:val="1C9D605B"/>
    <w:rsid w:val="1E6908EA"/>
    <w:rsid w:val="1F8044D8"/>
    <w:rsid w:val="20994D8B"/>
    <w:rsid w:val="20FD531A"/>
    <w:rsid w:val="2149055F"/>
    <w:rsid w:val="22347461"/>
    <w:rsid w:val="227B6E3E"/>
    <w:rsid w:val="22FE234B"/>
    <w:rsid w:val="233D40F4"/>
    <w:rsid w:val="2425540A"/>
    <w:rsid w:val="242B6642"/>
    <w:rsid w:val="24482D50"/>
    <w:rsid w:val="24A361D8"/>
    <w:rsid w:val="24FC2691"/>
    <w:rsid w:val="265F25D3"/>
    <w:rsid w:val="267918E7"/>
    <w:rsid w:val="26EE4083"/>
    <w:rsid w:val="277E6F02"/>
    <w:rsid w:val="283A50A6"/>
    <w:rsid w:val="28E53263"/>
    <w:rsid w:val="29565F0F"/>
    <w:rsid w:val="295B1778"/>
    <w:rsid w:val="29990575"/>
    <w:rsid w:val="2A2B2EF8"/>
    <w:rsid w:val="2A621B15"/>
    <w:rsid w:val="2A7228D5"/>
    <w:rsid w:val="2AF6742D"/>
    <w:rsid w:val="2BEC66B7"/>
    <w:rsid w:val="2E833798"/>
    <w:rsid w:val="2F350375"/>
    <w:rsid w:val="2FF65D56"/>
    <w:rsid w:val="30C47C02"/>
    <w:rsid w:val="312A2265"/>
    <w:rsid w:val="31413001"/>
    <w:rsid w:val="326F1DF0"/>
    <w:rsid w:val="336D27D3"/>
    <w:rsid w:val="33AF6948"/>
    <w:rsid w:val="34B47F8E"/>
    <w:rsid w:val="35026F4B"/>
    <w:rsid w:val="35571045"/>
    <w:rsid w:val="35EF127D"/>
    <w:rsid w:val="36637EBD"/>
    <w:rsid w:val="36BE50F4"/>
    <w:rsid w:val="36DD1A1E"/>
    <w:rsid w:val="36FC0F5D"/>
    <w:rsid w:val="372C4753"/>
    <w:rsid w:val="375773F8"/>
    <w:rsid w:val="37EB1F18"/>
    <w:rsid w:val="38107BD1"/>
    <w:rsid w:val="393E32BB"/>
    <w:rsid w:val="395064D7"/>
    <w:rsid w:val="39D23390"/>
    <w:rsid w:val="3A8E5AE1"/>
    <w:rsid w:val="3A9E14C4"/>
    <w:rsid w:val="3ACC4283"/>
    <w:rsid w:val="3BF84C04"/>
    <w:rsid w:val="3C3245BA"/>
    <w:rsid w:val="3CCE5878"/>
    <w:rsid w:val="3D6E1622"/>
    <w:rsid w:val="3D840E45"/>
    <w:rsid w:val="3DA43295"/>
    <w:rsid w:val="3EF22EB7"/>
    <w:rsid w:val="3F330309"/>
    <w:rsid w:val="3F8A67CD"/>
    <w:rsid w:val="419B2857"/>
    <w:rsid w:val="41AB79BE"/>
    <w:rsid w:val="41CA6176"/>
    <w:rsid w:val="41D71DA8"/>
    <w:rsid w:val="41D81760"/>
    <w:rsid w:val="41F93484"/>
    <w:rsid w:val="4416031D"/>
    <w:rsid w:val="44654E01"/>
    <w:rsid w:val="447F5EC2"/>
    <w:rsid w:val="45101210"/>
    <w:rsid w:val="45352A25"/>
    <w:rsid w:val="45637592"/>
    <w:rsid w:val="45CF69D6"/>
    <w:rsid w:val="46560EA5"/>
    <w:rsid w:val="469043B7"/>
    <w:rsid w:val="46A544DF"/>
    <w:rsid w:val="46AE6F33"/>
    <w:rsid w:val="46DA3884"/>
    <w:rsid w:val="47571378"/>
    <w:rsid w:val="47D76015"/>
    <w:rsid w:val="486F4DA5"/>
    <w:rsid w:val="4A6A4F1F"/>
    <w:rsid w:val="4C6611ED"/>
    <w:rsid w:val="4D265A75"/>
    <w:rsid w:val="4DDE1EAC"/>
    <w:rsid w:val="4E0812A4"/>
    <w:rsid w:val="4E6879C7"/>
    <w:rsid w:val="4FC7696F"/>
    <w:rsid w:val="4FF05EC6"/>
    <w:rsid w:val="505D4BDC"/>
    <w:rsid w:val="51580123"/>
    <w:rsid w:val="518A4708"/>
    <w:rsid w:val="52F67C97"/>
    <w:rsid w:val="53D61877"/>
    <w:rsid w:val="54455B1E"/>
    <w:rsid w:val="5483555B"/>
    <w:rsid w:val="54E51D72"/>
    <w:rsid w:val="552A0475"/>
    <w:rsid w:val="556E7FB9"/>
    <w:rsid w:val="55BB2AD2"/>
    <w:rsid w:val="56701B0F"/>
    <w:rsid w:val="570D1A54"/>
    <w:rsid w:val="578D10CB"/>
    <w:rsid w:val="58C93758"/>
    <w:rsid w:val="590A624B"/>
    <w:rsid w:val="59796F2C"/>
    <w:rsid w:val="5A5915AC"/>
    <w:rsid w:val="5AA61AE4"/>
    <w:rsid w:val="5ABA5A4E"/>
    <w:rsid w:val="5ADA39FB"/>
    <w:rsid w:val="5AEB5C08"/>
    <w:rsid w:val="5B6218B9"/>
    <w:rsid w:val="5B8D4F11"/>
    <w:rsid w:val="5C337866"/>
    <w:rsid w:val="5CDD77D2"/>
    <w:rsid w:val="5D50269A"/>
    <w:rsid w:val="5F84662B"/>
    <w:rsid w:val="5FAB292D"/>
    <w:rsid w:val="5FE377F5"/>
    <w:rsid w:val="606721D5"/>
    <w:rsid w:val="6131633F"/>
    <w:rsid w:val="616E7593"/>
    <w:rsid w:val="619F774C"/>
    <w:rsid w:val="61CB0541"/>
    <w:rsid w:val="637F3391"/>
    <w:rsid w:val="648844C8"/>
    <w:rsid w:val="656C3DE9"/>
    <w:rsid w:val="6885769C"/>
    <w:rsid w:val="6A12486A"/>
    <w:rsid w:val="6AEF34F2"/>
    <w:rsid w:val="6BEC7A32"/>
    <w:rsid w:val="6C164AAF"/>
    <w:rsid w:val="6C2216A6"/>
    <w:rsid w:val="6C400DED"/>
    <w:rsid w:val="6C97174C"/>
    <w:rsid w:val="6DB63E53"/>
    <w:rsid w:val="6DF42BCE"/>
    <w:rsid w:val="6E445903"/>
    <w:rsid w:val="6ED22F0F"/>
    <w:rsid w:val="6F2179F2"/>
    <w:rsid w:val="6FDD600F"/>
    <w:rsid w:val="6FF13869"/>
    <w:rsid w:val="71092E34"/>
    <w:rsid w:val="71E60A7F"/>
    <w:rsid w:val="727270BC"/>
    <w:rsid w:val="72F378F8"/>
    <w:rsid w:val="73E01CD1"/>
    <w:rsid w:val="74EE0377"/>
    <w:rsid w:val="753C4E9B"/>
    <w:rsid w:val="75510906"/>
    <w:rsid w:val="75BF6453"/>
    <w:rsid w:val="75C43917"/>
    <w:rsid w:val="77E45A61"/>
    <w:rsid w:val="781113A7"/>
    <w:rsid w:val="791E6510"/>
    <w:rsid w:val="7A083C89"/>
    <w:rsid w:val="7A8A28F0"/>
    <w:rsid w:val="7B95154C"/>
    <w:rsid w:val="7BA479A7"/>
    <w:rsid w:val="7BBF481B"/>
    <w:rsid w:val="7BE40713"/>
    <w:rsid w:val="7C1D7794"/>
    <w:rsid w:val="7C8D4A41"/>
    <w:rsid w:val="7D32101D"/>
    <w:rsid w:val="7D782ED3"/>
    <w:rsid w:val="7DED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autoRedefine/>
    <w:unhideWhenUsed/>
    <w:qFormat/>
    <w:uiPriority w:val="0"/>
    <w:pPr>
      <w:ind w:firstLine="640" w:firstLineChars="200"/>
    </w:pPr>
    <w:rPr>
      <w:sz w:val="32"/>
    </w:rPr>
  </w:style>
  <w:style w:type="paragraph" w:styleId="4">
    <w:name w:val="footer"/>
    <w:basedOn w:val="1"/>
    <w:next w:val="1"/>
    <w:link w:val="14"/>
    <w:autoRedefine/>
    <w:qFormat/>
    <w:uiPriority w:val="99"/>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0"/>
    <w:pPr>
      <w:spacing w:beforeAutospacing="1" w:afterAutospacing="1"/>
      <w:jc w:val="left"/>
    </w:pPr>
    <w:rPr>
      <w:rFonts w:cs="Times New Roman"/>
      <w:kern w:val="0"/>
      <w:sz w:val="24"/>
    </w:rPr>
  </w:style>
  <w:style w:type="paragraph" w:styleId="7">
    <w:name w:val="Body Text First Indent 2"/>
    <w:basedOn w:val="3"/>
    <w:autoRedefine/>
    <w:unhideWhenUsed/>
    <w:qFormat/>
    <w:uiPriority w:val="99"/>
    <w:pPr>
      <w:ind w:firstLine="420"/>
    </w:pPr>
  </w:style>
  <w:style w:type="character" w:styleId="10">
    <w:name w:val="Strong"/>
    <w:basedOn w:val="9"/>
    <w:qFormat/>
    <w:uiPriority w:val="0"/>
    <w:rPr>
      <w:b/>
    </w:r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styleId="13">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14">
    <w:name w:val="页脚 字符"/>
    <w:basedOn w:val="9"/>
    <w:link w:val="4"/>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27195-4020-4D51-9FBE-1101514D9F59}">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28</Pages>
  <Words>11657</Words>
  <Characters>12249</Characters>
  <Lines>95</Lines>
  <Paragraphs>26</Paragraphs>
  <TotalTime>11</TotalTime>
  <ScaleCrop>false</ScaleCrop>
  <LinksUpToDate>false</LinksUpToDate>
  <CharactersWithSpaces>12598</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Administrator</cp:lastModifiedBy>
  <cp:lastPrinted>2024-08-15T02:50:00Z</cp:lastPrinted>
  <dcterms:modified xsi:type="dcterms:W3CDTF">2024-09-09T09:34:02Z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BC58FC7E008E4C0BA69AA136BDD31E9E_13</vt:lpwstr>
  </property>
</Properties>
</file>