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ind w:firstLine="960" w:firstLineChars="200"/>
        <w:jc w:val="center"/>
        <w:rPr>
          <w:rFonts w:hAnsi="黑体"/>
          <w:bCs/>
          <w:color w:val="auto"/>
          <w:sz w:val="48"/>
          <w:szCs w:val="48"/>
        </w:rPr>
      </w:pPr>
      <w:r>
        <w:rPr>
          <w:rFonts w:hint="eastAsia" w:hAnsi="黑体"/>
          <w:bCs/>
          <w:color w:val="auto"/>
          <w:sz w:val="48"/>
          <w:szCs w:val="48"/>
        </w:rPr>
        <w:t>2021年度怀化日报社边城晚报部门决算</w:t>
      </w:r>
    </w:p>
    <w:p>
      <w:pPr>
        <w:pStyle w:val="13"/>
        <w:jc w:val="center"/>
        <w:rPr>
          <w:color w:val="auto"/>
          <w:sz w:val="56"/>
          <w:szCs w:val="56"/>
        </w:rPr>
      </w:pPr>
    </w:p>
    <w:p>
      <w:pPr>
        <w:pStyle w:val="13"/>
        <w:spacing w:line="600" w:lineRule="exact"/>
        <w:ind w:firstLine="640" w:firstLineChars="200"/>
        <w:jc w:val="center"/>
        <w:rPr>
          <w:rFonts w:hint="eastAsia" w:ascii="Times New Roman" w:hAnsi="Times New Roman" w:cs="Times New Roman"/>
          <w:bCs/>
          <w:color w:val="auto"/>
          <w:sz w:val="32"/>
          <w:szCs w:val="32"/>
        </w:rPr>
      </w:pPr>
      <w:r>
        <w:rPr>
          <w:rFonts w:hint="eastAsia" w:ascii="Times New Roman" w:hAnsi="Times New Roman" w:cs="Times New Roman"/>
          <w:bCs/>
          <w:color w:val="auto"/>
          <w:sz w:val="32"/>
          <w:szCs w:val="32"/>
        </w:rPr>
        <w:t>目录</w:t>
      </w:r>
    </w:p>
    <w:p>
      <w:pPr>
        <w:pStyle w:val="13"/>
        <w:spacing w:line="600" w:lineRule="exact"/>
        <w:ind w:firstLine="640" w:firstLineChars="200"/>
        <w:jc w:val="center"/>
        <w:rPr>
          <w:rFonts w:hint="eastAsia" w:ascii="Times New Roman" w:hAnsi="Times New Roman" w:cs="Times New Roman"/>
          <w:bCs/>
          <w:color w:val="auto"/>
          <w:sz w:val="32"/>
          <w:szCs w:val="32"/>
        </w:rPr>
      </w:pPr>
    </w:p>
    <w:p>
      <w:pPr>
        <w:pStyle w:val="13"/>
        <w:spacing w:line="600" w:lineRule="exact"/>
        <w:ind w:firstLine="640" w:firstLineChars="200"/>
        <w:rPr>
          <w:rFonts w:ascii="仿宋_GB2312" w:hAnsi="仿宋_GB2312" w:cs="仿宋_GB2312"/>
          <w:b/>
          <w:color w:val="auto"/>
          <w:sz w:val="28"/>
          <w:szCs w:val="28"/>
        </w:rPr>
      </w:pPr>
      <w:r>
        <w:rPr>
          <w:rFonts w:hint="eastAsia" w:ascii="Times New Roman" w:hAnsi="Times New Roman" w:cs="Times New Roman"/>
          <w:b/>
          <w:bCs/>
          <w:color w:val="auto"/>
          <w:sz w:val="32"/>
          <w:szCs w:val="32"/>
        </w:rPr>
        <w:t>第一部分怀化日报社概况</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一、部门职责</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二、机构设置</w:t>
      </w:r>
    </w:p>
    <w:p>
      <w:pPr>
        <w:pStyle w:val="13"/>
        <w:spacing w:line="600" w:lineRule="exact"/>
        <w:ind w:firstLine="640" w:firstLineChars="200"/>
        <w:rPr>
          <w:rFonts w:ascii="仿宋_GB2312" w:hAnsi="仿宋_GB2312" w:cs="仿宋_GB2312"/>
          <w:b/>
          <w:color w:val="auto"/>
          <w:sz w:val="28"/>
          <w:szCs w:val="28"/>
        </w:rPr>
      </w:pPr>
      <w:r>
        <w:rPr>
          <w:rFonts w:hint="eastAsia" w:ascii="Times New Roman" w:hAnsi="Times New Roman" w:cs="Times New Roman"/>
          <w:b/>
          <w:bCs/>
          <w:color w:val="auto"/>
          <w:sz w:val="32"/>
          <w:szCs w:val="32"/>
        </w:rPr>
        <w:t>第二部分</w:t>
      </w:r>
      <w:r>
        <w:rPr>
          <w:rFonts w:ascii="Times New Roman" w:hAnsi="Times New Roman" w:cs="Times New Roman"/>
          <w:b/>
          <w:bCs/>
          <w:color w:val="auto"/>
          <w:sz w:val="32"/>
          <w:szCs w:val="32"/>
        </w:rPr>
        <w:t>20</w:t>
      </w:r>
      <w:r>
        <w:rPr>
          <w:rFonts w:hint="eastAsia" w:ascii="Times New Roman" w:hAnsi="Times New Roman" w:cs="Times New Roman"/>
          <w:b/>
          <w:bCs/>
          <w:color w:val="auto"/>
          <w:sz w:val="32"/>
          <w:szCs w:val="32"/>
        </w:rPr>
        <w:t>21年度部门决算表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一、收入支出决算总表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二、收入决算表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三、支出决算表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四、财政拨款收入支出决算总表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五、一般公共预算财政拨款支出决算表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六、一般公共预算财政拨款基本支出决算</w:t>
      </w:r>
      <w:r>
        <w:rPr>
          <w:rFonts w:hint="eastAsia" w:ascii="仿宋" w:hAnsi="仿宋" w:eastAsia="仿宋" w:cs="仿宋_GB2312"/>
          <w:color w:val="auto"/>
          <w:sz w:val="32"/>
          <w:szCs w:val="32"/>
        </w:rPr>
        <w:t>明细</w:t>
      </w:r>
      <w:r>
        <w:rPr>
          <w:rFonts w:ascii="仿宋" w:hAnsi="仿宋" w:eastAsia="仿宋" w:cs="仿宋_GB2312"/>
          <w:color w:val="auto"/>
          <w:sz w:val="32"/>
          <w:szCs w:val="32"/>
        </w:rPr>
        <w:t>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七、一般公共预算财政拨款“三公”经费支出决算表</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八、政府性基金预算财政拨款收入支出决算表</w:t>
      </w:r>
    </w:p>
    <w:p>
      <w:pPr>
        <w:pStyle w:val="13"/>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九、国有资本经营预算财政拨款支出决算表</w:t>
      </w:r>
    </w:p>
    <w:p>
      <w:pPr>
        <w:pStyle w:val="13"/>
        <w:spacing w:line="600" w:lineRule="exact"/>
        <w:ind w:firstLine="560" w:firstLineChars="200"/>
        <w:rPr>
          <w:rFonts w:ascii="仿宋_GB2312" w:hAnsi="仿宋_GB2312" w:cs="仿宋_GB2312"/>
          <w:b/>
          <w:color w:val="auto"/>
          <w:sz w:val="28"/>
          <w:szCs w:val="28"/>
        </w:rPr>
      </w:pPr>
      <w:r>
        <w:rPr>
          <w:rFonts w:hint="eastAsia" w:hAnsi="仿宋_GB2312"/>
          <w:b/>
          <w:color w:val="auto"/>
          <w:sz w:val="28"/>
          <w:szCs w:val="28"/>
        </w:rPr>
        <w:t>第三部分</w:t>
      </w:r>
      <w:r>
        <w:rPr>
          <w:rFonts w:hAnsi="仿宋_GB2312"/>
          <w:b/>
          <w:color w:val="auto"/>
          <w:sz w:val="28"/>
          <w:szCs w:val="28"/>
        </w:rPr>
        <w:t>20</w:t>
      </w:r>
      <w:r>
        <w:rPr>
          <w:rFonts w:hint="eastAsia" w:hAnsi="仿宋_GB2312"/>
          <w:b/>
          <w:color w:val="auto"/>
          <w:sz w:val="28"/>
          <w:szCs w:val="28"/>
        </w:rPr>
        <w:t>21年度部门决算情况说明</w:t>
      </w:r>
    </w:p>
    <w:p>
      <w:pPr>
        <w:pStyle w:val="13"/>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一、收入支出决算总体情况说明</w:t>
      </w:r>
    </w:p>
    <w:p>
      <w:pPr>
        <w:spacing w:line="60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二、收入决算情况说明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三、支出决算情况说明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四、财政拨款收入支出决算总体情况说明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五、一般公共预算财政拨款支出决算情况说明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六、一般公共预算财政拨款基本支出决算情况说明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七、一般公共预算财政拨款</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三公</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经费支出决算情况说明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八</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rPr>
        <w:t>政府性基金预算收入支出决算情况</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九、国有资本经营预算财政拨款支出决算情况说明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十、关于机关运行经费支出说明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十一、一般性支出情况说明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十二、关于政府采购支出说明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十三、关于国有资产占用情况说明</w:t>
      </w:r>
    </w:p>
    <w:p>
      <w:pPr>
        <w:autoSpaceDE w:val="0"/>
        <w:autoSpaceDN w:val="0"/>
        <w:adjustRightInd w:val="0"/>
        <w:spacing w:line="600" w:lineRule="exact"/>
        <w:ind w:firstLine="640" w:firstLineChars="200"/>
        <w:jc w:val="left"/>
        <w:rPr>
          <w:rFonts w:ascii="仿宋_GB2312" w:hAnsi="仿宋_GB2312" w:cs="仿宋_GB2312"/>
          <w:color w:val="auto"/>
          <w:sz w:val="28"/>
          <w:szCs w:val="28"/>
        </w:rPr>
      </w:pPr>
      <w:r>
        <w:rPr>
          <w:rFonts w:hint="eastAsia" w:ascii="仿宋" w:hAnsi="仿宋" w:eastAsia="仿宋" w:cs="仿宋_GB2312"/>
          <w:color w:val="auto"/>
          <w:kern w:val="0"/>
          <w:sz w:val="32"/>
          <w:szCs w:val="32"/>
        </w:rPr>
        <w:t>十四、关于2021年度预算绩效情况的说明</w:t>
      </w:r>
    </w:p>
    <w:p>
      <w:pPr>
        <w:autoSpaceDE w:val="0"/>
        <w:autoSpaceDN w:val="0"/>
        <w:adjustRightInd w:val="0"/>
        <w:spacing w:line="600" w:lineRule="exact"/>
        <w:ind w:firstLine="640" w:firstLineChars="200"/>
        <w:jc w:val="left"/>
        <w:rPr>
          <w:rFonts w:ascii="黑体" w:hAnsi="黑体" w:eastAsia="黑体" w:cs="黑体"/>
          <w:b/>
          <w:color w:val="auto"/>
          <w:kern w:val="0"/>
          <w:sz w:val="32"/>
          <w:szCs w:val="32"/>
        </w:rPr>
      </w:pPr>
      <w:r>
        <w:rPr>
          <w:rFonts w:ascii="黑体" w:hAnsi="黑体" w:eastAsia="黑体" w:cs="黑体"/>
          <w:b/>
          <w:color w:val="auto"/>
          <w:kern w:val="0"/>
          <w:sz w:val="32"/>
          <w:szCs w:val="32"/>
        </w:rPr>
        <w:t>第四部分名词解释</w:t>
      </w:r>
    </w:p>
    <w:p>
      <w:pPr>
        <w:autoSpaceDE w:val="0"/>
        <w:autoSpaceDN w:val="0"/>
        <w:adjustRightInd w:val="0"/>
        <w:spacing w:line="600" w:lineRule="exact"/>
        <w:ind w:firstLine="640" w:firstLineChars="200"/>
        <w:jc w:val="left"/>
        <w:rPr>
          <w:rFonts w:ascii="黑体" w:hAnsi="黑体" w:eastAsia="黑体" w:cs="仿宋_GB2312"/>
          <w:b/>
          <w:color w:val="auto"/>
          <w:kern w:val="0"/>
          <w:sz w:val="28"/>
          <w:szCs w:val="28"/>
        </w:rPr>
      </w:pPr>
      <w:r>
        <w:rPr>
          <w:rFonts w:hint="eastAsia" w:ascii="黑体" w:hAnsi="黑体" w:eastAsia="黑体" w:cs="黑体"/>
          <w:b/>
          <w:color w:val="auto"/>
          <w:kern w:val="0"/>
          <w:sz w:val="32"/>
          <w:szCs w:val="32"/>
        </w:rPr>
        <w:t>第五部分附件</w:t>
      </w:r>
    </w:p>
    <w:p>
      <w:pPr>
        <w:jc w:val="center"/>
        <w:rPr>
          <w:color w:val="auto"/>
          <w:sz w:val="72"/>
          <w:szCs w:val="72"/>
        </w:rPr>
      </w:pPr>
    </w:p>
    <w:p>
      <w:pPr>
        <w:jc w:val="center"/>
        <w:rPr>
          <w:color w:val="auto"/>
          <w:sz w:val="72"/>
          <w:szCs w:val="72"/>
        </w:rPr>
      </w:pPr>
    </w:p>
    <w:p>
      <w:pPr>
        <w:pStyle w:val="13"/>
        <w:ind w:firstLine="880" w:firstLineChars="200"/>
        <w:jc w:val="center"/>
        <w:rPr>
          <w:rFonts w:hAnsi="黑体"/>
          <w:b/>
          <w:color w:val="auto"/>
          <w:sz w:val="44"/>
          <w:szCs w:val="44"/>
        </w:rPr>
      </w:pPr>
      <w:r>
        <w:rPr>
          <w:rFonts w:hint="eastAsia" w:hAnsi="黑体"/>
          <w:b/>
          <w:color w:val="auto"/>
          <w:sz w:val="44"/>
          <w:szCs w:val="44"/>
        </w:rPr>
        <w:t>第一部分</w:t>
      </w:r>
      <w:r>
        <w:rPr>
          <w:rFonts w:hAnsi="黑体"/>
          <w:b/>
          <w:color w:val="auto"/>
          <w:sz w:val="44"/>
          <w:szCs w:val="44"/>
        </w:rPr>
        <w:t xml:space="preserve"> </w:t>
      </w:r>
      <w:r>
        <w:rPr>
          <w:rFonts w:hint="eastAsia" w:hAnsi="黑体"/>
          <w:b/>
          <w:color w:val="auto"/>
          <w:sz w:val="44"/>
          <w:szCs w:val="44"/>
        </w:rPr>
        <w:t>怀化日报社边城晚报概况</w:t>
      </w:r>
    </w:p>
    <w:p>
      <w:pPr>
        <w:pStyle w:val="13"/>
        <w:jc w:val="center"/>
        <w:rPr>
          <w:rFonts w:hAnsi="黑体"/>
          <w:b/>
          <w:color w:val="auto"/>
          <w:sz w:val="44"/>
          <w:szCs w:val="44"/>
        </w:rPr>
      </w:pPr>
    </w:p>
    <w:p>
      <w:pPr>
        <w:pStyle w:val="14"/>
        <w:numPr>
          <w:ilvl w:val="0"/>
          <w:numId w:val="1"/>
        </w:numPr>
        <w:spacing w:line="600" w:lineRule="exact"/>
        <w:ind w:firstLine="640" w:firstLineChars="200"/>
        <w:jc w:val="left"/>
        <w:rPr>
          <w:rFonts w:ascii="黑体" w:hAnsi="黑体" w:eastAsia="黑体" w:cs="黑体"/>
          <w:bCs/>
          <w:color w:val="auto"/>
          <w:kern w:val="0"/>
          <w:sz w:val="32"/>
          <w:szCs w:val="32"/>
        </w:rPr>
      </w:pPr>
      <w:r>
        <w:rPr>
          <w:rFonts w:ascii="黑体" w:hAnsi="黑体" w:eastAsia="黑体" w:cs="黑体"/>
          <w:bCs/>
          <w:color w:val="auto"/>
          <w:kern w:val="0"/>
          <w:sz w:val="32"/>
          <w:szCs w:val="32"/>
        </w:rPr>
        <w:t>部门职责</w:t>
      </w:r>
    </w:p>
    <w:p>
      <w:pPr>
        <w:pStyle w:val="7"/>
        <w:widowControl/>
        <w:spacing w:line="600" w:lineRule="exact"/>
        <w:ind w:firstLine="640" w:firstLineChars="200"/>
        <w:jc w:val="both"/>
        <w:rPr>
          <w:rFonts w:ascii="仿宋" w:hAnsi="仿宋" w:eastAsia="仿宋" w:cstheme="minorBidi"/>
          <w:bCs/>
          <w:color w:val="auto"/>
          <w:sz w:val="32"/>
          <w:szCs w:val="32"/>
        </w:rPr>
      </w:pPr>
      <w:bookmarkStart w:id="0" w:name="OLE_LINK4"/>
      <w:r>
        <w:rPr>
          <w:rFonts w:hint="eastAsia" w:ascii="仿宋" w:hAnsi="仿宋" w:eastAsia="仿宋" w:cstheme="minorBidi"/>
          <w:bCs/>
          <w:color w:val="auto"/>
          <w:sz w:val="32"/>
          <w:szCs w:val="32"/>
        </w:rPr>
        <w:t>《边城晚报》是怀化日报社主办的一份晚报</w:t>
      </w:r>
      <w:bookmarkEnd w:id="0"/>
      <w:r>
        <w:rPr>
          <w:rFonts w:hint="eastAsia" w:ascii="仿宋" w:hAnsi="仿宋" w:eastAsia="仿宋" w:cstheme="minorBidi"/>
          <w:bCs/>
          <w:color w:val="auto"/>
          <w:sz w:val="32"/>
          <w:szCs w:val="32"/>
        </w:rPr>
        <w:t>。报纸总体定位是围绕＂市民报纸，怀化特色＂这一办报方针，确定晚刊的目标读者群主要为怀化各县市区的市民群众。围绕中心城市服务，报道主流新闻，传播权威信息，关注民生、民情，办成</w:t>
      </w:r>
      <w:bookmarkStart w:id="1" w:name="OLE_LINK5"/>
      <w:r>
        <w:rPr>
          <w:rFonts w:hint="eastAsia" w:ascii="仿宋" w:hAnsi="仿宋" w:eastAsia="仿宋" w:cstheme="minorBidi"/>
          <w:bCs/>
          <w:color w:val="auto"/>
          <w:sz w:val="32"/>
          <w:szCs w:val="32"/>
        </w:rPr>
        <w:t>怀化的首张都市报</w:t>
      </w:r>
      <w:bookmarkEnd w:id="1"/>
      <w:r>
        <w:rPr>
          <w:rFonts w:hint="eastAsia" w:ascii="仿宋" w:hAnsi="仿宋" w:eastAsia="仿宋" w:cstheme="minorBidi"/>
          <w:bCs/>
          <w:color w:val="auto"/>
          <w:sz w:val="32"/>
          <w:szCs w:val="32"/>
        </w:rPr>
        <w:t>。以＂三贴近”为突破口，坚持正面导向，做强本地新闻，调整版面结构，突出重点亮点，创新版面形式。办报理念:权威公信，贴近本土，关注民生;肩负社会责任，提高精神文明;内容通俗化，版式现代化。宣传重点包括怀化时政新闻、市井新闻。目前，版面有封面、国內新闻、怀化时政新闻、市井新闻、言论、财经新闻、文学文化、法制新闻、广告8个版面。怀化日报社的职能职责是加强版块的综合利用，随时随地做到焦点新闻即时推送、滚动播报。</w:t>
      </w:r>
    </w:p>
    <w:p>
      <w:pPr>
        <w:spacing w:line="600" w:lineRule="exact"/>
        <w:ind w:firstLine="640" w:firstLineChars="200"/>
        <w:jc w:val="left"/>
        <w:rPr>
          <w:rFonts w:ascii="仿宋" w:hAnsi="仿宋" w:eastAsia="仿宋"/>
          <w:color w:val="auto"/>
          <w:sz w:val="32"/>
          <w:szCs w:val="32"/>
        </w:rPr>
      </w:pPr>
    </w:p>
    <w:p>
      <w:pPr>
        <w:widowControl/>
        <w:spacing w:line="600" w:lineRule="exact"/>
        <w:ind w:firstLine="640" w:firstLineChars="200"/>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二、机构设置及决算单位构成</w:t>
      </w:r>
    </w:p>
    <w:p>
      <w:pPr>
        <w:widowControl/>
        <w:spacing w:line="600" w:lineRule="exact"/>
        <w:ind w:firstLine="640" w:firstLineChars="200"/>
        <w:rPr>
          <w:rFonts w:ascii="仿宋" w:hAnsi="仿宋" w:eastAsia="仿宋"/>
          <w:bCs/>
          <w:color w:val="auto"/>
          <w:kern w:val="0"/>
          <w:sz w:val="32"/>
          <w:szCs w:val="32"/>
        </w:rPr>
      </w:pPr>
      <w:r>
        <w:rPr>
          <w:rFonts w:hint="eastAsia" w:ascii="仿宋" w:hAnsi="仿宋" w:eastAsia="仿宋" w:cs="仿宋"/>
          <w:b/>
          <w:color w:val="auto"/>
          <w:kern w:val="0"/>
          <w:sz w:val="32"/>
          <w:szCs w:val="32"/>
        </w:rPr>
        <w:t>（一）内设机构设置。</w:t>
      </w:r>
      <w:r>
        <w:rPr>
          <w:rFonts w:hint="eastAsia" w:ascii="仿宋" w:hAnsi="仿宋" w:eastAsia="仿宋"/>
          <w:bCs/>
          <w:color w:val="auto"/>
          <w:kern w:val="0"/>
          <w:sz w:val="32"/>
          <w:szCs w:val="32"/>
        </w:rPr>
        <w:t>怀化日报社边城晚报作为二级部门预算单位，内设科室为：办公室、要闻部、广告部、发行部等。</w:t>
      </w:r>
    </w:p>
    <w:p>
      <w:pPr>
        <w:pStyle w:val="7"/>
        <w:widowControl/>
        <w:spacing w:line="600" w:lineRule="exact"/>
        <w:ind w:firstLine="640" w:firstLineChars="200"/>
        <w:jc w:val="both"/>
        <w:rPr>
          <w:rFonts w:ascii="仿宋" w:hAnsi="仿宋" w:eastAsia="仿宋"/>
          <w:bCs/>
          <w:color w:val="auto"/>
          <w:sz w:val="32"/>
          <w:szCs w:val="32"/>
        </w:rPr>
      </w:pPr>
      <w:r>
        <w:rPr>
          <w:rFonts w:hint="eastAsia" w:ascii="仿宋" w:hAnsi="仿宋" w:eastAsia="仿宋" w:cs="仿宋"/>
          <w:b/>
          <w:bCs/>
          <w:color w:val="auto"/>
          <w:sz w:val="32"/>
          <w:szCs w:val="32"/>
        </w:rPr>
        <w:t>（二）决算单位构成。</w:t>
      </w:r>
      <w:r>
        <w:rPr>
          <w:rFonts w:hint="eastAsia" w:ascii="仿宋" w:hAnsi="仿宋" w:eastAsia="仿宋"/>
          <w:bCs/>
          <w:color w:val="auto"/>
          <w:sz w:val="32"/>
          <w:szCs w:val="32"/>
        </w:rPr>
        <w:t>怀化日报社边城晚报</w:t>
      </w:r>
      <w:r>
        <w:rPr>
          <w:rFonts w:ascii="仿宋" w:hAnsi="仿宋" w:eastAsia="仿宋"/>
          <w:bCs/>
          <w:color w:val="auto"/>
          <w:sz w:val="32"/>
          <w:szCs w:val="32"/>
        </w:rPr>
        <w:t>20</w:t>
      </w:r>
      <w:r>
        <w:rPr>
          <w:rFonts w:hint="eastAsia" w:ascii="仿宋" w:hAnsi="仿宋" w:eastAsia="仿宋"/>
          <w:bCs/>
          <w:color w:val="auto"/>
          <w:sz w:val="32"/>
          <w:szCs w:val="32"/>
        </w:rPr>
        <w:t>21年度部门决算公开。</w:t>
      </w:r>
    </w:p>
    <w:p>
      <w:pPr>
        <w:widowControl/>
        <w:spacing w:line="600" w:lineRule="exact"/>
        <w:ind w:firstLine="640" w:firstLineChars="200"/>
        <w:rPr>
          <w:rFonts w:ascii="仿宋" w:hAnsi="仿宋" w:eastAsia="仿宋"/>
          <w:bCs/>
          <w:color w:val="auto"/>
          <w:kern w:val="0"/>
          <w:sz w:val="32"/>
          <w:szCs w:val="32"/>
        </w:rPr>
      </w:pPr>
    </w:p>
    <w:p>
      <w:pPr>
        <w:widowControl/>
        <w:spacing w:line="600" w:lineRule="exact"/>
        <w:ind w:firstLine="640" w:firstLineChars="200"/>
        <w:rPr>
          <w:rFonts w:ascii="仿宋" w:hAnsi="仿宋" w:eastAsia="仿宋"/>
          <w:bCs/>
          <w:color w:val="auto"/>
          <w:kern w:val="0"/>
          <w:sz w:val="32"/>
          <w:szCs w:val="32"/>
        </w:rPr>
      </w:pPr>
    </w:p>
    <w:p>
      <w:pPr>
        <w:pStyle w:val="13"/>
        <w:spacing w:line="600" w:lineRule="exact"/>
        <w:ind w:firstLine="880" w:firstLineChars="200"/>
        <w:jc w:val="center"/>
        <w:rPr>
          <w:rFonts w:hAnsi="Calibri"/>
          <w:color w:val="auto"/>
          <w:sz w:val="84"/>
          <w:szCs w:val="84"/>
        </w:rPr>
      </w:pPr>
      <w:r>
        <w:rPr>
          <w:rFonts w:hint="eastAsia" w:hAnsi="黑体"/>
          <w:b/>
          <w:bCs/>
          <w:color w:val="auto"/>
          <w:sz w:val="44"/>
          <w:szCs w:val="44"/>
        </w:rPr>
        <w:t>第二部分 部门决算表</w:t>
      </w:r>
    </w:p>
    <w:p>
      <w:pPr>
        <w:pStyle w:val="13"/>
        <w:spacing w:line="600" w:lineRule="exact"/>
        <w:ind w:firstLine="640" w:firstLineChars="200"/>
        <w:jc w:val="center"/>
        <w:rPr>
          <w:rFonts w:ascii="仿宋" w:hAnsi="仿宋" w:eastAsia="仿宋"/>
          <w:color w:val="auto"/>
          <w:sz w:val="32"/>
          <w:szCs w:val="32"/>
        </w:rPr>
      </w:pPr>
      <w:r>
        <w:rPr>
          <w:rFonts w:hint="eastAsia" w:ascii="仿宋" w:hAnsi="仿宋" w:eastAsia="仿宋" w:cs="仿宋"/>
          <w:color w:val="auto"/>
          <w:sz w:val="32"/>
          <w:szCs w:val="32"/>
        </w:rPr>
        <w:t>（详情见附件）</w:t>
      </w:r>
    </w:p>
    <w:p>
      <w:pPr>
        <w:pStyle w:val="13"/>
        <w:spacing w:line="600" w:lineRule="exact"/>
        <w:ind w:firstLine="640" w:firstLineChars="200"/>
        <w:jc w:val="both"/>
        <w:rPr>
          <w:rFonts w:ascii="仿宋" w:hAnsi="仿宋" w:eastAsia="仿宋"/>
          <w:color w:val="auto"/>
          <w:sz w:val="32"/>
          <w:szCs w:val="32"/>
        </w:rPr>
      </w:pPr>
    </w:p>
    <w:p>
      <w:pPr>
        <w:pStyle w:val="13"/>
        <w:spacing w:line="600" w:lineRule="exact"/>
        <w:ind w:firstLine="640" w:firstLineChars="200"/>
        <w:jc w:val="both"/>
        <w:rPr>
          <w:rFonts w:ascii="仿宋" w:hAnsi="仿宋" w:eastAsia="仿宋"/>
          <w:color w:val="auto"/>
          <w:sz w:val="32"/>
          <w:szCs w:val="32"/>
        </w:rPr>
      </w:pPr>
    </w:p>
    <w:p>
      <w:pPr>
        <w:pStyle w:val="13"/>
        <w:spacing w:line="600" w:lineRule="exact"/>
        <w:ind w:firstLine="880" w:firstLineChars="200"/>
        <w:jc w:val="center"/>
        <w:rPr>
          <w:rFonts w:hAnsi="黑体"/>
          <w:b/>
          <w:color w:val="auto"/>
          <w:sz w:val="44"/>
          <w:szCs w:val="44"/>
        </w:rPr>
      </w:pPr>
      <w:r>
        <w:rPr>
          <w:rFonts w:hint="eastAsia" w:hAnsi="黑体"/>
          <w:b/>
          <w:color w:val="auto"/>
          <w:sz w:val="44"/>
          <w:szCs w:val="44"/>
        </w:rPr>
        <w:t>第三部分 2021年度部门决算情况说明</w:t>
      </w:r>
    </w:p>
    <w:p>
      <w:pPr>
        <w:pStyle w:val="13"/>
        <w:spacing w:line="600" w:lineRule="exact"/>
        <w:ind w:firstLine="640" w:firstLineChars="200"/>
        <w:jc w:val="center"/>
        <w:rPr>
          <w:rFonts w:ascii="仿宋" w:hAnsi="仿宋" w:eastAsia="仿宋"/>
          <w:color w:val="auto"/>
          <w:sz w:val="32"/>
          <w:szCs w:val="32"/>
        </w:rPr>
      </w:pP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一、收入支出决算总体情况说明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2021年度收、支总计各569.44万元。与上年相比，减少65.09万元，下降10.26%，主要是因为2021年受疫情影响业绩下滑。</w:t>
      </w:r>
    </w:p>
    <w:p>
      <w:pPr>
        <w:pStyle w:val="13"/>
        <w:spacing w:line="600" w:lineRule="exact"/>
        <w:ind w:firstLine="640" w:firstLineChars="200"/>
        <w:rPr>
          <w:rFonts w:hAnsi="黑体" w:cs="Times New Roman"/>
          <w:color w:val="auto"/>
          <w:sz w:val="32"/>
          <w:szCs w:val="32"/>
        </w:rPr>
      </w:pPr>
      <w:r>
        <w:rPr>
          <w:rFonts w:hint="eastAsia" w:hAnsi="黑体" w:cs="Times New Roman"/>
          <w:color w:val="auto"/>
          <w:sz w:val="32"/>
          <w:szCs w:val="32"/>
        </w:rPr>
        <w:t>二、收入决算情况说明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本年收入合计569.44万元，其中：财政拨款收入0万元，占0%；上级补助收入0万元，占0%；事业收入0万元，占0%；经营收入569.44万元，占100%；附属单位上缴收入0万元，占0%；其他收入0万元，占0%。</w:t>
      </w:r>
    </w:p>
    <w:p>
      <w:pPr>
        <w:pStyle w:val="13"/>
        <w:spacing w:line="600" w:lineRule="exact"/>
        <w:ind w:firstLine="640" w:firstLineChars="200"/>
        <w:rPr>
          <w:rFonts w:hAnsi="黑体" w:cs="Times New Roman"/>
          <w:color w:val="auto"/>
          <w:sz w:val="32"/>
          <w:szCs w:val="32"/>
        </w:rPr>
      </w:pPr>
      <w:r>
        <w:rPr>
          <w:rFonts w:hint="eastAsia" w:hAnsi="黑体" w:cs="Times New Roman"/>
          <w:color w:val="auto"/>
          <w:sz w:val="32"/>
          <w:szCs w:val="32"/>
        </w:rPr>
        <w:t>三、支出决算情况说明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本年支出合计569.44万元，其中：基本支出0万元，占0%；项目支出0万元，占0%；上缴上级支出0万元，占0%；经营支出569.44万元，占100%；对附属单位补助支出0万元，占0%。</w:t>
      </w:r>
    </w:p>
    <w:p>
      <w:pPr>
        <w:pStyle w:val="13"/>
        <w:spacing w:line="600" w:lineRule="exact"/>
        <w:ind w:firstLine="640" w:firstLineChars="200"/>
        <w:rPr>
          <w:rFonts w:ascii="仿宋" w:hAnsi="仿宋" w:eastAsia="仿宋"/>
          <w:b/>
          <w:color w:val="auto"/>
          <w:sz w:val="32"/>
          <w:szCs w:val="32"/>
        </w:rPr>
      </w:pPr>
      <w:r>
        <w:rPr>
          <w:rFonts w:hint="eastAsia" w:hAnsi="黑体" w:cs="Times New Roman"/>
          <w:color w:val="auto"/>
          <w:sz w:val="32"/>
          <w:szCs w:val="32"/>
        </w:rPr>
        <w:t>四、财政拨款收入支出决算总体情况说明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s="仿宋"/>
          <w:color w:val="auto"/>
          <w:sz w:val="32"/>
          <w:szCs w:val="32"/>
        </w:rPr>
        <w:t>2021年度财政拨款</w:t>
      </w:r>
      <w:r>
        <w:rPr>
          <w:rFonts w:hint="eastAsia" w:ascii="仿宋" w:hAnsi="仿宋" w:eastAsia="仿宋" w:cs="仿宋"/>
          <w:color w:val="auto"/>
          <w:sz w:val="32"/>
          <w:szCs w:val="32"/>
          <w:shd w:val="clear" w:color="auto" w:fill="FFFFFF"/>
        </w:rPr>
        <w:t>收、支总计各</w:t>
      </w:r>
      <w:r>
        <w:rPr>
          <w:rFonts w:hint="eastAsia" w:ascii="仿宋" w:hAnsi="仿宋" w:eastAsia="仿宋" w:cs="仿宋"/>
          <w:color w:val="auto"/>
          <w:sz w:val="32"/>
          <w:szCs w:val="32"/>
        </w:rPr>
        <w:t>0万元。与</w:t>
      </w:r>
      <w:r>
        <w:rPr>
          <w:rFonts w:hint="eastAsia" w:ascii="仿宋" w:hAnsi="仿宋" w:eastAsia="仿宋" w:cs="仿宋"/>
          <w:color w:val="auto"/>
          <w:sz w:val="32"/>
          <w:szCs w:val="32"/>
          <w:shd w:val="clear" w:color="auto" w:fill="FFFFFF"/>
        </w:rPr>
        <w:t>上一年度相比，收、支总计持平</w:t>
      </w:r>
      <w:r>
        <w:rPr>
          <w:rFonts w:hint="eastAsia" w:ascii="仿宋" w:hAnsi="仿宋" w:eastAsia="仿宋" w:cs="仿宋"/>
          <w:color w:val="auto"/>
          <w:sz w:val="32"/>
          <w:szCs w:val="32"/>
        </w:rPr>
        <w:t>，主要是因为无财政拨款。</w:t>
      </w:r>
    </w:p>
    <w:p>
      <w:pPr>
        <w:pStyle w:val="13"/>
        <w:spacing w:line="600" w:lineRule="exact"/>
        <w:ind w:firstLine="640" w:firstLineChars="200"/>
        <w:rPr>
          <w:rFonts w:hAnsi="黑体" w:cs="Times New Roman"/>
          <w:color w:val="auto"/>
          <w:sz w:val="32"/>
          <w:szCs w:val="32"/>
        </w:rPr>
      </w:pPr>
      <w:r>
        <w:rPr>
          <w:rFonts w:hint="eastAsia" w:hAnsi="黑体" w:cs="Times New Roman"/>
          <w:color w:val="auto"/>
          <w:sz w:val="32"/>
          <w:szCs w:val="32"/>
        </w:rPr>
        <w:t>五、一般公共预算财政拨款支出决算情况说明</w:t>
      </w:r>
    </w:p>
    <w:p>
      <w:pPr>
        <w:pStyle w:val="13"/>
        <w:spacing w:line="600" w:lineRule="exact"/>
        <w:ind w:firstLine="640" w:firstLineChars="200"/>
        <w:rPr>
          <w:rFonts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3"/>
        <w:spacing w:line="600" w:lineRule="exact"/>
        <w:ind w:firstLine="640" w:firstLineChars="200"/>
        <w:rPr>
          <w:rFonts w:ascii="仿宋" w:hAnsi="仿宋" w:eastAsia="仿宋" w:cs="仿宋"/>
          <w:color w:val="auto"/>
          <w:sz w:val="32"/>
          <w:szCs w:val="32"/>
        </w:rPr>
      </w:pPr>
      <w:r>
        <w:rPr>
          <w:rFonts w:hint="eastAsia" w:ascii="仿宋" w:hAnsi="仿宋" w:eastAsia="仿宋"/>
          <w:color w:val="auto"/>
          <w:sz w:val="32"/>
          <w:szCs w:val="32"/>
        </w:rPr>
        <w:t>2021年度财政拨款支出0万元，占本年支出合计的0%，与上年相比，无变动。</w:t>
      </w:r>
      <w:r>
        <w:rPr>
          <w:rFonts w:hint="eastAsia" w:ascii="仿宋" w:hAnsi="仿宋" w:eastAsia="仿宋" w:cs="仿宋"/>
          <w:color w:val="auto"/>
          <w:sz w:val="32"/>
          <w:szCs w:val="32"/>
        </w:rPr>
        <w:t>主要是因为无财政拨款。</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（二）财政拨款支出决算结构情况</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2021年度财政拨款支出0万元。</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（三）财政拨款支出决算具体情况</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2021年度财政拨款支出年初预算数为0万元，支出决算数为0万元。</w:t>
      </w:r>
    </w:p>
    <w:p>
      <w:pPr>
        <w:pStyle w:val="13"/>
        <w:spacing w:line="600" w:lineRule="exact"/>
        <w:ind w:firstLine="640" w:firstLineChars="200"/>
        <w:rPr>
          <w:rFonts w:ascii="仿宋" w:hAnsi="仿宋" w:eastAsia="仿宋"/>
          <w:b/>
          <w:color w:val="auto"/>
          <w:sz w:val="32"/>
          <w:szCs w:val="32"/>
        </w:rPr>
      </w:pPr>
      <w:r>
        <w:rPr>
          <w:rFonts w:hint="eastAsia" w:hAnsi="黑体" w:cs="Times New Roman"/>
          <w:color w:val="auto"/>
          <w:sz w:val="32"/>
          <w:szCs w:val="32"/>
        </w:rPr>
        <w:t>六、一般公共预算财政拨款基本支出决算情况说明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2021年度财政拨款基本支出0万元。</w:t>
      </w:r>
    </w:p>
    <w:p>
      <w:pPr>
        <w:pStyle w:val="13"/>
        <w:spacing w:line="600" w:lineRule="exact"/>
        <w:ind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（一）“三公”经费财政拨款支出决算总体情况说明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“三公”经费财政拨款支出预算为11.7万元，支出决算为0万元，完成预算的0%，其中：</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因公出国（境）费支出预算为0万元，支出决算为0万元，</w:t>
      </w:r>
      <w:r>
        <w:rPr>
          <w:rFonts w:hint="eastAsia" w:ascii="仿宋" w:hAnsi="仿宋" w:eastAsia="仿宋"/>
          <w:color w:val="auto"/>
          <w:sz w:val="32"/>
          <w:szCs w:val="32"/>
          <w:lang w:eastAsia="zh-CN"/>
        </w:rPr>
        <w:t>决算数</w:t>
      </w:r>
      <w:r>
        <w:rPr>
          <w:rFonts w:hint="eastAsia" w:ascii="仿宋" w:hAnsi="仿宋" w:eastAsia="仿宋"/>
          <w:color w:val="auto"/>
          <w:sz w:val="32"/>
          <w:szCs w:val="32"/>
        </w:rPr>
        <w:t>与预算</w:t>
      </w:r>
      <w:r>
        <w:rPr>
          <w:rFonts w:hint="eastAsia" w:ascii="仿宋" w:hAnsi="仿宋" w:eastAsia="仿宋"/>
          <w:color w:val="auto"/>
          <w:sz w:val="32"/>
          <w:szCs w:val="32"/>
          <w:lang w:eastAsia="zh-CN"/>
        </w:rPr>
        <w:t>数</w:t>
      </w:r>
      <w:r>
        <w:rPr>
          <w:rFonts w:hint="eastAsia" w:ascii="仿宋" w:hAnsi="仿宋" w:eastAsia="仿宋"/>
          <w:color w:val="auto"/>
          <w:sz w:val="32"/>
          <w:szCs w:val="32"/>
        </w:rPr>
        <w:t>持平，</w:t>
      </w:r>
      <w:r>
        <w:rPr>
          <w:rFonts w:hint="eastAsia" w:ascii="仿宋" w:hAnsi="仿宋" w:eastAsia="仿宋"/>
          <w:color w:val="auto"/>
          <w:sz w:val="32"/>
          <w:szCs w:val="32"/>
          <w:lang w:eastAsia="zh-CN"/>
        </w:rPr>
        <w:t>与上年数持平，</w:t>
      </w:r>
      <w:r>
        <w:rPr>
          <w:rFonts w:hint="eastAsia" w:ascii="仿宋" w:hAnsi="仿宋" w:eastAsia="仿宋"/>
          <w:color w:val="auto"/>
          <w:sz w:val="32"/>
          <w:szCs w:val="32"/>
        </w:rPr>
        <w:t>主要原因是厉行节约，减少开支。</w:t>
      </w:r>
    </w:p>
    <w:p>
      <w:pPr>
        <w:pStyle w:val="13"/>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公务接待费支出预算为</w:t>
      </w:r>
      <w:r>
        <w:rPr>
          <w:rFonts w:hint="eastAsia" w:ascii="仿宋" w:hAnsi="仿宋" w:eastAsia="仿宋"/>
          <w:color w:val="auto"/>
          <w:sz w:val="32"/>
          <w:szCs w:val="32"/>
          <w:lang w:val="en-US" w:eastAsia="zh-CN"/>
        </w:rPr>
        <w:t>0.54</w:t>
      </w:r>
      <w:r>
        <w:rPr>
          <w:rFonts w:hint="eastAsia" w:ascii="仿宋" w:hAnsi="仿宋" w:eastAsia="仿宋"/>
          <w:color w:val="auto"/>
          <w:sz w:val="32"/>
          <w:szCs w:val="32"/>
        </w:rPr>
        <w:t>万元，支出决算为0万元，</w:t>
      </w:r>
      <w:r>
        <w:rPr>
          <w:rFonts w:hint="eastAsia" w:ascii="仿宋" w:hAnsi="仿宋" w:eastAsia="仿宋"/>
          <w:color w:val="auto"/>
          <w:sz w:val="32"/>
          <w:szCs w:val="32"/>
          <w:lang w:eastAsia="zh-CN"/>
        </w:rPr>
        <w:t>完成预算的</w:t>
      </w:r>
      <w:r>
        <w:rPr>
          <w:rFonts w:hint="eastAsia" w:ascii="仿宋" w:hAnsi="仿宋" w:eastAsia="仿宋"/>
          <w:color w:val="auto"/>
          <w:sz w:val="32"/>
          <w:szCs w:val="32"/>
          <w:lang w:val="en-US" w:eastAsia="zh-CN"/>
        </w:rPr>
        <w:t>0%</w:t>
      </w:r>
      <w:r>
        <w:rPr>
          <w:rFonts w:hint="eastAsia" w:ascii="仿宋" w:hAnsi="仿宋" w:eastAsia="仿宋"/>
          <w:color w:val="auto"/>
          <w:sz w:val="32"/>
          <w:szCs w:val="32"/>
          <w:lang w:eastAsia="zh-CN"/>
        </w:rPr>
        <w:t>，决算数小于预算数的</w:t>
      </w:r>
      <w:r>
        <w:rPr>
          <w:rFonts w:hint="eastAsia" w:ascii="仿宋" w:hAnsi="仿宋" w:eastAsia="仿宋"/>
          <w:color w:val="auto"/>
          <w:sz w:val="32"/>
          <w:szCs w:val="32"/>
        </w:rPr>
        <w:t>主要原因是本年度公务接待费统一在一级单位开支。</w:t>
      </w:r>
      <w:r>
        <w:rPr>
          <w:rFonts w:hint="eastAsia" w:ascii="仿宋" w:hAnsi="仿宋" w:eastAsia="仿宋"/>
          <w:color w:val="auto"/>
          <w:sz w:val="32"/>
          <w:szCs w:val="32"/>
          <w:lang w:eastAsia="zh-CN"/>
        </w:rPr>
        <w:t>与上年数持平，主要原因是厉行节约减少开支。</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公务用车购置费及运行维护费支出预算为11.16万元，支出决算为0万元，完成预算的0%，决算数小于预算数的主要原因是本年度公务用车购置费及运行维护费支出统一在一级单位开支。</w:t>
      </w:r>
      <w:r>
        <w:rPr>
          <w:rFonts w:hint="eastAsia" w:ascii="仿宋" w:hAnsi="仿宋" w:eastAsia="仿宋"/>
          <w:color w:val="auto"/>
          <w:sz w:val="32"/>
          <w:szCs w:val="32"/>
          <w:lang w:eastAsia="zh-CN"/>
        </w:rPr>
        <w:t>与上年数持平，主要原因是厉行节约减少开支。</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（二）“三公”经费财政拨款支出决算具体情况说明</w:t>
      </w:r>
    </w:p>
    <w:p>
      <w:pPr>
        <w:pStyle w:val="7"/>
        <w:widowControl/>
        <w:shd w:val="clear" w:color="auto" w:fill="FFFFFF"/>
        <w:spacing w:before="30" w:after="3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7"/>
        <w:widowControl/>
        <w:shd w:val="clear" w:color="auto" w:fill="FFFFFF"/>
        <w:spacing w:before="30" w:after="30" w:line="600" w:lineRule="exact"/>
        <w:ind w:firstLine="640" w:firstLineChars="200"/>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1、因公出国（境）费支出决算为0万元，全年安排因公出国（境）团组0个，累计0人次。</w:t>
      </w:r>
    </w:p>
    <w:p>
      <w:pPr>
        <w:pStyle w:val="7"/>
        <w:widowControl/>
        <w:shd w:val="clear" w:color="auto" w:fill="FFFFFF"/>
        <w:spacing w:before="30" w:after="30" w:line="600" w:lineRule="exact"/>
        <w:ind w:firstLine="640" w:firstLineChars="200"/>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2、公务接待费支出决算为0万元，全年共接待来访团组0个、来宾0人次。</w:t>
      </w:r>
    </w:p>
    <w:p>
      <w:pPr>
        <w:spacing w:line="600" w:lineRule="exact"/>
        <w:ind w:firstLine="640" w:firstLineChars="200"/>
        <w:rPr>
          <w:rFonts w:ascii="仿宋" w:hAnsi="仿宋" w:eastAsia="仿宋"/>
          <w:color w:val="auto"/>
          <w:sz w:val="32"/>
          <w:szCs w:val="32"/>
        </w:rPr>
      </w:pPr>
      <w:r>
        <w:rPr>
          <w:rFonts w:hint="eastAsia" w:ascii="仿宋" w:hAnsi="仿宋" w:eastAsia="仿宋" w:cs="仿宋"/>
          <w:color w:val="auto"/>
          <w:sz w:val="32"/>
          <w:szCs w:val="32"/>
          <w:shd w:val="clear" w:color="auto" w:fill="FFFFFF"/>
        </w:rPr>
        <w:t>3、公务用车购置费及运行维护费支出决算为0万元，其中：公务用车购置费0万元，更新公务用车0辆。公务用车运行维护费0万元，截止2021年12月31日，我单位开支财政拨款的公务用车保有量为0辆。</w:t>
      </w:r>
    </w:p>
    <w:p>
      <w:pPr>
        <w:pStyle w:val="13"/>
        <w:spacing w:line="600" w:lineRule="exact"/>
        <w:ind w:firstLine="640" w:firstLineChars="200"/>
        <w:rPr>
          <w:rFonts w:hint="eastAsia" w:ascii="仿宋" w:hAnsi="仿宋" w:eastAsia="仿宋"/>
          <w:b/>
          <w:color w:val="auto"/>
          <w:sz w:val="32"/>
          <w:szCs w:val="32"/>
        </w:rPr>
      </w:pPr>
      <w:r>
        <w:rPr>
          <w:rFonts w:hint="eastAsia" w:ascii="仿宋" w:hAnsi="仿宋" w:eastAsia="仿宋"/>
          <w:b/>
          <w:color w:val="auto"/>
          <w:sz w:val="32"/>
          <w:szCs w:val="32"/>
        </w:rPr>
        <w:t>八、政府性基金预算收入支出决算情况</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2021年度本部门无政府性基金收支。</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九、国有资本经营预算财政拨款支出决算情况说明</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2021年度本单位无国有资本经营预算财政拨款支出</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十、机关运行经费支出说明</w:t>
      </w:r>
    </w:p>
    <w:p>
      <w:pPr>
        <w:spacing w:line="600" w:lineRule="exact"/>
        <w:ind w:firstLine="640" w:firstLineChars="200"/>
        <w:rPr>
          <w:rFonts w:ascii="仿宋" w:hAnsi="仿宋" w:eastAsia="仿宋" w:cs="仿宋"/>
          <w:color w:val="auto"/>
          <w:kern w:val="0"/>
          <w:sz w:val="32"/>
          <w:szCs w:val="32"/>
          <w:highlight w:val="yellow"/>
        </w:rPr>
      </w:pPr>
      <w:r>
        <w:rPr>
          <w:rFonts w:hint="eastAsia" w:ascii="仿宋" w:hAnsi="仿宋" w:eastAsia="仿宋" w:cs="仿宋"/>
          <w:color w:val="auto"/>
          <w:kern w:val="0"/>
          <w:sz w:val="32"/>
          <w:szCs w:val="32"/>
        </w:rPr>
        <w:t>本部门2021年度机关运行经费支出</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万元，比年初预算数持平，主要原因是本部门属非参公事业单位。</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十一、一般性支出情况说明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2021年度本部门无一般性支出。</w:t>
      </w:r>
    </w:p>
    <w:p>
      <w:pPr>
        <w:widowControl/>
        <w:spacing w:line="600" w:lineRule="exact"/>
        <w:ind w:firstLine="640" w:firstLineChars="200"/>
        <w:jc w:val="left"/>
        <w:rPr>
          <w:rFonts w:ascii="仿宋" w:hAnsi="仿宋" w:eastAsia="仿宋" w:cs="Times New Roman"/>
          <w:color w:val="auto"/>
          <w:sz w:val="32"/>
          <w:szCs w:val="32"/>
        </w:rPr>
      </w:pPr>
      <w:r>
        <w:rPr>
          <w:rFonts w:hint="eastAsia" w:ascii="仿宋" w:hAnsi="仿宋" w:eastAsia="仿宋" w:cs="Times New Roman"/>
          <w:color w:val="auto"/>
          <w:sz w:val="32"/>
          <w:szCs w:val="32"/>
        </w:rPr>
        <w:t>1</w:t>
      </w:r>
      <w:r>
        <w:rPr>
          <w:rFonts w:hint="eastAsia" w:ascii="仿宋" w:hAnsi="仿宋" w:eastAsia="仿宋"/>
          <w:color w:val="auto"/>
          <w:sz w:val="32"/>
          <w:szCs w:val="32"/>
        </w:rPr>
        <w:t>、</w:t>
      </w:r>
      <w:r>
        <w:rPr>
          <w:rFonts w:hint="eastAsia" w:ascii="仿宋" w:hAnsi="仿宋" w:eastAsia="仿宋" w:cs="Times New Roman"/>
          <w:color w:val="auto"/>
          <w:sz w:val="32"/>
          <w:szCs w:val="32"/>
        </w:rPr>
        <w:t>202</w:t>
      </w:r>
      <w:r>
        <w:rPr>
          <w:rFonts w:hint="eastAsia" w:ascii="仿宋" w:hAnsi="仿宋" w:eastAsia="仿宋"/>
          <w:color w:val="auto"/>
          <w:sz w:val="32"/>
          <w:szCs w:val="32"/>
        </w:rPr>
        <w:t>1</w:t>
      </w:r>
      <w:r>
        <w:rPr>
          <w:rFonts w:hint="eastAsia" w:ascii="仿宋" w:hAnsi="仿宋" w:eastAsia="仿宋" w:cs="Times New Roman"/>
          <w:color w:val="auto"/>
          <w:sz w:val="32"/>
          <w:szCs w:val="32"/>
        </w:rPr>
        <w:t>年本部门无会议费。</w:t>
      </w:r>
    </w:p>
    <w:p>
      <w:pPr>
        <w:widowControl/>
        <w:spacing w:line="600" w:lineRule="exact"/>
        <w:ind w:firstLine="640" w:firstLineChars="200"/>
        <w:jc w:val="left"/>
        <w:rPr>
          <w:rFonts w:ascii="仿宋" w:hAnsi="仿宋" w:eastAsia="仿宋" w:cs="Times New Roman"/>
          <w:color w:val="auto"/>
          <w:sz w:val="32"/>
          <w:szCs w:val="32"/>
        </w:rPr>
      </w:pPr>
      <w:r>
        <w:rPr>
          <w:rFonts w:hint="eastAsia" w:ascii="仿宋" w:hAnsi="仿宋" w:eastAsia="仿宋" w:cs="Times New Roman"/>
          <w:color w:val="auto"/>
          <w:sz w:val="32"/>
          <w:szCs w:val="32"/>
        </w:rPr>
        <w:t>2、202</w:t>
      </w:r>
      <w:r>
        <w:rPr>
          <w:rFonts w:hint="eastAsia" w:ascii="仿宋" w:hAnsi="仿宋" w:eastAsia="仿宋"/>
          <w:color w:val="auto"/>
          <w:sz w:val="32"/>
          <w:szCs w:val="32"/>
        </w:rPr>
        <w:t>1</w:t>
      </w:r>
      <w:r>
        <w:rPr>
          <w:rFonts w:hint="eastAsia" w:ascii="仿宋" w:hAnsi="仿宋" w:eastAsia="仿宋" w:cs="Times New Roman"/>
          <w:color w:val="auto"/>
          <w:sz w:val="32"/>
          <w:szCs w:val="32"/>
        </w:rPr>
        <w:t>年本部门无培训费。</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3、2021年本部门未举办节庆、晚会、论坛、赛事。</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十二、政府采购支出说明</w:t>
      </w:r>
    </w:p>
    <w:p>
      <w:pPr>
        <w:ind w:firstLine="640" w:firstLineChars="200"/>
        <w:rPr>
          <w:rFonts w:ascii="仿宋" w:hAnsi="仿宋" w:eastAsia="仿宋"/>
          <w:color w:val="auto"/>
          <w:sz w:val="32"/>
          <w:szCs w:val="32"/>
        </w:rPr>
      </w:pPr>
      <w:r>
        <w:rPr>
          <w:rFonts w:hint="eastAsia" w:ascii="仿宋_GB2312" w:hAnsi="仿宋_GB2312" w:eastAsia="仿宋_GB2312" w:cs="仿宋_GB2312"/>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十三、国有资产占用情况说明</w:t>
      </w:r>
    </w:p>
    <w:p>
      <w:pPr>
        <w:pStyle w:val="13"/>
        <w:spacing w:line="600" w:lineRule="exact"/>
        <w:ind w:firstLine="640" w:firstLineChars="200"/>
        <w:rPr>
          <w:rFonts w:hint="eastAsia" w:ascii="仿宋" w:hAnsi="仿宋" w:eastAsia="仿宋"/>
          <w:b/>
          <w:color w:val="auto"/>
          <w:sz w:val="32"/>
          <w:szCs w:val="32"/>
        </w:rPr>
      </w:pPr>
      <w:r>
        <w:rPr>
          <w:rFonts w:hint="eastAsia" w:ascii="仿宋" w:hAnsi="仿宋" w:eastAsia="仿宋"/>
          <w:color w:val="auto"/>
          <w:sz w:val="32"/>
          <w:szCs w:val="32"/>
        </w:rPr>
        <w:t>截至2021年12月31日，部门（单位）共有车辆</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辆，其中，主要领导干部用车0辆，机要通信用车0辆、应急保障用车0辆、执法执勤用车0辆、特种专业技术用车0辆、其他用车</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辆；单位价值50万元以上通用设备0台（套）；单位价值100万元以上专用设备0台（套）。</w:t>
      </w:r>
    </w:p>
    <w:p>
      <w:pPr>
        <w:pStyle w:val="13"/>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十四、2021年度预算绩效情况的说明</w:t>
      </w:r>
    </w:p>
    <w:p>
      <w:pPr>
        <w:pStyle w:val="13"/>
        <w:spacing w:line="600" w:lineRule="exact"/>
        <w:ind w:firstLine="640" w:firstLineChars="200"/>
        <w:rPr>
          <w:rFonts w:ascii="仿宋" w:hAnsi="仿宋" w:eastAsia="仿宋"/>
          <w:color w:val="auto"/>
          <w:sz w:val="32"/>
          <w:szCs w:val="32"/>
        </w:rPr>
      </w:pPr>
      <w:r>
        <w:rPr>
          <w:rFonts w:hint="eastAsia" w:ascii="仿宋" w:hAnsi="仿宋" w:eastAsia="仿宋" w:cs="仿宋"/>
          <w:color w:val="auto"/>
          <w:sz w:val="32"/>
          <w:szCs w:val="32"/>
        </w:rPr>
        <w:t>本部门预算绩效管理开展情况、绩效目标和绩效评价报告等具体见附件。单位</w:t>
      </w:r>
      <w:r>
        <w:rPr>
          <w:rFonts w:hint="eastAsia" w:ascii="仿宋" w:hAnsi="仿宋" w:eastAsia="仿宋" w:cs="仿宋"/>
          <w:color w:val="auto"/>
          <w:sz w:val="32"/>
          <w:szCs w:val="32"/>
          <w:lang w:eastAsia="zh-CN"/>
        </w:rPr>
        <w:t>本年度</w:t>
      </w:r>
      <w:r>
        <w:rPr>
          <w:rFonts w:hint="eastAsia" w:ascii="仿宋" w:hAnsi="仿宋" w:eastAsia="仿宋" w:cs="仿宋"/>
          <w:color w:val="auto"/>
          <w:sz w:val="32"/>
          <w:szCs w:val="32"/>
        </w:rPr>
        <w:t>无重点</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rPr>
        <w:t>项目，因此无重点项目绩效报告。</w:t>
      </w:r>
    </w:p>
    <w:p>
      <w:pPr>
        <w:pStyle w:val="13"/>
        <w:spacing w:line="600" w:lineRule="exact"/>
        <w:ind w:firstLine="640" w:firstLineChars="200"/>
        <w:jc w:val="center"/>
        <w:rPr>
          <w:rFonts w:ascii="仿宋" w:hAnsi="仿宋" w:eastAsia="仿宋"/>
          <w:color w:val="auto"/>
          <w:sz w:val="32"/>
          <w:szCs w:val="32"/>
        </w:rPr>
      </w:pPr>
      <w:bookmarkStart w:id="2" w:name="_GoBack"/>
      <w:bookmarkEnd w:id="2"/>
    </w:p>
    <w:p>
      <w:pPr>
        <w:spacing w:line="600" w:lineRule="exact"/>
        <w:ind w:firstLine="880" w:firstLineChars="200"/>
        <w:jc w:val="center"/>
        <w:rPr>
          <w:rFonts w:ascii="黑体" w:hAnsi="黑体" w:eastAsia="黑体" w:cs="黑体"/>
          <w:bCs/>
          <w:color w:val="auto"/>
          <w:kern w:val="0"/>
          <w:sz w:val="44"/>
          <w:szCs w:val="44"/>
        </w:rPr>
      </w:pPr>
      <w:r>
        <w:rPr>
          <w:rFonts w:hint="eastAsia" w:ascii="黑体" w:hAnsi="黑体" w:eastAsia="黑体" w:cs="黑体"/>
          <w:bCs/>
          <w:color w:val="auto"/>
          <w:kern w:val="0"/>
          <w:sz w:val="44"/>
          <w:szCs w:val="44"/>
        </w:rPr>
        <w:t>第四部分 名词解释</w:t>
      </w:r>
    </w:p>
    <w:p>
      <w:pPr>
        <w:spacing w:line="600" w:lineRule="exact"/>
        <w:ind w:firstLine="640" w:firstLineChars="200"/>
        <w:jc w:val="center"/>
        <w:rPr>
          <w:rFonts w:ascii="仿宋" w:hAnsi="仿宋" w:eastAsia="仿宋" w:cs="黑体"/>
          <w:color w:val="auto"/>
          <w:kern w:val="0"/>
          <w:sz w:val="32"/>
          <w:szCs w:val="32"/>
        </w:rPr>
      </w:pPr>
    </w:p>
    <w:p>
      <w:pPr>
        <w:pStyle w:val="7"/>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一、机关运行经费：</w:t>
      </w:r>
    </w:p>
    <w:p>
      <w:pPr>
        <w:pStyle w:val="7"/>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7"/>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二、“三公”经费：</w:t>
      </w:r>
    </w:p>
    <w:p>
      <w:pPr>
        <w:pStyle w:val="7"/>
        <w:widowControl/>
        <w:spacing w:line="600" w:lineRule="exact"/>
        <w:ind w:firstLine="640" w:firstLineChars="200"/>
        <w:jc w:val="both"/>
        <w:rPr>
          <w:rFonts w:ascii="仿宋" w:hAnsi="仿宋" w:eastAsia="仿宋" w:cs="黑体"/>
          <w:color w:val="auto"/>
          <w:sz w:val="32"/>
          <w:szCs w:val="32"/>
        </w:rPr>
      </w:pPr>
      <w:r>
        <w:rPr>
          <w:rFonts w:hint="eastAsia" w:ascii="仿宋" w:hAnsi="仿宋" w:eastAsia="仿宋" w:cs="黑体"/>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spacing w:line="600" w:lineRule="exact"/>
        <w:ind w:firstLine="640" w:firstLineChars="200"/>
        <w:jc w:val="both"/>
        <w:rPr>
          <w:rFonts w:ascii="仿宋" w:hAnsi="仿宋" w:eastAsia="仿宋"/>
          <w:color w:val="auto"/>
          <w:sz w:val="32"/>
          <w:szCs w:val="32"/>
        </w:rPr>
      </w:pPr>
    </w:p>
    <w:p>
      <w:pPr>
        <w:pStyle w:val="13"/>
        <w:spacing w:line="600" w:lineRule="exact"/>
        <w:ind w:firstLine="880" w:firstLineChars="200"/>
        <w:jc w:val="center"/>
        <w:rPr>
          <w:rFonts w:hAnsi="黑体"/>
          <w:bCs/>
          <w:color w:val="auto"/>
          <w:sz w:val="44"/>
          <w:szCs w:val="44"/>
        </w:rPr>
      </w:pPr>
      <w:r>
        <w:rPr>
          <w:rFonts w:hint="eastAsia" w:hAnsi="黑体"/>
          <w:bCs/>
          <w:color w:val="auto"/>
          <w:sz w:val="44"/>
          <w:szCs w:val="44"/>
        </w:rPr>
        <w:t>第五部分附件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871FCB"/>
    <w:multiLevelType w:val="multilevel"/>
    <w:tmpl w:val="2B871FCB"/>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A2YTQwN2ViZGQzNmYzODE4MDY5NGQ3ODdlNjA3MGM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089E"/>
    <w:rsid w:val="003479BD"/>
    <w:rsid w:val="0037197D"/>
    <w:rsid w:val="003768D5"/>
    <w:rsid w:val="003C47E6"/>
    <w:rsid w:val="003C4FC2"/>
    <w:rsid w:val="00416E61"/>
    <w:rsid w:val="00424D0E"/>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B2C"/>
    <w:rsid w:val="00691E8C"/>
    <w:rsid w:val="006A22C4"/>
    <w:rsid w:val="006A351B"/>
    <w:rsid w:val="006B0422"/>
    <w:rsid w:val="006C1B53"/>
    <w:rsid w:val="006D7730"/>
    <w:rsid w:val="006E5284"/>
    <w:rsid w:val="006F3EB5"/>
    <w:rsid w:val="00702E34"/>
    <w:rsid w:val="00704395"/>
    <w:rsid w:val="00717621"/>
    <w:rsid w:val="00720FF1"/>
    <w:rsid w:val="00727A53"/>
    <w:rsid w:val="00785E5E"/>
    <w:rsid w:val="00787B42"/>
    <w:rsid w:val="007C4539"/>
    <w:rsid w:val="007F3657"/>
    <w:rsid w:val="00812ED5"/>
    <w:rsid w:val="008277D9"/>
    <w:rsid w:val="0084478C"/>
    <w:rsid w:val="0086638C"/>
    <w:rsid w:val="008A3E8D"/>
    <w:rsid w:val="008C5073"/>
    <w:rsid w:val="009237C4"/>
    <w:rsid w:val="00944C48"/>
    <w:rsid w:val="00946C3D"/>
    <w:rsid w:val="00950252"/>
    <w:rsid w:val="00967F5D"/>
    <w:rsid w:val="009A0118"/>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B79A6"/>
    <w:rsid w:val="00CE04C3"/>
    <w:rsid w:val="00CE76A0"/>
    <w:rsid w:val="00D148C6"/>
    <w:rsid w:val="00D17A8A"/>
    <w:rsid w:val="00D415BA"/>
    <w:rsid w:val="00D644EE"/>
    <w:rsid w:val="00DD06FF"/>
    <w:rsid w:val="00DD5FE9"/>
    <w:rsid w:val="00E00C7A"/>
    <w:rsid w:val="00E11988"/>
    <w:rsid w:val="00E37D6C"/>
    <w:rsid w:val="00E55B68"/>
    <w:rsid w:val="00E67BE6"/>
    <w:rsid w:val="00E8683C"/>
    <w:rsid w:val="00EA2B72"/>
    <w:rsid w:val="00F74360"/>
    <w:rsid w:val="00FB462F"/>
    <w:rsid w:val="00FE16FA"/>
    <w:rsid w:val="00FE328A"/>
    <w:rsid w:val="00FE6269"/>
    <w:rsid w:val="019D487B"/>
    <w:rsid w:val="02B73495"/>
    <w:rsid w:val="04BE0654"/>
    <w:rsid w:val="058439DB"/>
    <w:rsid w:val="05997E8B"/>
    <w:rsid w:val="0688440C"/>
    <w:rsid w:val="07A832C4"/>
    <w:rsid w:val="07D801EC"/>
    <w:rsid w:val="0C270888"/>
    <w:rsid w:val="0C3701C1"/>
    <w:rsid w:val="0D56046B"/>
    <w:rsid w:val="0DC932D7"/>
    <w:rsid w:val="0E3A5350"/>
    <w:rsid w:val="0E772D33"/>
    <w:rsid w:val="0F360E40"/>
    <w:rsid w:val="0FD0292A"/>
    <w:rsid w:val="12EF1739"/>
    <w:rsid w:val="137E1BF7"/>
    <w:rsid w:val="1439362A"/>
    <w:rsid w:val="17FD51E2"/>
    <w:rsid w:val="1914131E"/>
    <w:rsid w:val="19F72F6A"/>
    <w:rsid w:val="1B880105"/>
    <w:rsid w:val="1B8B57E6"/>
    <w:rsid w:val="1C321CEA"/>
    <w:rsid w:val="1F3E1CAB"/>
    <w:rsid w:val="20773222"/>
    <w:rsid w:val="228F6A0D"/>
    <w:rsid w:val="234C5C2F"/>
    <w:rsid w:val="24D45672"/>
    <w:rsid w:val="29335D34"/>
    <w:rsid w:val="2A8C4904"/>
    <w:rsid w:val="2CD60734"/>
    <w:rsid w:val="2EB01C1E"/>
    <w:rsid w:val="2F4D0FCB"/>
    <w:rsid w:val="2FAB7EA4"/>
    <w:rsid w:val="305D3427"/>
    <w:rsid w:val="31274227"/>
    <w:rsid w:val="323B5DFA"/>
    <w:rsid w:val="36262F16"/>
    <w:rsid w:val="38507FCD"/>
    <w:rsid w:val="39653A1D"/>
    <w:rsid w:val="39A82E21"/>
    <w:rsid w:val="39DC73FF"/>
    <w:rsid w:val="3BDB1388"/>
    <w:rsid w:val="3BF57F99"/>
    <w:rsid w:val="3D1E0DF8"/>
    <w:rsid w:val="3DB40C0B"/>
    <w:rsid w:val="3EAF6FC6"/>
    <w:rsid w:val="42EF7DB6"/>
    <w:rsid w:val="42F779C3"/>
    <w:rsid w:val="45030F9F"/>
    <w:rsid w:val="464B6EE7"/>
    <w:rsid w:val="49550533"/>
    <w:rsid w:val="49C07BEA"/>
    <w:rsid w:val="4DE63075"/>
    <w:rsid w:val="516007CF"/>
    <w:rsid w:val="51CD6249"/>
    <w:rsid w:val="51EA4462"/>
    <w:rsid w:val="52481FEA"/>
    <w:rsid w:val="560853F7"/>
    <w:rsid w:val="57A87670"/>
    <w:rsid w:val="57D7799D"/>
    <w:rsid w:val="58587D57"/>
    <w:rsid w:val="593735EA"/>
    <w:rsid w:val="5B3B1BB8"/>
    <w:rsid w:val="5F0F5244"/>
    <w:rsid w:val="60163A28"/>
    <w:rsid w:val="6074529B"/>
    <w:rsid w:val="639E268F"/>
    <w:rsid w:val="66F74028"/>
    <w:rsid w:val="678C42CF"/>
    <w:rsid w:val="686659D7"/>
    <w:rsid w:val="6A6927AC"/>
    <w:rsid w:val="6E441430"/>
    <w:rsid w:val="6EDF287E"/>
    <w:rsid w:val="6F3B5299"/>
    <w:rsid w:val="6FB66062"/>
    <w:rsid w:val="70A8123D"/>
    <w:rsid w:val="721F5C95"/>
    <w:rsid w:val="72430F25"/>
    <w:rsid w:val="72DB5477"/>
    <w:rsid w:val="735F0AE9"/>
    <w:rsid w:val="73B40DD1"/>
    <w:rsid w:val="74A60AFB"/>
    <w:rsid w:val="76CA5823"/>
    <w:rsid w:val="772E0C62"/>
    <w:rsid w:val="77FC28CD"/>
    <w:rsid w:val="780D6D66"/>
    <w:rsid w:val="781D3B92"/>
    <w:rsid w:val="7B446F42"/>
    <w:rsid w:val="7BF568E1"/>
    <w:rsid w:val="7CF702E9"/>
    <w:rsid w:val="7D115DB4"/>
    <w:rsid w:val="7D7B5484"/>
    <w:rsid w:val="7EB87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rPr>
      <w:rFonts w:ascii="Times New Roman" w:hAnsi="Times New Roman" w:eastAsia="宋体" w:cs="Times New Roman"/>
      <w:szCs w:val="24"/>
    </w:rPr>
  </w:style>
  <w:style w:type="paragraph" w:styleId="3">
    <w:name w:val="Block Text"/>
    <w:basedOn w:val="1"/>
    <w:unhideWhenUsed/>
    <w:qFormat/>
    <w:uiPriority w:val="99"/>
    <w:pPr>
      <w:ind w:firstLine="64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character" w:styleId="10">
    <w:name w:val="Emphasis"/>
    <w:basedOn w:val="9"/>
    <w:qFormat/>
    <w:uiPriority w:val="2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批注文字 Char"/>
    <w:basedOn w:val="9"/>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FE38C-7FEE-4B2A-AA14-B1FF5B19D13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2700</Words>
  <Characters>2839</Characters>
  <Lines>24</Lines>
  <Paragraphs>6</Paragraphs>
  <TotalTime>185</TotalTime>
  <ScaleCrop>false</ScaleCrop>
  <LinksUpToDate>false</LinksUpToDate>
  <CharactersWithSpaces>2843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怀化日报社</cp:lastModifiedBy>
  <cp:lastPrinted>2022-08-25T07:35:00Z</cp:lastPrinted>
  <dcterms:modified xsi:type="dcterms:W3CDTF">2023-10-11T06:41:03Z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E165F38F636949D9AB9152271EE1D5A6</vt:lpwstr>
  </property>
</Properties>
</file>