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00" w:firstLineChars="200"/>
        <w:jc w:val="center"/>
        <w:textAlignment w:val="auto"/>
        <w:rPr>
          <w:rFonts w:hint="eastAsia" w:cs="黑体" w:asciiTheme="minorEastAsia" w:hAnsiTheme="minorEastAsia"/>
          <w:b/>
          <w:color w:val="000000"/>
          <w:kern w:val="0"/>
          <w:sz w:val="40"/>
          <w:szCs w:val="40"/>
        </w:rPr>
      </w:pPr>
      <w:r>
        <w:rPr>
          <w:rFonts w:hint="eastAsia" w:cs="黑体" w:asciiTheme="minorEastAsia" w:hAnsiTheme="minorEastAsia"/>
          <w:b/>
          <w:color w:val="000000"/>
          <w:kern w:val="0"/>
          <w:sz w:val="40"/>
          <w:szCs w:val="40"/>
        </w:rPr>
        <w:t>202</w:t>
      </w:r>
      <w:r>
        <w:rPr>
          <w:rFonts w:hint="eastAsia" w:cs="黑体" w:asciiTheme="minorEastAsia" w:hAnsiTheme="minorEastAsia"/>
          <w:b/>
          <w:color w:val="000000"/>
          <w:kern w:val="0"/>
          <w:sz w:val="40"/>
          <w:szCs w:val="40"/>
          <w:lang w:val="en-US" w:eastAsia="zh-CN"/>
        </w:rPr>
        <w:t>1</w:t>
      </w:r>
      <w:r>
        <w:rPr>
          <w:rFonts w:hint="eastAsia" w:cs="黑体" w:asciiTheme="minorEastAsia" w:hAnsiTheme="minorEastAsia"/>
          <w:b/>
          <w:color w:val="000000"/>
          <w:kern w:val="0"/>
          <w:sz w:val="40"/>
          <w:szCs w:val="40"/>
        </w:rPr>
        <w:t>年度部门整体支出绩效评价报告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cs="黑体" w:asciiTheme="minorEastAsia" w:hAnsiTheme="minorEastAsia"/>
          <w:b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 xml:space="preserve">部门整体支出管理及使用情况 </w:t>
      </w:r>
    </w:p>
    <w:p>
      <w:pPr>
        <w:pStyle w:val="6"/>
        <w:numPr>
          <w:ilvl w:val="0"/>
          <w:numId w:val="2"/>
        </w:numPr>
        <w:ind w:firstLine="640" w:firstLineChars="200"/>
        <w:rPr>
          <w:rFonts w:hint="eastAsia" w:asciiTheme="minorEastAsia" w:hAnsiTheme="minorEastAsia" w:eastAsiaTheme="minorEastAsia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本</w:t>
      </w:r>
      <w:r>
        <w:rPr>
          <w:rFonts w:hint="eastAsia" w:asciiTheme="minorEastAsia" w:hAnsiTheme="minorEastAsia" w:eastAsiaTheme="minorEastAsia"/>
          <w:sz w:val="32"/>
          <w:szCs w:val="32"/>
        </w:rPr>
        <w:t>年支出合计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2996.57</w:t>
      </w:r>
      <w:r>
        <w:rPr>
          <w:rFonts w:hint="eastAsia" w:asciiTheme="minorEastAsia" w:hAnsiTheme="minorEastAsia" w:eastAsiaTheme="minorEastAsia"/>
          <w:sz w:val="32"/>
          <w:szCs w:val="32"/>
        </w:rPr>
        <w:t>万元，其中：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基本支出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616.75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20.58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%；项目支出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25.8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0.86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%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上缴上级支出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%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经营支出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2354.02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78.56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%；对附属单位补助支出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%。</w:t>
      </w:r>
    </w:p>
    <w:p>
      <w:pPr>
        <w:pStyle w:val="6"/>
        <w:ind w:firstLine="640"/>
        <w:rPr>
          <w:rFonts w:hint="eastAsia" w:asciiTheme="minorEastAsia" w:hAnsiTheme="minorEastAsia" w:eastAsiaTheme="minorEastAsia"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2、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202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年度财政拨款支出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642.55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万元，占本年支出合计的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21.44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%，与上年相比，财政拨款支出减少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99.97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万元，减少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13.46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%，主要是因为有效的控制支出金额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eastAsia="zh-CN"/>
        </w:rPr>
        <w:t>。</w:t>
      </w:r>
    </w:p>
    <w:p>
      <w:pPr>
        <w:pStyle w:val="6"/>
        <w:ind w:firstLine="640" w:firstLineChars="200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3、</w:t>
      </w:r>
      <w:r>
        <w:rPr>
          <w:rFonts w:hint="eastAsia" w:asciiTheme="minorEastAsia" w:hAnsiTheme="minorEastAsia" w:eastAsiaTheme="minorEastAsia"/>
          <w:sz w:val="32"/>
          <w:szCs w:val="32"/>
        </w:rPr>
        <w:t>20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2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年度财政拨款支出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642.55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万元，主要用于以下方面：一般公共服务（类）支出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3.27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%；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eastAsia="zh-CN"/>
        </w:rPr>
        <w:t>文化旅游体育与传媒支出（类）支出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619.55万元，占96.42%；教育支出（类）支出2万元，占0.31%。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二、资产管理情况</w:t>
      </w:r>
    </w:p>
    <w:p>
      <w:pPr>
        <w:pStyle w:val="6"/>
        <w:ind w:firstLine="640" w:firstLineChars="200"/>
        <w:rPr>
          <w:rFonts w:hint="eastAsia" w:asciiTheme="minorEastAsia" w:hAnsiTheme="minorEastAsia" w:eastAsiaTheme="minorEastAsia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截至202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年12月31日，本单位共有车辆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辆，其中，主要领导干部用车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辆，机要通信用车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辆、应急保障用车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辆、执法执勤用车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辆、特种专业技术用车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辆、其他用车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辆，其他用车主要是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eastAsia="zh-CN"/>
        </w:rPr>
        <w:t>印刷车间用车，大型叉车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；单位价值50万元以上通用设备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台（套）；单位价值100万元以上专用设备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台（套）。</w:t>
      </w:r>
    </w:p>
    <w:p>
      <w:pPr>
        <w:pStyle w:val="6"/>
        <w:ind w:firstLine="640" w:firstLineChars="200"/>
        <w:rPr>
          <w:rFonts w:hint="eastAsia" w:asciiTheme="minorEastAsia" w:hAnsiTheme="minorEastAsia" w:eastAsiaTheme="minorEastAsia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三、部门整体支出绩效情况</w:t>
      </w:r>
    </w:p>
    <w:p>
      <w:pPr>
        <w:numPr>
          <w:ilvl w:val="0"/>
          <w:numId w:val="0"/>
        </w:numP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1、经济性分析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right="0" w:firstLine="640" w:firstLineChars="200"/>
        <w:jc w:val="both"/>
        <w:textAlignment w:val="auto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在成本费用控制方面，为了最大限度地利用有限的资金，设法进行成本控制，对每一项经费都务必仔细斟酌，本着勤俭节约、简单务实的原则，对各项经费进行了不断的压缩和精简，力戒形式主义和形象工程，坚持花小钱办大事，提倡简单务实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Chars="0" w:right="0" w:rightChars="0"/>
        <w:jc w:val="both"/>
        <w:textAlignment w:val="auto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2、效率性分析和有效性分析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在报社党组的坚强领导下，怀化日报社按时按量完成市委、市政府布置的重要宣传报道任务，紧紧围绕市委、市政府中心工作，做好宣传报道，为全面落实“三高四新”战略定位和使命任务，奋力建设“三城一区”，全力推动高质量跨越式发展，加快实现现代化新怀化贡献主流媒体力量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（1）党史学习教育方面。充分发挥新媒体平台快、新、实等特点，打通版面页面、网上网下，特别策划《奋斗百年路 起航新征程》《追寻怀化红色印记》《我为群众办实事》《牛劲十足开新局》等11个专栏专题。各媒体刊用党史学习教育相关稿件2000余条，全网总传播量超过3000万次，向学习强国湖南学习平台推送党史学习教育相关稿件100余条。另外，由市委宣传部和市直机关工委主办、怀化日报社•掌上怀化和怀化市新华书店承办的怀化市党史知识竞赛，更是创下2350万人次访问量、580余万人次答题的峰值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（2）重大项目重点产业方面。围绕产业建设，开设《真抓实干 大抓狠抓猛抓产业 奋力建设现代化新怀化》《以实干实绩迈好第一步见到新气象》等栏目，日报发稿106篇、全媒体发稿45篇。10月起，又组织记者深入现场采写大抓狠抓猛抓产业之“项目建设看今朝”系列报道，均采用1000字左右现场新闻，并配发照片和记者手记，同时高质量推出新媒体作品，社会反响很好。12月9日，日报又开设“一港一园 港园联动 商通天下”专栏响应“一港一园”建设。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（3）优化营商环境方面。开设《加强纪律作风建设 营造一流营商环境》栏目，采编《“三类”500强企业何以频频飞向湘西南的怀化——“候鸟”择环境而栖》等90篇稿件、制作4幅公益广告刊登10余次。配合全市的“码上监督马上办”活动，日报以刊登公告、及时刊发相关动态新闻、公益广告等多种形式大力宣传推广；边城晚报、新闻网、掌上怀化以视频、图片、文字、H5等形式发稿52篇，将“码上监督马上办”宣传得有声有色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（4）党的十九届六中全会、省第十二次党代会及市第六次党代会的宣传方面。先后开设《学习贯彻十九届六中全会精神》《深入学习党的十九届六中全会精神访谈》《我为省党代会献良策》《迎接省党代会 谱写新篇章 和怀化共奋进》《迎接省党代会 谱写新篇章 建言献策》《奋进新征程 谱写新篇章 省第十二次党代会特别报道》《喜迎党代会 大力实施“三高四新”战略奋力建设“三城一区”加快推进怀化高质量跨越式发展》《牢记殷殷嘱托 在实施“三高四新”战略中积极担当作为》《学习贯彻落实市第六次党代会精神 我们这样干》《学习贯彻落实市第六次党代会精神 在奋力建设三城一区中担当作为》等栏目，为这三次重要会议及会后学习贯彻落实营造出了良好的舆论氛围。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（5）创建全国文明城市方面。开设《创全国文明城市 建怀化幸福家园》栏目，刊发了道德模范、身边好人先进模范事迹、文明创建专题报道、文明家庭宣传、诚信怀化等报道近80余篇。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（6）政策理论宣传方面。在理论版开设了《深入学习贯彻习近平新时代中国特色社会主义思想》《党史学习教育》《机关党建探讨》《先锋论坛——理论指引我成长》等栏目，共刊发各类理论文章120余篇。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default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（7）重大活动报道方面。加强重大活动策划报道，集中力量开展怀化国际陆港建设、全市文化旅游产业发展大会、健博会暨怀商大会、市六运会、张吉怀高铁开通等重大活动的宣传报道。张吉怀高铁开通运营之际，怀化日报社联合张家界日报社、湘西团结报社策划组织开展“张吉怀高铁开通运营”宣传报道。围绕高铁建设、高铁经济以及大湘西地区生态文化旅游产业发展等，三地同步推出张吉怀高铁开通运营联合图文直播、报纸联合特刊。据统计，联合图文直播收看人次达52万，怀化日报社抖音号首次直播，直播间观看人数破万，《怀化日报》特刊出版40个专版，宣传报道反响强烈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Chars="0" w:right="0" w:rightChars="0"/>
        <w:jc w:val="both"/>
        <w:textAlignment w:val="auto"/>
        <w:rPr>
          <w:rFonts w:hint="default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3、可持续性分析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highlight w:val="none"/>
          <w:lang w:val="en-US" w:eastAsia="zh-CN" w:bidi="ar-SA"/>
        </w:rPr>
        <w:t>我社将以习近平新时代中国特色社会主义思想为指引，加快媒体融合发展，借助新媒体传播优势，在内容、形式、手段等方面进行创新，不断巩固和壮大主流思想舆论，推出符合全媒体传播需要的精品；积极推进队伍建设，着力建设一支既理解新闻传播规律，又熟练掌握新媒体技术的全媒型、专家型融媒体人才队伍；深化广告经营体制改革。以“深度融合，统分结合，强化合作，整体增效”为指导思想，完善广告经营创收管理体制，狠抓目标管理责任制，构建强有力的执行团队，不断巩固壮大主流舆论阵地，为全面落实“三高四新”战略定位和使命任务，奋力建设“三城一区”，全力推动高质量跨越式发展提供舆论支撑。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黑体" w:hAnsi="黑体" w:eastAsia="黑体"/>
          <w:b/>
          <w:sz w:val="30"/>
          <w:szCs w:val="30"/>
          <w:highlight w:val="none"/>
        </w:rPr>
      </w:pPr>
      <w:r>
        <w:rPr>
          <w:rFonts w:hint="eastAsia" w:ascii="黑体" w:hAnsi="黑体" w:eastAsia="黑体"/>
          <w:b/>
          <w:sz w:val="30"/>
          <w:szCs w:val="30"/>
          <w:highlight w:val="none"/>
          <w:lang w:eastAsia="zh-CN"/>
        </w:rPr>
        <w:t>四、</w:t>
      </w:r>
      <w:r>
        <w:rPr>
          <w:rFonts w:hint="eastAsia" w:ascii="黑体" w:hAnsi="黑体" w:eastAsia="黑体"/>
          <w:b/>
          <w:sz w:val="30"/>
          <w:szCs w:val="30"/>
          <w:highlight w:val="none"/>
        </w:rPr>
        <w:t>预算绩效管理情况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both"/>
        <w:textAlignment w:val="auto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1、提高工作实效，落实项目完成。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根据年初清理的项目，统筹规划，分步实施，共同参与，协力推进，至12月底各项工作全部完成，并认真做好绩效评价、结果应用等工作。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both"/>
        <w:textAlignment w:val="auto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2、绩效目标管理工作。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根据年初预算情况及各类项目安排情况，强调时间节点，确保任务落到实处，建立项目台账，强化项目管理，对项目推进情况进行督促，确保按进度完成。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both"/>
        <w:textAlignment w:val="auto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3、绩效监控管理工作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以设定的绩效目标为核心，认真收集数据信息、分析数据信息，针对数据信息对绩效运行进行全面监控。把数据信息背后所反映出来的情况和问题进行全面、真实、准确地疏理。对项目实施情况进行全程跟踪检查，发现问题及时督促整改，确保绩效目标全面完成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both"/>
        <w:textAlignment w:val="auto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  <w:lang w:val="en-US" w:eastAsia="zh-CN"/>
        </w:rPr>
        <w:t>4、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评价结果运用工作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根据评价结果进一步完善管理制度，改进管理措施，将绩效评价结果向社会公开，把绩效评价结果作为以后年度预算安排的重要参考，逐步推行绩效评价结果运用，强化绩效评价结果的约束力，提供财政资金使用效率。进一步加强项目资金管理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  <w:t>严格实行项目管理程序化，实现项目申报、实施、拨付、评价全流程监督与控制，规范专项资金管理，提高专项资金的使用效益。</w:t>
      </w:r>
    </w:p>
    <w:p>
      <w:pPr>
        <w:pStyle w:val="3"/>
        <w:widowControl/>
        <w:spacing w:line="510" w:lineRule="atLeast"/>
        <w:ind w:firstLine="420"/>
        <w:jc w:val="both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</w:p>
    <w:p>
      <w:pPr>
        <w:pStyle w:val="3"/>
        <w:widowControl/>
        <w:spacing w:line="510" w:lineRule="atLeast"/>
        <w:ind w:firstLine="420"/>
        <w:jc w:val="both"/>
        <w:rPr>
          <w:rFonts w:hint="eastAsia" w:cs="黑体" w:asciiTheme="minorEastAsia" w:hAnsiTheme="minorEastAsia"/>
          <w:color w:val="000000"/>
          <w:kern w:val="0"/>
          <w:sz w:val="32"/>
          <w:szCs w:val="32"/>
          <w:highlight w:val="none"/>
        </w:rPr>
      </w:pP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8A5336"/>
    <w:multiLevelType w:val="singleLevel"/>
    <w:tmpl w:val="E08A53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E26078"/>
    <w:multiLevelType w:val="singleLevel"/>
    <w:tmpl w:val="06E2607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2YTQwN2ViZGQzNmYzODE4MDY5NGQ3ODdlNjA3MGMifQ=="/>
  </w:docVars>
  <w:rsids>
    <w:rsidRoot w:val="00000000"/>
    <w:rsid w:val="6F6F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ind w:firstLine="640"/>
    </w:p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2023-09-07T02:32:19Z</dcterms:created>
  <dc:creator>Administrator</dc:creator>
  <cp:lastModifiedBy>怀化日报社</cp:lastModifiedBy>
  <dcterms:modified xsi:type="dcterms:W3CDTF">2023-09-07T02:32:36Z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C9B6D1BB846D444BB6E4860B68F260E2_12</vt:lpwstr>
  </property>
</Properties>
</file>