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keepNext w:val="0"/>
        <w:keepLines w:val="0"/>
        <w:pageBreakBefore w:val="0"/>
        <w:widowControl w:val="0"/>
        <w:kinsoku/>
        <w:wordWrap/>
        <w:overflowPunct/>
        <w:topLinePunct w:val="0"/>
        <w:autoSpaceDE w:val="0"/>
        <w:autoSpaceDN w:val="0"/>
        <w:bidi w:val="0"/>
        <w:adjustRightInd w:val="0"/>
        <w:snapToGrid/>
        <w:ind w:firstLine="0" w:firstLineChars="0"/>
        <w:jc w:val="center"/>
        <w:textAlignment w:val="auto"/>
        <w:rPr>
          <w:rFonts w:hAnsi="黑体"/>
          <w:bCs/>
          <w:color w:val="auto"/>
          <w:sz w:val="48"/>
          <w:szCs w:val="48"/>
        </w:rPr>
      </w:pPr>
      <w:r>
        <w:rPr>
          <w:rFonts w:hint="eastAsia" w:hAnsi="黑体"/>
          <w:bCs/>
          <w:color w:val="auto"/>
          <w:sz w:val="48"/>
          <w:szCs w:val="48"/>
        </w:rPr>
        <w:t>2021年度怀化日报社部门决算</w:t>
      </w:r>
    </w:p>
    <w:p>
      <w:pPr>
        <w:pStyle w:val="11"/>
        <w:keepNext w:val="0"/>
        <w:keepLines w:val="0"/>
        <w:pageBreakBefore w:val="0"/>
        <w:widowControl w:val="0"/>
        <w:kinsoku/>
        <w:wordWrap/>
        <w:overflowPunct/>
        <w:topLinePunct w:val="0"/>
        <w:autoSpaceDE w:val="0"/>
        <w:autoSpaceDN w:val="0"/>
        <w:bidi w:val="0"/>
        <w:adjustRightInd w:val="0"/>
        <w:snapToGrid/>
        <w:ind w:firstLine="0" w:firstLineChars="0"/>
        <w:jc w:val="center"/>
        <w:textAlignment w:val="auto"/>
        <w:rPr>
          <w:color w:val="auto"/>
          <w:sz w:val="56"/>
          <w:szCs w:val="56"/>
        </w:rPr>
      </w:pPr>
    </w:p>
    <w:p>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auto"/>
        <w:rPr>
          <w:b/>
          <w:color w:val="auto"/>
          <w:sz w:val="36"/>
          <w:szCs w:val="28"/>
        </w:rPr>
      </w:pPr>
      <w:r>
        <w:rPr>
          <w:rFonts w:hint="eastAsia" w:ascii="Times New Roman" w:hAnsi="Times New Roman" w:cs="Times New Roman"/>
          <w:bCs/>
          <w:color w:val="auto"/>
          <w:sz w:val="32"/>
          <w:szCs w:val="32"/>
        </w:rPr>
        <w:t>目录</w:t>
      </w:r>
    </w:p>
    <w:p>
      <w:pPr>
        <w:pStyle w:val="11"/>
        <w:spacing w:line="600" w:lineRule="exact"/>
        <w:ind w:firstLine="1280" w:firstLineChars="400"/>
        <w:rPr>
          <w:rFonts w:ascii="仿宋_GB2312" w:hAnsi="仿宋_GB2312" w:cs="仿宋_GB2312"/>
          <w:b/>
          <w:color w:val="auto"/>
          <w:sz w:val="28"/>
          <w:szCs w:val="28"/>
        </w:rPr>
      </w:pPr>
      <w:r>
        <w:rPr>
          <w:rFonts w:hint="eastAsia" w:ascii="Times New Roman" w:hAnsi="Times New Roman" w:cs="Times New Roman"/>
          <w:b/>
          <w:bCs/>
          <w:color w:val="auto"/>
          <w:sz w:val="32"/>
          <w:szCs w:val="32"/>
        </w:rPr>
        <w:t>第一部分部门概况</w:t>
      </w:r>
    </w:p>
    <w:p>
      <w:pPr>
        <w:pStyle w:val="11"/>
        <w:spacing w:line="600" w:lineRule="exact"/>
        <w:ind w:firstLine="1280" w:firstLineChars="400"/>
        <w:rPr>
          <w:rFonts w:ascii="仿宋" w:hAnsi="仿宋" w:eastAsia="仿宋" w:cs="仿宋_GB2312"/>
          <w:color w:val="auto"/>
          <w:sz w:val="32"/>
          <w:szCs w:val="32"/>
        </w:rPr>
      </w:pPr>
      <w:r>
        <w:rPr>
          <w:rFonts w:ascii="仿宋" w:hAnsi="仿宋" w:eastAsia="仿宋" w:cs="仿宋_GB2312"/>
          <w:color w:val="auto"/>
          <w:sz w:val="32"/>
          <w:szCs w:val="32"/>
        </w:rPr>
        <w:t>一、部门职责</w:t>
      </w:r>
    </w:p>
    <w:p>
      <w:pPr>
        <w:pStyle w:val="11"/>
        <w:spacing w:line="600" w:lineRule="exact"/>
        <w:ind w:firstLine="1280" w:firstLineChars="400"/>
        <w:rPr>
          <w:rFonts w:ascii="仿宋" w:hAnsi="仿宋" w:eastAsia="仿宋" w:cs="仿宋_GB2312"/>
          <w:color w:val="auto"/>
          <w:sz w:val="32"/>
          <w:szCs w:val="32"/>
        </w:rPr>
      </w:pPr>
      <w:r>
        <w:rPr>
          <w:rFonts w:ascii="仿宋" w:hAnsi="仿宋" w:eastAsia="仿宋" w:cs="仿宋_GB2312"/>
          <w:color w:val="auto"/>
          <w:sz w:val="32"/>
          <w:szCs w:val="32"/>
        </w:rPr>
        <w:t>二、机构设置</w:t>
      </w:r>
    </w:p>
    <w:p>
      <w:pPr>
        <w:pStyle w:val="11"/>
        <w:spacing w:line="600" w:lineRule="exact"/>
        <w:ind w:firstLine="1280" w:firstLineChars="400"/>
        <w:rPr>
          <w:rFonts w:ascii="仿宋_GB2312" w:hAnsi="仿宋_GB2312" w:cs="仿宋_GB2312"/>
          <w:b/>
          <w:color w:val="auto"/>
          <w:sz w:val="28"/>
          <w:szCs w:val="28"/>
        </w:rPr>
      </w:pPr>
      <w:r>
        <w:rPr>
          <w:rFonts w:hint="eastAsia" w:ascii="Times New Roman" w:hAnsi="Times New Roman" w:cs="Times New Roman"/>
          <w:b/>
          <w:bCs/>
          <w:color w:val="auto"/>
          <w:sz w:val="32"/>
          <w:szCs w:val="32"/>
        </w:rPr>
        <w:t>第二部分</w:t>
      </w:r>
      <w:r>
        <w:rPr>
          <w:rFonts w:ascii="Times New Roman" w:hAnsi="Times New Roman" w:cs="Times New Roman"/>
          <w:b/>
          <w:bCs/>
          <w:color w:val="auto"/>
          <w:sz w:val="32"/>
          <w:szCs w:val="32"/>
        </w:rPr>
        <w:t>20</w:t>
      </w:r>
      <w:r>
        <w:rPr>
          <w:rFonts w:hint="eastAsia" w:ascii="Times New Roman" w:hAnsi="Times New Roman" w:cs="Times New Roman"/>
          <w:b/>
          <w:bCs/>
          <w:color w:val="auto"/>
          <w:sz w:val="32"/>
          <w:szCs w:val="32"/>
        </w:rPr>
        <w:t>21年度部门决算表</w:t>
      </w:r>
    </w:p>
    <w:p>
      <w:pPr>
        <w:pStyle w:val="11"/>
        <w:spacing w:line="600" w:lineRule="exact"/>
        <w:ind w:firstLine="1280" w:firstLineChars="400"/>
        <w:rPr>
          <w:rFonts w:ascii="仿宋" w:hAnsi="仿宋" w:eastAsia="仿宋" w:cs="仿宋_GB2312"/>
          <w:color w:val="auto"/>
          <w:sz w:val="32"/>
          <w:szCs w:val="32"/>
        </w:rPr>
      </w:pPr>
      <w:r>
        <w:rPr>
          <w:rFonts w:ascii="仿宋" w:hAnsi="仿宋" w:eastAsia="仿宋" w:cs="仿宋_GB2312"/>
          <w:color w:val="auto"/>
          <w:sz w:val="32"/>
          <w:szCs w:val="32"/>
        </w:rPr>
        <w:t>一、收入支出决算总表</w:t>
      </w:r>
    </w:p>
    <w:p>
      <w:pPr>
        <w:pStyle w:val="11"/>
        <w:spacing w:line="600" w:lineRule="exact"/>
        <w:ind w:firstLine="1280" w:firstLineChars="400"/>
        <w:rPr>
          <w:rFonts w:ascii="仿宋" w:hAnsi="仿宋" w:eastAsia="仿宋" w:cs="仿宋_GB2312"/>
          <w:color w:val="auto"/>
          <w:sz w:val="32"/>
          <w:szCs w:val="32"/>
        </w:rPr>
      </w:pPr>
      <w:r>
        <w:rPr>
          <w:rFonts w:ascii="仿宋" w:hAnsi="仿宋" w:eastAsia="仿宋" w:cs="仿宋_GB2312"/>
          <w:color w:val="auto"/>
          <w:sz w:val="32"/>
          <w:szCs w:val="32"/>
        </w:rPr>
        <w:t>二、收入决算表</w:t>
      </w:r>
    </w:p>
    <w:p>
      <w:pPr>
        <w:pStyle w:val="11"/>
        <w:spacing w:line="600" w:lineRule="exact"/>
        <w:ind w:firstLine="1280" w:firstLineChars="400"/>
        <w:rPr>
          <w:rFonts w:ascii="仿宋" w:hAnsi="仿宋" w:eastAsia="仿宋" w:cs="仿宋_GB2312"/>
          <w:color w:val="auto"/>
          <w:sz w:val="32"/>
          <w:szCs w:val="32"/>
        </w:rPr>
      </w:pPr>
      <w:r>
        <w:rPr>
          <w:rFonts w:ascii="仿宋" w:hAnsi="仿宋" w:eastAsia="仿宋" w:cs="仿宋_GB2312"/>
          <w:color w:val="auto"/>
          <w:sz w:val="32"/>
          <w:szCs w:val="32"/>
        </w:rPr>
        <w:t>三、支出决算表</w:t>
      </w:r>
    </w:p>
    <w:p>
      <w:pPr>
        <w:pStyle w:val="11"/>
        <w:spacing w:line="600" w:lineRule="exact"/>
        <w:ind w:firstLine="1280" w:firstLineChars="400"/>
        <w:rPr>
          <w:rFonts w:ascii="仿宋" w:hAnsi="仿宋" w:eastAsia="仿宋" w:cs="仿宋_GB2312"/>
          <w:color w:val="auto"/>
          <w:sz w:val="32"/>
          <w:szCs w:val="32"/>
        </w:rPr>
      </w:pPr>
      <w:r>
        <w:rPr>
          <w:rFonts w:ascii="仿宋" w:hAnsi="仿宋" w:eastAsia="仿宋" w:cs="仿宋_GB2312"/>
          <w:color w:val="auto"/>
          <w:sz w:val="32"/>
          <w:szCs w:val="32"/>
        </w:rPr>
        <w:t>四、财政拨款收入支出决算总表</w:t>
      </w:r>
    </w:p>
    <w:p>
      <w:pPr>
        <w:pStyle w:val="11"/>
        <w:spacing w:line="600" w:lineRule="exact"/>
        <w:ind w:firstLine="1280" w:firstLineChars="400"/>
        <w:rPr>
          <w:rFonts w:ascii="仿宋" w:hAnsi="仿宋" w:eastAsia="仿宋" w:cs="仿宋_GB2312"/>
          <w:color w:val="auto"/>
          <w:sz w:val="32"/>
          <w:szCs w:val="32"/>
        </w:rPr>
      </w:pPr>
      <w:r>
        <w:rPr>
          <w:rFonts w:ascii="仿宋" w:hAnsi="仿宋" w:eastAsia="仿宋" w:cs="仿宋_GB2312"/>
          <w:color w:val="auto"/>
          <w:sz w:val="32"/>
          <w:szCs w:val="32"/>
        </w:rPr>
        <w:t>五、一般公共预算财政拨款支出决算表</w:t>
      </w:r>
    </w:p>
    <w:p>
      <w:pPr>
        <w:pStyle w:val="11"/>
        <w:spacing w:line="600" w:lineRule="exact"/>
        <w:ind w:firstLine="1280" w:firstLineChars="400"/>
        <w:rPr>
          <w:rFonts w:ascii="仿宋" w:hAnsi="仿宋" w:eastAsia="仿宋" w:cs="仿宋_GB2312"/>
          <w:color w:val="auto"/>
          <w:sz w:val="32"/>
          <w:szCs w:val="32"/>
        </w:rPr>
      </w:pPr>
      <w:r>
        <w:rPr>
          <w:rFonts w:ascii="仿宋" w:hAnsi="仿宋" w:eastAsia="仿宋" w:cs="仿宋_GB2312"/>
          <w:color w:val="auto"/>
          <w:sz w:val="32"/>
          <w:szCs w:val="32"/>
        </w:rPr>
        <w:t>六、一般公共预算财政拨款基本支出决算</w:t>
      </w:r>
      <w:r>
        <w:rPr>
          <w:rFonts w:hint="eastAsia" w:ascii="仿宋" w:hAnsi="仿宋" w:eastAsia="仿宋" w:cs="仿宋_GB2312"/>
          <w:color w:val="auto"/>
          <w:sz w:val="32"/>
          <w:szCs w:val="32"/>
        </w:rPr>
        <w:t>明细</w:t>
      </w:r>
      <w:r>
        <w:rPr>
          <w:rFonts w:ascii="仿宋" w:hAnsi="仿宋" w:eastAsia="仿宋" w:cs="仿宋_GB2312"/>
          <w:color w:val="auto"/>
          <w:sz w:val="32"/>
          <w:szCs w:val="32"/>
        </w:rPr>
        <w:t>表</w:t>
      </w:r>
    </w:p>
    <w:p>
      <w:pPr>
        <w:pStyle w:val="11"/>
        <w:spacing w:line="600" w:lineRule="exact"/>
        <w:ind w:firstLine="1280" w:firstLineChars="400"/>
        <w:rPr>
          <w:rFonts w:ascii="仿宋" w:hAnsi="仿宋" w:eastAsia="仿宋" w:cs="仿宋_GB2312"/>
          <w:color w:val="auto"/>
          <w:sz w:val="32"/>
          <w:szCs w:val="32"/>
        </w:rPr>
      </w:pPr>
      <w:r>
        <w:rPr>
          <w:rFonts w:ascii="仿宋" w:hAnsi="仿宋" w:eastAsia="仿宋" w:cs="仿宋_GB2312"/>
          <w:color w:val="auto"/>
          <w:sz w:val="32"/>
          <w:szCs w:val="32"/>
        </w:rPr>
        <w:t>七、一般公共预算财政拨款“三公”经费支出决算表</w:t>
      </w:r>
    </w:p>
    <w:p>
      <w:pPr>
        <w:pStyle w:val="11"/>
        <w:spacing w:line="600" w:lineRule="exact"/>
        <w:ind w:firstLine="1280" w:firstLineChars="400"/>
        <w:rPr>
          <w:rFonts w:ascii="仿宋" w:hAnsi="仿宋" w:eastAsia="仿宋" w:cs="仿宋_GB2312"/>
          <w:color w:val="auto"/>
          <w:sz w:val="32"/>
          <w:szCs w:val="32"/>
        </w:rPr>
      </w:pPr>
      <w:r>
        <w:rPr>
          <w:rFonts w:ascii="仿宋" w:hAnsi="仿宋" w:eastAsia="仿宋" w:cs="仿宋_GB2312"/>
          <w:color w:val="auto"/>
          <w:sz w:val="32"/>
          <w:szCs w:val="32"/>
        </w:rPr>
        <w:t>八、政府性基金预算财政拨款收入支出决算表</w:t>
      </w:r>
    </w:p>
    <w:p>
      <w:pPr>
        <w:pStyle w:val="11"/>
        <w:spacing w:line="600" w:lineRule="exact"/>
        <w:ind w:firstLine="1280" w:firstLineChars="400"/>
        <w:rPr>
          <w:rFonts w:ascii="仿宋" w:hAnsi="仿宋" w:eastAsia="仿宋" w:cs="仿宋_GB2312"/>
          <w:color w:val="auto"/>
          <w:sz w:val="32"/>
          <w:szCs w:val="32"/>
        </w:rPr>
      </w:pPr>
      <w:r>
        <w:rPr>
          <w:rFonts w:hint="eastAsia" w:ascii="仿宋" w:hAnsi="仿宋" w:eastAsia="仿宋" w:cs="仿宋_GB2312"/>
          <w:color w:val="auto"/>
          <w:sz w:val="32"/>
          <w:szCs w:val="32"/>
        </w:rPr>
        <w:t>九、国有资本经营预算财政拨款支出决算表</w:t>
      </w:r>
    </w:p>
    <w:p>
      <w:pPr>
        <w:pStyle w:val="11"/>
        <w:spacing w:line="600" w:lineRule="exact"/>
        <w:ind w:firstLine="1120" w:firstLineChars="400"/>
        <w:rPr>
          <w:rFonts w:ascii="仿宋_GB2312" w:hAnsi="仿宋_GB2312" w:cs="仿宋_GB2312"/>
          <w:b/>
          <w:color w:val="auto"/>
          <w:sz w:val="28"/>
          <w:szCs w:val="28"/>
        </w:rPr>
      </w:pPr>
      <w:r>
        <w:rPr>
          <w:rFonts w:hint="eastAsia" w:hAnsi="仿宋_GB2312"/>
          <w:b/>
          <w:color w:val="auto"/>
          <w:sz w:val="28"/>
          <w:szCs w:val="28"/>
        </w:rPr>
        <w:t>第三部分</w:t>
      </w:r>
      <w:r>
        <w:rPr>
          <w:rFonts w:hAnsi="仿宋_GB2312"/>
          <w:b/>
          <w:color w:val="auto"/>
          <w:sz w:val="28"/>
          <w:szCs w:val="28"/>
        </w:rPr>
        <w:t>20</w:t>
      </w:r>
      <w:r>
        <w:rPr>
          <w:rFonts w:hint="eastAsia" w:hAnsi="仿宋_GB2312"/>
          <w:b/>
          <w:color w:val="auto"/>
          <w:sz w:val="28"/>
          <w:szCs w:val="28"/>
        </w:rPr>
        <w:t>21年度部门决算情况说明</w:t>
      </w:r>
    </w:p>
    <w:p>
      <w:pPr>
        <w:pStyle w:val="11"/>
        <w:spacing w:line="600" w:lineRule="exact"/>
        <w:ind w:firstLine="1280" w:firstLineChars="400"/>
        <w:rPr>
          <w:rFonts w:ascii="仿宋" w:hAnsi="仿宋" w:eastAsia="仿宋" w:cs="仿宋_GB2312"/>
          <w:color w:val="auto"/>
          <w:sz w:val="32"/>
          <w:szCs w:val="32"/>
        </w:rPr>
      </w:pPr>
      <w:r>
        <w:rPr>
          <w:rFonts w:ascii="仿宋" w:hAnsi="仿宋" w:eastAsia="仿宋" w:cs="仿宋_GB2312"/>
          <w:color w:val="auto"/>
          <w:sz w:val="32"/>
          <w:szCs w:val="32"/>
        </w:rPr>
        <w:t>一、收入支出决算总体情况说明</w:t>
      </w:r>
    </w:p>
    <w:p>
      <w:pPr>
        <w:spacing w:line="600" w:lineRule="exact"/>
        <w:ind w:firstLine="1280" w:firstLineChars="400"/>
        <w:jc w:val="left"/>
        <w:rPr>
          <w:rFonts w:ascii="仿宋" w:hAnsi="仿宋" w:eastAsia="仿宋" w:cs="仿宋_GB2312"/>
          <w:color w:val="auto"/>
          <w:sz w:val="32"/>
          <w:szCs w:val="32"/>
        </w:rPr>
      </w:pPr>
      <w:r>
        <w:rPr>
          <w:rFonts w:ascii="仿宋" w:hAnsi="仿宋" w:eastAsia="仿宋" w:cs="仿宋_GB2312"/>
          <w:color w:val="auto"/>
          <w:sz w:val="32"/>
          <w:szCs w:val="32"/>
        </w:rPr>
        <w:t>二、收入决算情况说明</w:t>
      </w:r>
    </w:p>
    <w:p>
      <w:pPr>
        <w:autoSpaceDE w:val="0"/>
        <w:autoSpaceDN w:val="0"/>
        <w:adjustRightInd w:val="0"/>
        <w:spacing w:line="600" w:lineRule="exact"/>
        <w:ind w:firstLine="1280" w:firstLineChars="400"/>
        <w:jc w:val="left"/>
        <w:rPr>
          <w:rFonts w:ascii="仿宋" w:hAnsi="仿宋" w:eastAsia="仿宋" w:cs="仿宋_GB2312"/>
          <w:color w:val="auto"/>
          <w:kern w:val="0"/>
          <w:sz w:val="32"/>
          <w:szCs w:val="32"/>
        </w:rPr>
      </w:pPr>
      <w:r>
        <w:rPr>
          <w:rFonts w:ascii="仿宋" w:hAnsi="仿宋" w:eastAsia="仿宋" w:cs="仿宋_GB2312"/>
          <w:color w:val="auto"/>
          <w:kern w:val="0"/>
          <w:sz w:val="32"/>
          <w:szCs w:val="32"/>
        </w:rPr>
        <w:t>三、支出决算情况说明</w:t>
      </w:r>
    </w:p>
    <w:p>
      <w:pPr>
        <w:autoSpaceDE w:val="0"/>
        <w:autoSpaceDN w:val="0"/>
        <w:adjustRightInd w:val="0"/>
        <w:spacing w:line="600" w:lineRule="exact"/>
        <w:ind w:firstLine="1280" w:firstLineChars="400"/>
        <w:jc w:val="left"/>
        <w:rPr>
          <w:rFonts w:ascii="仿宋" w:hAnsi="仿宋" w:eastAsia="仿宋" w:cs="仿宋_GB2312"/>
          <w:color w:val="auto"/>
          <w:kern w:val="0"/>
          <w:sz w:val="32"/>
          <w:szCs w:val="32"/>
        </w:rPr>
      </w:pPr>
      <w:r>
        <w:rPr>
          <w:rFonts w:ascii="仿宋" w:hAnsi="仿宋" w:eastAsia="仿宋" w:cs="仿宋_GB2312"/>
          <w:color w:val="auto"/>
          <w:kern w:val="0"/>
          <w:sz w:val="32"/>
          <w:szCs w:val="32"/>
        </w:rPr>
        <w:t>四、财政拨款收入支出决算总体情况说明</w:t>
      </w:r>
    </w:p>
    <w:p>
      <w:pPr>
        <w:autoSpaceDE w:val="0"/>
        <w:autoSpaceDN w:val="0"/>
        <w:adjustRightInd w:val="0"/>
        <w:spacing w:line="600" w:lineRule="exact"/>
        <w:ind w:firstLine="1280" w:firstLineChars="400"/>
        <w:jc w:val="left"/>
        <w:rPr>
          <w:rFonts w:ascii="仿宋" w:hAnsi="仿宋" w:eastAsia="仿宋" w:cs="仿宋_GB2312"/>
          <w:color w:val="auto"/>
          <w:kern w:val="0"/>
          <w:sz w:val="32"/>
          <w:szCs w:val="32"/>
        </w:rPr>
      </w:pPr>
      <w:r>
        <w:rPr>
          <w:rFonts w:ascii="仿宋" w:hAnsi="仿宋" w:eastAsia="仿宋" w:cs="仿宋_GB2312"/>
          <w:color w:val="auto"/>
          <w:kern w:val="0"/>
          <w:sz w:val="32"/>
          <w:szCs w:val="32"/>
        </w:rPr>
        <w:t>五、一般公共预算财政拨款支出决算情况说明</w:t>
      </w:r>
    </w:p>
    <w:p>
      <w:pPr>
        <w:autoSpaceDE w:val="0"/>
        <w:autoSpaceDN w:val="0"/>
        <w:adjustRightInd w:val="0"/>
        <w:spacing w:line="600" w:lineRule="exact"/>
        <w:ind w:firstLine="1280" w:firstLineChars="400"/>
        <w:jc w:val="left"/>
        <w:rPr>
          <w:rFonts w:ascii="仿宋" w:hAnsi="仿宋" w:eastAsia="仿宋" w:cs="仿宋_GB2312"/>
          <w:color w:val="auto"/>
          <w:kern w:val="0"/>
          <w:sz w:val="32"/>
          <w:szCs w:val="32"/>
        </w:rPr>
      </w:pPr>
      <w:r>
        <w:rPr>
          <w:rFonts w:ascii="仿宋" w:hAnsi="仿宋" w:eastAsia="仿宋" w:cs="仿宋_GB2312"/>
          <w:color w:val="auto"/>
          <w:kern w:val="0"/>
          <w:sz w:val="32"/>
          <w:szCs w:val="32"/>
        </w:rPr>
        <w:t>六、一般公共预算财政拨款基本支出决算情况说明</w:t>
      </w:r>
    </w:p>
    <w:p>
      <w:pPr>
        <w:autoSpaceDE w:val="0"/>
        <w:autoSpaceDN w:val="0"/>
        <w:adjustRightInd w:val="0"/>
        <w:spacing w:line="600" w:lineRule="exact"/>
        <w:ind w:firstLine="1280" w:firstLineChars="400"/>
        <w:jc w:val="left"/>
        <w:rPr>
          <w:rFonts w:ascii="仿宋" w:hAnsi="仿宋" w:eastAsia="仿宋" w:cs="仿宋_GB2312"/>
          <w:color w:val="auto"/>
          <w:kern w:val="0"/>
          <w:sz w:val="32"/>
          <w:szCs w:val="32"/>
        </w:rPr>
      </w:pPr>
      <w:r>
        <w:rPr>
          <w:rFonts w:ascii="仿宋" w:hAnsi="仿宋" w:eastAsia="仿宋" w:cs="仿宋_GB2312"/>
          <w:color w:val="auto"/>
          <w:kern w:val="0"/>
          <w:sz w:val="32"/>
          <w:szCs w:val="32"/>
        </w:rPr>
        <w:t>七、一般公共预算财政拨款</w:t>
      </w:r>
      <w:r>
        <w:rPr>
          <w:rFonts w:hint="eastAsia" w:ascii="仿宋" w:hAnsi="仿宋" w:eastAsia="仿宋" w:cs="仿宋_GB2312"/>
          <w:color w:val="auto"/>
          <w:kern w:val="0"/>
          <w:sz w:val="32"/>
          <w:szCs w:val="32"/>
        </w:rPr>
        <w:t>“</w:t>
      </w:r>
      <w:r>
        <w:rPr>
          <w:rFonts w:ascii="仿宋" w:hAnsi="仿宋" w:eastAsia="仿宋" w:cs="仿宋_GB2312"/>
          <w:color w:val="auto"/>
          <w:kern w:val="0"/>
          <w:sz w:val="32"/>
          <w:szCs w:val="32"/>
        </w:rPr>
        <w:t>三公</w:t>
      </w:r>
      <w:r>
        <w:rPr>
          <w:rFonts w:hint="eastAsia" w:ascii="仿宋" w:hAnsi="仿宋" w:eastAsia="仿宋" w:cs="仿宋_GB2312"/>
          <w:color w:val="auto"/>
          <w:kern w:val="0"/>
          <w:sz w:val="32"/>
          <w:szCs w:val="32"/>
        </w:rPr>
        <w:t>”</w:t>
      </w:r>
      <w:r>
        <w:rPr>
          <w:rFonts w:ascii="仿宋" w:hAnsi="仿宋" w:eastAsia="仿宋" w:cs="仿宋_GB2312"/>
          <w:color w:val="auto"/>
          <w:kern w:val="0"/>
          <w:sz w:val="32"/>
          <w:szCs w:val="32"/>
        </w:rPr>
        <w:t>经费支出决算情况说明</w:t>
      </w:r>
    </w:p>
    <w:p>
      <w:pPr>
        <w:autoSpaceDE w:val="0"/>
        <w:autoSpaceDN w:val="0"/>
        <w:adjustRightInd w:val="0"/>
        <w:spacing w:line="600" w:lineRule="exact"/>
        <w:ind w:firstLine="1280" w:firstLineChars="400"/>
        <w:jc w:val="left"/>
        <w:rPr>
          <w:rFonts w:ascii="仿宋" w:hAnsi="仿宋" w:eastAsia="仿宋" w:cs="仿宋_GB2312"/>
          <w:color w:val="auto"/>
          <w:kern w:val="0"/>
          <w:sz w:val="32"/>
          <w:szCs w:val="32"/>
        </w:rPr>
      </w:pPr>
      <w:r>
        <w:rPr>
          <w:rFonts w:hint="eastAsia" w:ascii="仿宋" w:hAnsi="仿宋" w:eastAsia="仿宋" w:cs="仿宋_GB2312"/>
          <w:color w:val="auto"/>
          <w:kern w:val="0"/>
          <w:sz w:val="32"/>
          <w:szCs w:val="32"/>
        </w:rPr>
        <w:t>八</w:t>
      </w:r>
      <w:r>
        <w:rPr>
          <w:rFonts w:ascii="仿宋" w:hAnsi="仿宋" w:eastAsia="仿宋" w:cs="仿宋_GB2312"/>
          <w:color w:val="auto"/>
          <w:kern w:val="0"/>
          <w:sz w:val="32"/>
          <w:szCs w:val="32"/>
        </w:rPr>
        <w:t>、</w:t>
      </w:r>
      <w:r>
        <w:rPr>
          <w:rFonts w:hint="eastAsia" w:ascii="仿宋" w:hAnsi="仿宋" w:eastAsia="仿宋" w:cs="仿宋_GB2312"/>
          <w:color w:val="auto"/>
          <w:kern w:val="0"/>
          <w:sz w:val="32"/>
          <w:szCs w:val="32"/>
        </w:rPr>
        <w:t>政府性基金预算收入支出决算情况</w:t>
      </w:r>
    </w:p>
    <w:p>
      <w:pPr>
        <w:autoSpaceDE w:val="0"/>
        <w:autoSpaceDN w:val="0"/>
        <w:adjustRightInd w:val="0"/>
        <w:spacing w:line="600" w:lineRule="exact"/>
        <w:ind w:firstLine="1280" w:firstLineChars="400"/>
        <w:jc w:val="left"/>
        <w:rPr>
          <w:rFonts w:ascii="仿宋" w:hAnsi="仿宋" w:eastAsia="仿宋" w:cs="仿宋_GB2312"/>
          <w:color w:val="auto"/>
          <w:kern w:val="0"/>
          <w:sz w:val="32"/>
          <w:szCs w:val="32"/>
        </w:rPr>
      </w:pPr>
      <w:r>
        <w:rPr>
          <w:rFonts w:hint="eastAsia" w:ascii="仿宋" w:hAnsi="仿宋" w:eastAsia="仿宋" w:cs="仿宋_GB2312"/>
          <w:color w:val="auto"/>
          <w:kern w:val="0"/>
          <w:sz w:val="32"/>
          <w:szCs w:val="32"/>
        </w:rPr>
        <w:t>九、国有资本经营预算财政拨款支出决算情况说明</w:t>
      </w:r>
    </w:p>
    <w:p>
      <w:pPr>
        <w:autoSpaceDE w:val="0"/>
        <w:autoSpaceDN w:val="0"/>
        <w:adjustRightInd w:val="0"/>
        <w:spacing w:line="600" w:lineRule="exact"/>
        <w:ind w:firstLine="1280" w:firstLineChars="400"/>
        <w:jc w:val="left"/>
        <w:rPr>
          <w:rFonts w:ascii="仿宋" w:hAnsi="仿宋" w:eastAsia="仿宋" w:cs="仿宋_GB2312"/>
          <w:color w:val="auto"/>
          <w:kern w:val="0"/>
          <w:sz w:val="32"/>
          <w:szCs w:val="32"/>
        </w:rPr>
      </w:pPr>
      <w:r>
        <w:rPr>
          <w:rFonts w:hint="eastAsia" w:ascii="仿宋" w:hAnsi="仿宋" w:eastAsia="仿宋" w:cs="仿宋_GB2312"/>
          <w:color w:val="auto"/>
          <w:kern w:val="0"/>
          <w:sz w:val="32"/>
          <w:szCs w:val="32"/>
        </w:rPr>
        <w:t>十、关于机关运行经费支出说明</w:t>
      </w:r>
    </w:p>
    <w:p>
      <w:pPr>
        <w:autoSpaceDE w:val="0"/>
        <w:autoSpaceDN w:val="0"/>
        <w:adjustRightInd w:val="0"/>
        <w:spacing w:line="600" w:lineRule="exact"/>
        <w:ind w:firstLine="1280" w:firstLineChars="400"/>
        <w:jc w:val="left"/>
        <w:rPr>
          <w:rFonts w:ascii="仿宋" w:hAnsi="仿宋" w:eastAsia="仿宋" w:cs="仿宋_GB2312"/>
          <w:color w:val="auto"/>
          <w:kern w:val="0"/>
          <w:sz w:val="32"/>
          <w:szCs w:val="32"/>
        </w:rPr>
      </w:pPr>
      <w:r>
        <w:rPr>
          <w:rFonts w:hint="eastAsia" w:ascii="仿宋" w:hAnsi="仿宋" w:eastAsia="仿宋" w:cs="仿宋_GB2312"/>
          <w:color w:val="auto"/>
          <w:kern w:val="0"/>
          <w:sz w:val="32"/>
          <w:szCs w:val="32"/>
        </w:rPr>
        <w:t>十一、一般性支出情况说明</w:t>
      </w:r>
    </w:p>
    <w:p>
      <w:pPr>
        <w:autoSpaceDE w:val="0"/>
        <w:autoSpaceDN w:val="0"/>
        <w:adjustRightInd w:val="0"/>
        <w:spacing w:line="600" w:lineRule="exact"/>
        <w:ind w:firstLine="1280" w:firstLineChars="400"/>
        <w:jc w:val="left"/>
        <w:rPr>
          <w:rFonts w:ascii="仿宋" w:hAnsi="仿宋" w:eastAsia="仿宋" w:cs="仿宋_GB2312"/>
          <w:color w:val="auto"/>
          <w:kern w:val="0"/>
          <w:sz w:val="32"/>
          <w:szCs w:val="32"/>
        </w:rPr>
      </w:pPr>
      <w:r>
        <w:rPr>
          <w:rFonts w:hint="eastAsia" w:ascii="仿宋" w:hAnsi="仿宋" w:eastAsia="仿宋" w:cs="仿宋_GB2312"/>
          <w:color w:val="auto"/>
          <w:kern w:val="0"/>
          <w:sz w:val="32"/>
          <w:szCs w:val="32"/>
        </w:rPr>
        <w:t>十二、关于政府采购支出说明</w:t>
      </w:r>
    </w:p>
    <w:p>
      <w:pPr>
        <w:autoSpaceDE w:val="0"/>
        <w:autoSpaceDN w:val="0"/>
        <w:adjustRightInd w:val="0"/>
        <w:spacing w:line="600" w:lineRule="exact"/>
        <w:ind w:firstLine="1280" w:firstLineChars="400"/>
        <w:jc w:val="left"/>
        <w:rPr>
          <w:rFonts w:ascii="仿宋" w:hAnsi="仿宋" w:eastAsia="仿宋" w:cs="仿宋_GB2312"/>
          <w:color w:val="auto"/>
          <w:kern w:val="0"/>
          <w:sz w:val="32"/>
          <w:szCs w:val="32"/>
        </w:rPr>
      </w:pPr>
      <w:r>
        <w:rPr>
          <w:rFonts w:hint="eastAsia" w:ascii="仿宋" w:hAnsi="仿宋" w:eastAsia="仿宋" w:cs="仿宋_GB2312"/>
          <w:color w:val="auto"/>
          <w:kern w:val="0"/>
          <w:sz w:val="32"/>
          <w:szCs w:val="32"/>
        </w:rPr>
        <w:t>十三、关于国有资产占用情况说明</w:t>
      </w:r>
    </w:p>
    <w:p>
      <w:pPr>
        <w:autoSpaceDE w:val="0"/>
        <w:autoSpaceDN w:val="0"/>
        <w:adjustRightInd w:val="0"/>
        <w:spacing w:line="600" w:lineRule="exact"/>
        <w:ind w:firstLine="1280" w:firstLineChars="400"/>
        <w:jc w:val="left"/>
        <w:rPr>
          <w:rFonts w:ascii="仿宋_GB2312" w:hAnsi="仿宋_GB2312" w:cs="仿宋_GB2312"/>
          <w:color w:val="auto"/>
          <w:sz w:val="28"/>
          <w:szCs w:val="28"/>
        </w:rPr>
      </w:pPr>
      <w:r>
        <w:rPr>
          <w:rFonts w:hint="eastAsia" w:ascii="仿宋" w:hAnsi="仿宋" w:eastAsia="仿宋" w:cs="仿宋_GB2312"/>
          <w:color w:val="auto"/>
          <w:kern w:val="0"/>
          <w:sz w:val="32"/>
          <w:szCs w:val="32"/>
        </w:rPr>
        <w:t>十四、关于2021年度预算绩效情况的说明</w:t>
      </w:r>
    </w:p>
    <w:p>
      <w:pPr>
        <w:autoSpaceDE w:val="0"/>
        <w:autoSpaceDN w:val="0"/>
        <w:adjustRightInd w:val="0"/>
        <w:spacing w:line="600" w:lineRule="exact"/>
        <w:ind w:firstLine="1280" w:firstLineChars="400"/>
        <w:jc w:val="left"/>
        <w:rPr>
          <w:rFonts w:ascii="黑体" w:hAnsi="黑体" w:eastAsia="黑体" w:cs="黑体"/>
          <w:b/>
          <w:color w:val="auto"/>
          <w:kern w:val="0"/>
          <w:sz w:val="32"/>
          <w:szCs w:val="32"/>
        </w:rPr>
      </w:pPr>
      <w:r>
        <w:rPr>
          <w:rFonts w:ascii="黑体" w:hAnsi="黑体" w:eastAsia="黑体" w:cs="黑体"/>
          <w:b/>
          <w:color w:val="auto"/>
          <w:kern w:val="0"/>
          <w:sz w:val="32"/>
          <w:szCs w:val="32"/>
        </w:rPr>
        <w:t>第四部分名词解释</w:t>
      </w:r>
    </w:p>
    <w:p>
      <w:pPr>
        <w:autoSpaceDE w:val="0"/>
        <w:autoSpaceDN w:val="0"/>
        <w:adjustRightInd w:val="0"/>
        <w:spacing w:line="600" w:lineRule="exact"/>
        <w:ind w:firstLine="1280" w:firstLineChars="400"/>
        <w:jc w:val="left"/>
        <w:rPr>
          <w:rFonts w:hint="eastAsia" w:ascii="黑体" w:hAnsi="黑体" w:eastAsia="黑体" w:cs="黑体"/>
          <w:b/>
          <w:color w:val="auto"/>
          <w:kern w:val="0"/>
          <w:sz w:val="32"/>
          <w:szCs w:val="32"/>
        </w:rPr>
      </w:pPr>
      <w:r>
        <w:rPr>
          <w:rFonts w:hint="eastAsia" w:ascii="黑体" w:hAnsi="黑体" w:eastAsia="黑体" w:cs="黑体"/>
          <w:b/>
          <w:color w:val="auto"/>
          <w:kern w:val="0"/>
          <w:sz w:val="32"/>
          <w:szCs w:val="32"/>
        </w:rPr>
        <w:t>第五部分附件</w:t>
      </w:r>
    </w:p>
    <w:p>
      <w:pPr>
        <w:pStyle w:val="2"/>
        <w:rPr>
          <w:rFonts w:hint="eastAsia"/>
          <w:color w:val="auto"/>
        </w:rPr>
      </w:pPr>
    </w:p>
    <w:p>
      <w:pPr>
        <w:pStyle w:val="2"/>
        <w:rPr>
          <w:rFonts w:hint="eastAsia"/>
          <w:color w:val="auto"/>
        </w:rPr>
      </w:pPr>
    </w:p>
    <w:p>
      <w:pPr>
        <w:pStyle w:val="2"/>
        <w:rPr>
          <w:color w:val="auto"/>
        </w:rPr>
      </w:pPr>
    </w:p>
    <w:p>
      <w:pPr>
        <w:pStyle w:val="11"/>
        <w:ind w:firstLine="3520" w:firstLineChars="800"/>
        <w:rPr>
          <w:rFonts w:hAnsi="黑体"/>
          <w:b/>
          <w:color w:val="auto"/>
          <w:sz w:val="44"/>
          <w:szCs w:val="44"/>
        </w:rPr>
      </w:pPr>
      <w:r>
        <w:rPr>
          <w:rFonts w:hint="eastAsia" w:hAnsi="黑体"/>
          <w:b/>
          <w:color w:val="auto"/>
          <w:sz w:val="44"/>
          <w:szCs w:val="44"/>
        </w:rPr>
        <w:t>第一部分怀化日报社概况</w:t>
      </w:r>
    </w:p>
    <w:p>
      <w:pPr>
        <w:jc w:val="center"/>
        <w:rPr>
          <w:color w:val="auto"/>
          <w:sz w:val="72"/>
          <w:szCs w:val="72"/>
        </w:rPr>
      </w:pPr>
    </w:p>
    <w:p>
      <w:pPr>
        <w:pStyle w:val="12"/>
        <w:spacing w:line="600" w:lineRule="exact"/>
        <w:ind w:left="1360" w:firstLine="0" w:firstLineChars="0"/>
        <w:jc w:val="left"/>
        <w:rPr>
          <w:rFonts w:ascii="仿宋" w:hAnsi="仿宋" w:eastAsia="仿宋"/>
          <w:color w:val="auto"/>
          <w:sz w:val="32"/>
          <w:szCs w:val="32"/>
        </w:rPr>
      </w:pPr>
      <w:r>
        <w:rPr>
          <w:rFonts w:hint="eastAsia" w:ascii="黑体" w:hAnsi="黑体" w:eastAsia="黑体" w:cs="黑体"/>
          <w:bCs/>
          <w:color w:val="auto"/>
          <w:kern w:val="0"/>
          <w:sz w:val="32"/>
          <w:szCs w:val="32"/>
        </w:rPr>
        <w:t>一、</w:t>
      </w:r>
      <w:r>
        <w:rPr>
          <w:rFonts w:ascii="黑体" w:hAnsi="黑体" w:eastAsia="黑体" w:cs="黑体"/>
          <w:bCs/>
          <w:color w:val="auto"/>
          <w:kern w:val="0"/>
          <w:sz w:val="32"/>
          <w:szCs w:val="32"/>
        </w:rPr>
        <w:t>部门职责</w:t>
      </w:r>
    </w:p>
    <w:p>
      <w:pPr>
        <w:widowControl/>
        <w:spacing w:line="600" w:lineRule="exact"/>
        <w:ind w:firstLine="640" w:firstLineChars="200"/>
        <w:rPr>
          <w:rFonts w:ascii="仿宋" w:hAnsi="仿宋" w:eastAsia="仿宋"/>
          <w:bCs/>
          <w:color w:val="auto"/>
          <w:kern w:val="0"/>
          <w:sz w:val="32"/>
          <w:szCs w:val="32"/>
        </w:rPr>
      </w:pPr>
      <w:r>
        <w:rPr>
          <w:rFonts w:hint="eastAsia" w:ascii="仿宋" w:hAnsi="仿宋" w:eastAsia="仿宋"/>
          <w:bCs/>
          <w:color w:val="auto"/>
          <w:kern w:val="0"/>
          <w:sz w:val="32"/>
          <w:szCs w:val="32"/>
        </w:rPr>
        <w:t>传播湖南省怀化市新闻和其他信息，促进地方社会经济文化发展，主报出版、本报发行、广告、新闻研究、新闻培训、印刷、制版、装订、新闻业务交流及相关社会服务。</w:t>
      </w:r>
    </w:p>
    <w:p>
      <w:pPr>
        <w:widowControl/>
        <w:spacing w:line="600" w:lineRule="exact"/>
        <w:ind w:firstLine="640" w:firstLineChars="200"/>
        <w:rPr>
          <w:rFonts w:ascii="仿宋" w:hAnsi="仿宋" w:eastAsia="仿宋"/>
          <w:bCs/>
          <w:color w:val="auto"/>
          <w:kern w:val="0"/>
          <w:sz w:val="32"/>
          <w:szCs w:val="32"/>
        </w:rPr>
      </w:pPr>
      <w:r>
        <w:rPr>
          <w:rFonts w:hint="eastAsia" w:ascii="仿宋" w:hAnsi="仿宋" w:eastAsia="仿宋"/>
          <w:bCs/>
          <w:color w:val="auto"/>
          <w:kern w:val="0"/>
          <w:sz w:val="32"/>
          <w:szCs w:val="32"/>
        </w:rPr>
        <w:t>《怀化日报》创刊于1986年10月1日，周七刊，对开四版，面向全国公开发行。从2001年起承接彩色印刷。</w:t>
      </w:r>
    </w:p>
    <w:p>
      <w:pPr>
        <w:widowControl/>
        <w:spacing w:line="600" w:lineRule="exact"/>
        <w:ind w:firstLine="640" w:firstLineChars="200"/>
        <w:rPr>
          <w:rFonts w:ascii="黑体" w:hAnsi="黑体" w:eastAsia="黑体" w:cs="黑体"/>
          <w:bCs/>
          <w:color w:val="auto"/>
          <w:kern w:val="0"/>
          <w:sz w:val="32"/>
          <w:szCs w:val="32"/>
        </w:rPr>
      </w:pPr>
      <w:r>
        <w:rPr>
          <w:rFonts w:hint="eastAsia" w:ascii="黑体" w:hAnsi="黑体" w:eastAsia="黑体" w:cs="黑体"/>
          <w:bCs/>
          <w:color w:val="auto"/>
          <w:kern w:val="0"/>
          <w:sz w:val="32"/>
          <w:szCs w:val="32"/>
        </w:rPr>
        <w:t>二、机构设置及决算单位构成</w:t>
      </w:r>
    </w:p>
    <w:p>
      <w:pPr>
        <w:widowControl/>
        <w:spacing w:line="600" w:lineRule="exact"/>
        <w:ind w:firstLine="640" w:firstLineChars="200"/>
        <w:jc w:val="left"/>
        <w:rPr>
          <w:rFonts w:ascii="仿宋" w:hAnsi="仿宋" w:eastAsia="仿宋"/>
          <w:bCs/>
          <w:color w:val="auto"/>
          <w:kern w:val="0"/>
          <w:sz w:val="32"/>
          <w:szCs w:val="32"/>
        </w:rPr>
      </w:pPr>
      <w:r>
        <w:rPr>
          <w:rFonts w:hint="eastAsia" w:ascii="仿宋" w:hAnsi="仿宋" w:eastAsia="仿宋"/>
          <w:b/>
          <w:bCs/>
          <w:color w:val="auto"/>
          <w:kern w:val="0"/>
          <w:sz w:val="32"/>
          <w:szCs w:val="32"/>
        </w:rPr>
        <w:t>（一）内设机构设置</w:t>
      </w:r>
      <w:r>
        <w:rPr>
          <w:rFonts w:hint="eastAsia" w:ascii="仿宋" w:hAnsi="仿宋" w:eastAsia="仿宋"/>
          <w:bCs/>
          <w:color w:val="auto"/>
          <w:kern w:val="0"/>
          <w:sz w:val="32"/>
          <w:szCs w:val="32"/>
        </w:rPr>
        <w:t>：怀化日报社作为一级部门预算单位，内设科室为：办公室、人事科、总编室、要闻部、摄影部、广告部、发行部、出版部、财务科等。</w:t>
      </w:r>
    </w:p>
    <w:p>
      <w:pPr>
        <w:pStyle w:val="6"/>
        <w:widowControl/>
        <w:spacing w:line="600" w:lineRule="exact"/>
        <w:ind w:firstLine="640" w:firstLineChars="200"/>
        <w:jc w:val="both"/>
        <w:rPr>
          <w:rFonts w:ascii="仿宋" w:hAnsi="仿宋" w:eastAsia="仿宋"/>
          <w:bCs/>
          <w:color w:val="auto"/>
          <w:sz w:val="32"/>
          <w:szCs w:val="32"/>
        </w:rPr>
      </w:pPr>
      <w:r>
        <w:rPr>
          <w:rFonts w:hint="eastAsia" w:ascii="仿宋" w:hAnsi="仿宋" w:eastAsia="仿宋"/>
          <w:b/>
          <w:bCs/>
          <w:color w:val="auto"/>
          <w:sz w:val="32"/>
          <w:szCs w:val="32"/>
        </w:rPr>
        <w:t>（二）决算单位构成：</w:t>
      </w:r>
      <w:r>
        <w:rPr>
          <w:rFonts w:hint="eastAsia" w:ascii="仿宋" w:hAnsi="仿宋" w:eastAsia="仿宋"/>
          <w:bCs/>
          <w:color w:val="auto"/>
          <w:sz w:val="32"/>
          <w:szCs w:val="32"/>
        </w:rPr>
        <w:t>2021年部门决算汇总公开单位构为怀化日报社本级。</w:t>
      </w:r>
    </w:p>
    <w:p>
      <w:pPr>
        <w:widowControl/>
        <w:spacing w:line="600" w:lineRule="exact"/>
        <w:ind w:firstLine="640" w:firstLineChars="200"/>
        <w:rPr>
          <w:rFonts w:ascii="仿宋" w:hAnsi="仿宋" w:eastAsia="仿宋"/>
          <w:bCs/>
          <w:color w:val="auto"/>
          <w:kern w:val="0"/>
          <w:sz w:val="32"/>
          <w:szCs w:val="32"/>
        </w:rPr>
      </w:pPr>
    </w:p>
    <w:p>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auto"/>
        <w:rPr>
          <w:rFonts w:hAnsi="Calibri"/>
          <w:color w:val="auto"/>
          <w:sz w:val="84"/>
          <w:szCs w:val="84"/>
        </w:rPr>
      </w:pPr>
      <w:r>
        <w:rPr>
          <w:rFonts w:hint="eastAsia" w:hAnsi="黑体"/>
          <w:b/>
          <w:bCs/>
          <w:color w:val="auto"/>
          <w:sz w:val="44"/>
          <w:szCs w:val="44"/>
        </w:rPr>
        <w:t>第二部分 部门决算表</w:t>
      </w:r>
    </w:p>
    <w:p>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auto"/>
        <w:rPr>
          <w:rFonts w:ascii="仿宋" w:hAnsi="仿宋" w:eastAsia="仿宋"/>
          <w:color w:val="auto"/>
          <w:sz w:val="32"/>
          <w:szCs w:val="32"/>
        </w:rPr>
      </w:pPr>
      <w:r>
        <w:rPr>
          <w:rFonts w:hint="eastAsia" w:ascii="仿宋" w:hAnsi="仿宋" w:eastAsia="仿宋" w:cs="仿宋"/>
          <w:color w:val="auto"/>
          <w:sz w:val="32"/>
          <w:szCs w:val="32"/>
        </w:rPr>
        <w:t>（详情见附件）</w:t>
      </w:r>
    </w:p>
    <w:p>
      <w:pPr>
        <w:pStyle w:val="11"/>
        <w:spacing w:line="600" w:lineRule="exact"/>
        <w:ind w:firstLine="640" w:firstLineChars="200"/>
        <w:jc w:val="both"/>
        <w:rPr>
          <w:rFonts w:ascii="仿宋" w:hAnsi="仿宋" w:eastAsia="仿宋"/>
          <w:color w:val="auto"/>
          <w:sz w:val="32"/>
          <w:szCs w:val="32"/>
        </w:rPr>
      </w:pPr>
    </w:p>
    <w:p>
      <w:pPr>
        <w:pStyle w:val="11"/>
        <w:spacing w:line="600" w:lineRule="exact"/>
        <w:ind w:firstLine="1760" w:firstLineChars="400"/>
        <w:rPr>
          <w:rFonts w:hint="eastAsia" w:hAnsi="黑体"/>
          <w:b/>
          <w:color w:val="auto"/>
          <w:sz w:val="44"/>
          <w:szCs w:val="44"/>
        </w:rPr>
      </w:pPr>
      <w:r>
        <w:rPr>
          <w:rFonts w:hint="eastAsia" w:hAnsi="黑体"/>
          <w:b/>
          <w:color w:val="auto"/>
          <w:sz w:val="44"/>
          <w:szCs w:val="44"/>
        </w:rPr>
        <w:t>第三部分 2021年度部门决算情况说明</w:t>
      </w:r>
    </w:p>
    <w:p>
      <w:pPr>
        <w:pStyle w:val="11"/>
        <w:spacing w:line="600" w:lineRule="exact"/>
        <w:ind w:firstLine="1280" w:firstLineChars="400"/>
        <w:rPr>
          <w:rFonts w:ascii="仿宋" w:hAnsi="仿宋" w:eastAsia="仿宋"/>
          <w:color w:val="auto"/>
          <w:sz w:val="32"/>
          <w:szCs w:val="32"/>
        </w:rPr>
      </w:pPr>
    </w:p>
    <w:p>
      <w:pPr>
        <w:widowControl/>
        <w:spacing w:line="600" w:lineRule="exact"/>
        <w:ind w:firstLine="640" w:firstLineChars="200"/>
        <w:jc w:val="left"/>
        <w:rPr>
          <w:rFonts w:ascii="黑体" w:hAnsi="黑体" w:eastAsia="黑体" w:cs="Times New Roman"/>
          <w:color w:val="auto"/>
          <w:kern w:val="0"/>
          <w:sz w:val="32"/>
          <w:szCs w:val="32"/>
        </w:rPr>
      </w:pPr>
      <w:r>
        <w:rPr>
          <w:rFonts w:hint="eastAsia" w:ascii="黑体" w:hAnsi="黑体" w:eastAsia="黑体" w:cs="Times New Roman"/>
          <w:color w:val="auto"/>
          <w:kern w:val="0"/>
          <w:sz w:val="32"/>
          <w:szCs w:val="32"/>
        </w:rPr>
        <w:t>一、收入支出决算总体情况说明</w:t>
      </w:r>
    </w:p>
    <w:p>
      <w:pPr>
        <w:pStyle w:val="11"/>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2021年度收入总计2</w:t>
      </w:r>
      <w:r>
        <w:rPr>
          <w:rFonts w:hint="eastAsia" w:ascii="仿宋" w:hAnsi="仿宋" w:eastAsia="仿宋"/>
          <w:color w:val="auto"/>
          <w:sz w:val="32"/>
          <w:szCs w:val="32"/>
          <w:lang w:val="en-US" w:eastAsia="zh-CN"/>
        </w:rPr>
        <w:t>,</w:t>
      </w:r>
      <w:r>
        <w:rPr>
          <w:rFonts w:hint="eastAsia" w:ascii="仿宋" w:hAnsi="仿宋" w:eastAsia="仿宋"/>
          <w:color w:val="auto"/>
          <w:sz w:val="32"/>
          <w:szCs w:val="32"/>
        </w:rPr>
        <w:t>996.57万元。与上年相比，减少978.4万元，减少32.89%，主要是因为2021年受疫情影响，纸质媒体业绩下滑。</w:t>
      </w:r>
    </w:p>
    <w:p>
      <w:pPr>
        <w:pStyle w:val="11"/>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2021年度支出总计2</w:t>
      </w:r>
      <w:r>
        <w:rPr>
          <w:rFonts w:hint="eastAsia" w:ascii="仿宋" w:hAnsi="仿宋" w:eastAsia="仿宋"/>
          <w:color w:val="auto"/>
          <w:sz w:val="32"/>
          <w:szCs w:val="32"/>
          <w:lang w:val="en-US" w:eastAsia="zh-CN"/>
        </w:rPr>
        <w:t>,</w:t>
      </w:r>
      <w:r>
        <w:rPr>
          <w:rFonts w:hint="eastAsia" w:ascii="仿宋" w:hAnsi="仿宋" w:eastAsia="仿宋"/>
          <w:color w:val="auto"/>
          <w:sz w:val="32"/>
          <w:szCs w:val="32"/>
        </w:rPr>
        <w:t>996.57万元。与上年相比，减少978.4万元，减少32.89%，主要是因为2021年有效缩减事业支出。</w:t>
      </w:r>
    </w:p>
    <w:p>
      <w:pPr>
        <w:widowControl/>
        <w:spacing w:line="600" w:lineRule="exact"/>
        <w:ind w:firstLine="640" w:firstLineChars="200"/>
        <w:jc w:val="left"/>
        <w:rPr>
          <w:rFonts w:ascii="黑体" w:hAnsi="黑体" w:eastAsia="黑体" w:cs="Times New Roman"/>
          <w:color w:val="auto"/>
          <w:kern w:val="0"/>
          <w:sz w:val="32"/>
          <w:szCs w:val="32"/>
        </w:rPr>
      </w:pPr>
      <w:r>
        <w:rPr>
          <w:rFonts w:hint="eastAsia" w:ascii="黑体" w:hAnsi="黑体" w:eastAsia="黑体" w:cs="Times New Roman"/>
          <w:color w:val="auto"/>
          <w:kern w:val="0"/>
          <w:sz w:val="32"/>
          <w:szCs w:val="32"/>
        </w:rPr>
        <w:t>二、收入决算情况说明</w:t>
      </w:r>
    </w:p>
    <w:p>
      <w:pPr>
        <w:pStyle w:val="11"/>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本年收入合计2</w:t>
      </w:r>
      <w:r>
        <w:rPr>
          <w:rFonts w:hint="eastAsia" w:ascii="仿宋" w:hAnsi="仿宋" w:eastAsia="仿宋"/>
          <w:color w:val="auto"/>
          <w:sz w:val="32"/>
          <w:szCs w:val="32"/>
          <w:lang w:val="en-US" w:eastAsia="zh-CN"/>
        </w:rPr>
        <w:t>,</w:t>
      </w:r>
      <w:r>
        <w:rPr>
          <w:rFonts w:hint="eastAsia" w:ascii="仿宋" w:hAnsi="仿宋" w:eastAsia="仿宋"/>
          <w:color w:val="auto"/>
          <w:sz w:val="32"/>
          <w:szCs w:val="32"/>
        </w:rPr>
        <w:t>996.57万元，其中：财政拨款收入642.55万元，占21.44%；上级补助收入0万元，占0%；事业收入0万元，占0%；经营收入2354.02万元，占78.56%；附属单位上缴收入0万元，占0%；其他收入0万元，占0%。</w:t>
      </w:r>
    </w:p>
    <w:p>
      <w:pPr>
        <w:widowControl/>
        <w:spacing w:line="600" w:lineRule="exact"/>
        <w:ind w:firstLine="640" w:firstLineChars="200"/>
        <w:jc w:val="left"/>
        <w:rPr>
          <w:rFonts w:ascii="黑体" w:hAnsi="黑体" w:eastAsia="黑体" w:cs="Times New Roman"/>
          <w:color w:val="auto"/>
          <w:kern w:val="0"/>
          <w:sz w:val="32"/>
          <w:szCs w:val="32"/>
        </w:rPr>
      </w:pPr>
      <w:r>
        <w:rPr>
          <w:rFonts w:hint="eastAsia" w:ascii="黑体" w:hAnsi="黑体" w:eastAsia="黑体" w:cs="Times New Roman"/>
          <w:color w:val="auto"/>
          <w:kern w:val="0"/>
          <w:sz w:val="32"/>
          <w:szCs w:val="32"/>
        </w:rPr>
        <w:t>三、支出决算情况说明</w:t>
      </w:r>
    </w:p>
    <w:p>
      <w:pPr>
        <w:pStyle w:val="11"/>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本年支出合计2</w:t>
      </w:r>
      <w:r>
        <w:rPr>
          <w:rFonts w:hint="eastAsia" w:ascii="仿宋" w:hAnsi="仿宋" w:eastAsia="仿宋"/>
          <w:color w:val="auto"/>
          <w:sz w:val="32"/>
          <w:szCs w:val="32"/>
          <w:lang w:val="en-US" w:eastAsia="zh-CN"/>
        </w:rPr>
        <w:t>,</w:t>
      </w:r>
      <w:r>
        <w:rPr>
          <w:rFonts w:hint="eastAsia" w:ascii="仿宋" w:hAnsi="仿宋" w:eastAsia="仿宋"/>
          <w:color w:val="auto"/>
          <w:sz w:val="32"/>
          <w:szCs w:val="32"/>
        </w:rPr>
        <w:t>996.57万元，其中：基本支出616.75万元，占20.58%；项目支出25.8万元，占0.86%；上缴上级支出0万元，占0%；经营支出2</w:t>
      </w:r>
      <w:r>
        <w:rPr>
          <w:rFonts w:hint="eastAsia" w:ascii="仿宋" w:hAnsi="仿宋" w:eastAsia="仿宋"/>
          <w:color w:val="auto"/>
          <w:sz w:val="32"/>
          <w:szCs w:val="32"/>
          <w:lang w:val="en-US" w:eastAsia="zh-CN"/>
        </w:rPr>
        <w:t>,</w:t>
      </w:r>
      <w:r>
        <w:rPr>
          <w:rFonts w:hint="eastAsia" w:ascii="仿宋" w:hAnsi="仿宋" w:eastAsia="仿宋"/>
          <w:color w:val="auto"/>
          <w:sz w:val="32"/>
          <w:szCs w:val="32"/>
        </w:rPr>
        <w:t>354.02万元，占78.56%；对附属单位补助支出0万元，占0%。</w:t>
      </w:r>
    </w:p>
    <w:p>
      <w:pPr>
        <w:widowControl/>
        <w:spacing w:line="600" w:lineRule="exact"/>
        <w:ind w:firstLine="640" w:firstLineChars="200"/>
        <w:jc w:val="left"/>
        <w:rPr>
          <w:rFonts w:ascii="黑体" w:hAnsi="黑体" w:eastAsia="黑体" w:cs="Times New Roman"/>
          <w:color w:val="auto"/>
          <w:kern w:val="0"/>
          <w:sz w:val="32"/>
          <w:szCs w:val="32"/>
        </w:rPr>
      </w:pPr>
      <w:r>
        <w:rPr>
          <w:rFonts w:hint="eastAsia" w:ascii="黑体" w:hAnsi="黑体" w:eastAsia="黑体" w:cs="Times New Roman"/>
          <w:color w:val="auto"/>
          <w:kern w:val="0"/>
          <w:sz w:val="32"/>
          <w:szCs w:val="32"/>
        </w:rPr>
        <w:t>四、财政拨款收入支出决算总体情况说明</w:t>
      </w:r>
    </w:p>
    <w:p>
      <w:pPr>
        <w:pStyle w:val="11"/>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2021年度财政拨款收入总计642.55万元，与上年相比，减少99.97万元，下降13.46%，主要是因为财政局政策性减少财政拨款金额。</w:t>
      </w:r>
    </w:p>
    <w:p>
      <w:pPr>
        <w:pStyle w:val="11"/>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2021年度财政拨款支出总计642.55万元，与上年相比，减少99.97万元，下降13.46%，主要是因为有效的控制支出金额。</w:t>
      </w:r>
    </w:p>
    <w:p>
      <w:pPr>
        <w:widowControl/>
        <w:spacing w:line="600" w:lineRule="exact"/>
        <w:ind w:firstLine="640" w:firstLineChars="200"/>
        <w:jc w:val="left"/>
        <w:rPr>
          <w:rFonts w:ascii="黑体" w:hAnsi="黑体" w:eastAsia="黑体" w:cs="Times New Roman"/>
          <w:color w:val="auto"/>
          <w:kern w:val="0"/>
          <w:sz w:val="32"/>
          <w:szCs w:val="32"/>
        </w:rPr>
      </w:pPr>
      <w:r>
        <w:rPr>
          <w:rFonts w:hint="eastAsia" w:ascii="黑体" w:hAnsi="黑体" w:eastAsia="黑体" w:cs="Times New Roman"/>
          <w:color w:val="auto"/>
          <w:kern w:val="0"/>
          <w:sz w:val="32"/>
          <w:szCs w:val="32"/>
        </w:rPr>
        <w:t>五、一般公共预算财政拨款支出决算情况说明</w:t>
      </w:r>
    </w:p>
    <w:p>
      <w:pPr>
        <w:pStyle w:val="11"/>
        <w:spacing w:line="600" w:lineRule="exact"/>
        <w:ind w:firstLine="640" w:firstLineChars="200"/>
        <w:rPr>
          <w:rFonts w:ascii="仿宋" w:hAnsi="仿宋" w:eastAsia="仿宋"/>
          <w:b/>
          <w:color w:val="auto"/>
          <w:sz w:val="32"/>
          <w:szCs w:val="32"/>
        </w:rPr>
      </w:pPr>
      <w:r>
        <w:rPr>
          <w:rFonts w:hint="eastAsia" w:ascii="仿宋" w:hAnsi="仿宋" w:eastAsia="仿宋"/>
          <w:b/>
          <w:color w:val="auto"/>
          <w:sz w:val="32"/>
          <w:szCs w:val="32"/>
        </w:rPr>
        <w:t>（一）财政拨款支出决算总体情况</w:t>
      </w:r>
    </w:p>
    <w:p>
      <w:pPr>
        <w:pStyle w:val="11"/>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2021年度财政拨款支出642.55万元，占本年支出合计的21.44%，与上年相比，财政拨款支出减少99.97万元，减少13.46%，主要是因为严格控制开支。</w:t>
      </w:r>
    </w:p>
    <w:p>
      <w:pPr>
        <w:pStyle w:val="11"/>
        <w:spacing w:line="600" w:lineRule="exact"/>
        <w:ind w:firstLine="640" w:firstLineChars="200"/>
        <w:rPr>
          <w:rFonts w:ascii="仿宋" w:hAnsi="仿宋" w:eastAsia="仿宋"/>
          <w:b/>
          <w:color w:val="auto"/>
          <w:sz w:val="32"/>
          <w:szCs w:val="32"/>
        </w:rPr>
      </w:pPr>
      <w:r>
        <w:rPr>
          <w:rFonts w:hint="eastAsia" w:ascii="仿宋" w:hAnsi="仿宋" w:eastAsia="仿宋"/>
          <w:b/>
          <w:color w:val="auto"/>
          <w:sz w:val="32"/>
          <w:szCs w:val="32"/>
        </w:rPr>
        <w:t>（二）财政拨款支出决算结构情况</w:t>
      </w:r>
    </w:p>
    <w:p>
      <w:pPr>
        <w:pStyle w:val="11"/>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2021年度财政拨款支出642.55万元，主要用于以下方面：一般公共服务（类）支出21万元，占3.27%；教育支出（类）支出2万元，占0.31%。文化旅游体育与传媒支出（类）支出619.55万元，占96.42%。</w:t>
      </w:r>
    </w:p>
    <w:p>
      <w:pPr>
        <w:pStyle w:val="11"/>
        <w:spacing w:line="600" w:lineRule="exact"/>
        <w:ind w:firstLine="640" w:firstLineChars="200"/>
        <w:rPr>
          <w:rFonts w:ascii="仿宋" w:hAnsi="仿宋" w:eastAsia="仿宋"/>
          <w:b/>
          <w:color w:val="auto"/>
          <w:sz w:val="32"/>
          <w:szCs w:val="32"/>
        </w:rPr>
      </w:pPr>
      <w:r>
        <w:rPr>
          <w:rFonts w:hint="eastAsia" w:ascii="仿宋" w:hAnsi="仿宋" w:eastAsia="仿宋"/>
          <w:b/>
          <w:color w:val="auto"/>
          <w:sz w:val="32"/>
          <w:szCs w:val="32"/>
        </w:rPr>
        <w:t>（三）财政拨款支出决算具体情况</w:t>
      </w:r>
    </w:p>
    <w:p>
      <w:pPr>
        <w:pStyle w:val="11"/>
        <w:spacing w:line="600" w:lineRule="exact"/>
        <w:ind w:firstLine="640" w:firstLineChars="200"/>
        <w:rPr>
          <w:rFonts w:ascii="仿宋" w:hAnsi="仿宋" w:eastAsia="仿宋"/>
          <w:color w:val="auto"/>
          <w:sz w:val="32"/>
          <w:szCs w:val="32"/>
          <w:highlight w:val="yellow"/>
        </w:rPr>
      </w:pPr>
      <w:r>
        <w:rPr>
          <w:rFonts w:hint="eastAsia" w:ascii="仿宋" w:hAnsi="仿宋" w:eastAsia="仿宋"/>
          <w:color w:val="auto"/>
          <w:sz w:val="32"/>
          <w:szCs w:val="32"/>
        </w:rPr>
        <w:t>2021年度财政拨款支出年初预算数为480.39万元，支出决算数为642.55万元，完成年初预算的133.76%，其中：</w:t>
      </w:r>
    </w:p>
    <w:p>
      <w:pPr>
        <w:pStyle w:val="11"/>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1、一般公共服务（类）政协事务（款）其他政协事务支出（项）。</w:t>
      </w:r>
    </w:p>
    <w:p>
      <w:pPr>
        <w:pStyle w:val="11"/>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年初无预算，支出决算为2.00万元，年初预算为0，无法计算完成比例，决算数大于年初预算数的主要原因是：增加了新闻界别委员工作室经费。</w:t>
      </w:r>
    </w:p>
    <w:p>
      <w:pPr>
        <w:pStyle w:val="11"/>
        <w:numPr>
          <w:ilvl w:val="0"/>
          <w:numId w:val="1"/>
        </w:numPr>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一般公共服务（类）组织事务（款）其他组织事务支出（项）。</w:t>
      </w:r>
    </w:p>
    <w:p>
      <w:pPr>
        <w:pStyle w:val="11"/>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年初无预算，支出决算为9.6万元，年初预算为0，无法计算完成比例，决算数大于年初预算数的主要原因是：2021年度引进人才补贴。</w:t>
      </w:r>
    </w:p>
    <w:p>
      <w:pPr>
        <w:pStyle w:val="11"/>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3、一般公共服务（类）其他一般公共服务支出（款）其他一般公共服务支出（项）。</w:t>
      </w:r>
    </w:p>
    <w:p>
      <w:pPr>
        <w:pStyle w:val="11"/>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年初无预算，支出决算为9.4万元，年初预算为0，无法计算完成比例，决算数大于年初预算数的主要原因是：增加了疫情期间引进人才购房补贴7万元、市五届人大五次会议宣传费2.4万元。</w:t>
      </w:r>
    </w:p>
    <w:p>
      <w:pPr>
        <w:pStyle w:val="11"/>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4、教育支出（类）其他教育支出（款）其他教育支出（项）。</w:t>
      </w:r>
    </w:p>
    <w:p>
      <w:pPr>
        <w:pStyle w:val="11"/>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年初无预算，支出决算为2万元，年初预算为0，无法计算完成比例，决算数大于年初预算数的主要原因是：篮球场及附属设施翻修改造经费。</w:t>
      </w:r>
    </w:p>
    <w:p>
      <w:pPr>
        <w:pStyle w:val="11"/>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5、文化旅游体育与传媒支出（类）文化和旅游（款）其他文化和旅游支出（项）。</w:t>
      </w:r>
    </w:p>
    <w:p>
      <w:pPr>
        <w:pStyle w:val="11"/>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年初无预算，支出决算为2万元，年初预算为0，无法计算完成比例，决算数大于年初预算数的主要原因是：增加了乡村产品直播带货活动经费。</w:t>
      </w:r>
    </w:p>
    <w:p>
      <w:pPr>
        <w:pStyle w:val="11"/>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6、文化旅游体育与传媒支出（类）新闻出版电影（款）其他新闻出版电影支出（项）。</w:t>
      </w:r>
    </w:p>
    <w:p>
      <w:pPr>
        <w:pStyle w:val="11"/>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年初预算480.39万元，支出决算为612.55万元，完成年初预算127.51%，决算数大于年初预算数的主要原因是：在职人员2020年绩效奖结算补差。</w:t>
      </w:r>
    </w:p>
    <w:p>
      <w:pPr>
        <w:pStyle w:val="11"/>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7、文化旅游体育与传媒支出（类）其他文化旅游体育与传媒支出（款）其他文化旅游体育与传媒支出（项）。</w:t>
      </w:r>
    </w:p>
    <w:p>
      <w:pPr>
        <w:pStyle w:val="11"/>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年初无预算，支出决算为5万元，年初预算为0，无法计算完成比例，决算数大于年初预算数的主要原因是：增加了职工文体设施建设经费。</w:t>
      </w:r>
    </w:p>
    <w:p>
      <w:pPr>
        <w:pStyle w:val="11"/>
        <w:spacing w:line="600" w:lineRule="exact"/>
        <w:ind w:firstLine="640" w:firstLineChars="200"/>
        <w:rPr>
          <w:rFonts w:hAnsi="黑体" w:cs="Times New Roman"/>
          <w:color w:val="auto"/>
          <w:sz w:val="32"/>
          <w:szCs w:val="32"/>
        </w:rPr>
      </w:pPr>
      <w:r>
        <w:rPr>
          <w:rFonts w:hint="eastAsia" w:hAnsi="黑体" w:cs="Times New Roman"/>
          <w:color w:val="auto"/>
          <w:sz w:val="32"/>
          <w:szCs w:val="32"/>
        </w:rPr>
        <w:t>六、一般公共预算财政拨款基本支出决算情况说明</w:t>
      </w:r>
    </w:p>
    <w:p>
      <w:pPr>
        <w:pStyle w:val="11"/>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2021年度财政拨款基本支出616.75万元，其中：人员经费596.35万元，占基本支出的96.69%,主要包括基本工资、退休费；公用经费20.4万元，占基本支出的3.31%，主要包括差旅费。</w:t>
      </w:r>
    </w:p>
    <w:p>
      <w:pPr>
        <w:pStyle w:val="11"/>
        <w:spacing w:line="600" w:lineRule="exact"/>
        <w:ind w:firstLine="640" w:firstLineChars="200"/>
        <w:rPr>
          <w:rFonts w:hAnsi="黑体" w:cs="Times New Roman"/>
          <w:color w:val="auto"/>
          <w:sz w:val="32"/>
          <w:szCs w:val="32"/>
        </w:rPr>
      </w:pPr>
      <w:r>
        <w:rPr>
          <w:rFonts w:hint="eastAsia" w:hAnsi="黑体" w:cs="Times New Roman"/>
          <w:color w:val="auto"/>
          <w:sz w:val="32"/>
          <w:szCs w:val="32"/>
        </w:rPr>
        <w:t>七、一般公共预算财政拨款三公经费支出决算情况说明</w:t>
      </w:r>
    </w:p>
    <w:p>
      <w:pPr>
        <w:pStyle w:val="11"/>
        <w:spacing w:line="600" w:lineRule="exact"/>
        <w:ind w:firstLine="640" w:firstLineChars="200"/>
        <w:rPr>
          <w:rFonts w:ascii="仿宋" w:hAnsi="仿宋" w:eastAsia="仿宋"/>
          <w:b/>
          <w:color w:val="auto"/>
          <w:sz w:val="32"/>
          <w:szCs w:val="32"/>
        </w:rPr>
      </w:pPr>
      <w:r>
        <w:rPr>
          <w:rFonts w:hint="eastAsia" w:ascii="仿宋" w:hAnsi="仿宋" w:eastAsia="仿宋"/>
          <w:b/>
          <w:color w:val="auto"/>
          <w:sz w:val="32"/>
          <w:szCs w:val="32"/>
        </w:rPr>
        <w:t>（一）“三公”经费财政拨款支出决算总体情况说明</w:t>
      </w:r>
    </w:p>
    <w:p>
      <w:pPr>
        <w:pStyle w:val="11"/>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“三公”经费财政拨款支出预算为33.3万元，支出决算为0万元，完成预算的0%，其中：</w:t>
      </w:r>
    </w:p>
    <w:p>
      <w:pPr>
        <w:pStyle w:val="11"/>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1、因公出国（境）费支出预算为0万元，支出决算为0万元，决算数与年初预算数持平，主要原因按预算执行，与上年数持平，主要原因本年度未安排因公出国（境）。</w:t>
      </w:r>
    </w:p>
    <w:p>
      <w:pPr>
        <w:pStyle w:val="11"/>
        <w:spacing w:line="60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2、公务接待费支出预算为1.07万元，支出决算为0万元，完成预算的0%，决算数小于预算数的主要原因是本年度公务接待费在经营支出列支。</w:t>
      </w:r>
    </w:p>
    <w:p>
      <w:pPr>
        <w:pStyle w:val="11"/>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3、公务用车购置费及运行维护费支出预算为32.23万元，支出决算为0万元，完成预算的0%，决算数小于预算数的主要原因是本年度公务用车购置费及运行维护费在经营支出列支。</w:t>
      </w:r>
    </w:p>
    <w:p>
      <w:pPr>
        <w:pStyle w:val="11"/>
        <w:spacing w:line="600" w:lineRule="exact"/>
        <w:ind w:firstLine="640" w:firstLineChars="200"/>
        <w:rPr>
          <w:rFonts w:ascii="仿宋" w:hAnsi="仿宋" w:eastAsia="仿宋"/>
          <w:b/>
          <w:color w:val="auto"/>
          <w:sz w:val="32"/>
          <w:szCs w:val="32"/>
        </w:rPr>
      </w:pPr>
      <w:r>
        <w:rPr>
          <w:rFonts w:hint="eastAsia" w:ascii="仿宋" w:hAnsi="仿宋" w:eastAsia="仿宋"/>
          <w:b/>
          <w:color w:val="auto"/>
          <w:sz w:val="32"/>
          <w:szCs w:val="32"/>
        </w:rPr>
        <w:t>（二）“三公”经费财政拨款支出决算具体情况说明</w:t>
      </w:r>
    </w:p>
    <w:p>
      <w:pPr>
        <w:pStyle w:val="6"/>
        <w:widowControl/>
        <w:shd w:val="clear" w:color="auto" w:fill="FFFFFF"/>
        <w:spacing w:before="30" w:after="30" w:line="600" w:lineRule="exact"/>
        <w:ind w:firstLine="640" w:firstLineChars="200"/>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2021年度“三公”经费财政拨款支出决算中，公务接待费支出决算0万元，因公出国（境）费支出决算0万元，公务用车购置费及运行维护费支出决算0万元。其中：</w:t>
      </w:r>
    </w:p>
    <w:p>
      <w:pPr>
        <w:pStyle w:val="6"/>
        <w:widowControl/>
        <w:shd w:val="clear" w:color="auto" w:fill="FFFFFF"/>
        <w:spacing w:before="30" w:after="30" w:line="600" w:lineRule="exact"/>
        <w:ind w:firstLine="640" w:firstLineChars="200"/>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1、因公出国（境）费支出决算为0万元，全年安排因公出国（境）团组0个，累计0人次。</w:t>
      </w:r>
    </w:p>
    <w:p>
      <w:pPr>
        <w:pStyle w:val="6"/>
        <w:widowControl/>
        <w:shd w:val="clear" w:color="auto" w:fill="FFFFFF"/>
        <w:spacing w:before="30" w:after="30" w:line="600" w:lineRule="exact"/>
        <w:ind w:firstLine="640" w:firstLineChars="200"/>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2、公务接待费支出决算为0万元，全年共接待来访团组0个、来宾0人次。</w:t>
      </w:r>
    </w:p>
    <w:p>
      <w:pPr>
        <w:spacing w:line="600" w:lineRule="exact"/>
        <w:ind w:firstLine="640" w:firstLineChars="200"/>
        <w:rPr>
          <w:rFonts w:ascii="仿宋" w:hAnsi="仿宋" w:eastAsia="仿宋"/>
          <w:color w:val="auto"/>
          <w:sz w:val="32"/>
          <w:szCs w:val="32"/>
          <w:highlight w:val="yellow"/>
        </w:rPr>
      </w:pPr>
      <w:r>
        <w:rPr>
          <w:rFonts w:hint="eastAsia" w:ascii="仿宋" w:hAnsi="仿宋" w:eastAsia="仿宋"/>
          <w:color w:val="auto"/>
          <w:sz w:val="32"/>
          <w:szCs w:val="32"/>
        </w:rPr>
        <w:t>3、公务用车购置费及运行维护费支出决算为0万元，其中：公务用车购置费0万元，怀化日报社本级更新公务用车0辆。公务用车运行维护费0万元。本年度公务接待费和公务用车购置费及运行维护费在经营支出列支。</w:t>
      </w:r>
    </w:p>
    <w:p>
      <w:pPr>
        <w:pStyle w:val="11"/>
        <w:spacing w:line="600" w:lineRule="exact"/>
        <w:ind w:firstLine="640" w:firstLineChars="200"/>
        <w:rPr>
          <w:rFonts w:hAnsi="黑体" w:cs="Times New Roman"/>
          <w:color w:val="auto"/>
          <w:sz w:val="32"/>
          <w:szCs w:val="32"/>
        </w:rPr>
      </w:pPr>
      <w:r>
        <w:rPr>
          <w:rFonts w:hint="eastAsia" w:hAnsi="黑体" w:cs="Times New Roman"/>
          <w:color w:val="auto"/>
          <w:sz w:val="32"/>
          <w:szCs w:val="32"/>
        </w:rPr>
        <w:t>八、政府性基金预算收入支出决算情况</w:t>
      </w:r>
    </w:p>
    <w:p>
      <w:pPr>
        <w:pStyle w:val="11"/>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2021年度本单位无政府性基金收支。</w:t>
      </w:r>
    </w:p>
    <w:p>
      <w:pPr>
        <w:pStyle w:val="11"/>
        <w:spacing w:line="600" w:lineRule="exact"/>
        <w:ind w:firstLine="640" w:firstLineChars="200"/>
        <w:rPr>
          <w:rFonts w:hAnsi="黑体" w:cs="Times New Roman"/>
          <w:color w:val="auto"/>
          <w:sz w:val="32"/>
          <w:szCs w:val="32"/>
        </w:rPr>
      </w:pPr>
      <w:r>
        <w:rPr>
          <w:rFonts w:hint="eastAsia" w:hAnsi="黑体" w:cs="Times New Roman"/>
          <w:color w:val="auto"/>
          <w:sz w:val="32"/>
          <w:szCs w:val="32"/>
        </w:rPr>
        <w:t>九、国有资本经营预算财政拨款支出决算情况说明</w:t>
      </w:r>
    </w:p>
    <w:p>
      <w:pPr>
        <w:pStyle w:val="11"/>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2021年度本单位无国有资本经营预算财政拨款支出</w:t>
      </w:r>
    </w:p>
    <w:p>
      <w:pPr>
        <w:pStyle w:val="11"/>
        <w:spacing w:line="600" w:lineRule="exact"/>
        <w:ind w:firstLine="640" w:firstLineChars="200"/>
        <w:rPr>
          <w:rFonts w:hAnsi="黑体" w:cs="Times New Roman"/>
          <w:color w:val="auto"/>
          <w:sz w:val="32"/>
          <w:szCs w:val="32"/>
        </w:rPr>
      </w:pPr>
      <w:r>
        <w:rPr>
          <w:rFonts w:hint="eastAsia" w:hAnsi="黑体" w:cs="Times New Roman"/>
          <w:color w:val="auto"/>
          <w:sz w:val="32"/>
          <w:szCs w:val="32"/>
        </w:rPr>
        <w:t>十、关于机关运行经费支出说明</w:t>
      </w:r>
    </w:p>
    <w:p>
      <w:pPr>
        <w:pStyle w:val="11"/>
        <w:spacing w:line="600" w:lineRule="exact"/>
        <w:ind w:firstLine="640" w:firstLineChars="200"/>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本部门2021年度机关运行经费支出0万元。因为非参公管理的事业单位，2021年一般公共预算拨款的机关运行经费决算数为0万元。</w:t>
      </w:r>
    </w:p>
    <w:p>
      <w:pPr>
        <w:pStyle w:val="11"/>
        <w:spacing w:line="600" w:lineRule="exact"/>
        <w:ind w:firstLine="640" w:firstLineChars="200"/>
        <w:rPr>
          <w:rFonts w:hAnsi="黑体" w:cs="Times New Roman"/>
          <w:color w:val="auto"/>
          <w:sz w:val="32"/>
          <w:szCs w:val="32"/>
        </w:rPr>
      </w:pPr>
      <w:r>
        <w:rPr>
          <w:rFonts w:hint="eastAsia" w:hAnsi="黑体" w:cs="Times New Roman"/>
          <w:color w:val="auto"/>
          <w:sz w:val="32"/>
          <w:szCs w:val="32"/>
        </w:rPr>
        <w:t>十一、一般性支出情况说明</w:t>
      </w:r>
    </w:p>
    <w:p>
      <w:pPr>
        <w:pStyle w:val="11"/>
        <w:spacing w:line="60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2021年度本部门无一般性支出。</w:t>
      </w:r>
    </w:p>
    <w:p>
      <w:pPr>
        <w:widowControl/>
        <w:spacing w:line="600" w:lineRule="exact"/>
        <w:ind w:firstLine="640" w:firstLineChars="200"/>
        <w:jc w:val="left"/>
        <w:rPr>
          <w:rFonts w:ascii="仿宋" w:hAnsi="仿宋" w:eastAsia="仿宋" w:cs="Times New Roman"/>
          <w:color w:val="auto"/>
          <w:sz w:val="32"/>
          <w:szCs w:val="32"/>
        </w:rPr>
      </w:pPr>
      <w:r>
        <w:rPr>
          <w:rFonts w:hint="eastAsia" w:ascii="仿宋" w:hAnsi="仿宋" w:eastAsia="仿宋" w:cs="Times New Roman"/>
          <w:color w:val="auto"/>
          <w:sz w:val="32"/>
          <w:szCs w:val="32"/>
        </w:rPr>
        <w:t>1</w:t>
      </w:r>
      <w:r>
        <w:rPr>
          <w:rFonts w:hint="eastAsia" w:ascii="仿宋" w:hAnsi="仿宋" w:eastAsia="仿宋"/>
          <w:color w:val="auto"/>
          <w:sz w:val="32"/>
          <w:szCs w:val="32"/>
        </w:rPr>
        <w:t>、</w:t>
      </w:r>
      <w:r>
        <w:rPr>
          <w:rFonts w:hint="eastAsia" w:ascii="仿宋" w:hAnsi="仿宋" w:eastAsia="仿宋" w:cs="Times New Roman"/>
          <w:color w:val="auto"/>
          <w:sz w:val="32"/>
          <w:szCs w:val="32"/>
        </w:rPr>
        <w:t>202</w:t>
      </w:r>
      <w:r>
        <w:rPr>
          <w:rFonts w:hint="eastAsia" w:ascii="仿宋" w:hAnsi="仿宋" w:eastAsia="仿宋"/>
          <w:color w:val="auto"/>
          <w:sz w:val="32"/>
          <w:szCs w:val="32"/>
        </w:rPr>
        <w:t>1</w:t>
      </w:r>
      <w:r>
        <w:rPr>
          <w:rFonts w:hint="eastAsia" w:ascii="仿宋" w:hAnsi="仿宋" w:eastAsia="仿宋" w:cs="Times New Roman"/>
          <w:color w:val="auto"/>
          <w:sz w:val="32"/>
          <w:szCs w:val="32"/>
        </w:rPr>
        <w:t>年本部门无会议费。</w:t>
      </w:r>
    </w:p>
    <w:p>
      <w:pPr>
        <w:widowControl/>
        <w:spacing w:line="600" w:lineRule="exact"/>
        <w:ind w:firstLine="640" w:firstLineChars="200"/>
        <w:jc w:val="left"/>
        <w:rPr>
          <w:rFonts w:ascii="仿宋" w:hAnsi="仿宋" w:eastAsia="仿宋" w:cs="Times New Roman"/>
          <w:color w:val="auto"/>
          <w:sz w:val="32"/>
          <w:szCs w:val="32"/>
        </w:rPr>
      </w:pPr>
      <w:r>
        <w:rPr>
          <w:rFonts w:hint="eastAsia" w:ascii="仿宋" w:hAnsi="仿宋" w:eastAsia="仿宋" w:cs="Times New Roman"/>
          <w:color w:val="auto"/>
          <w:sz w:val="32"/>
          <w:szCs w:val="32"/>
        </w:rPr>
        <w:t>2、202</w:t>
      </w:r>
      <w:r>
        <w:rPr>
          <w:rFonts w:hint="eastAsia" w:ascii="仿宋" w:hAnsi="仿宋" w:eastAsia="仿宋"/>
          <w:color w:val="auto"/>
          <w:sz w:val="32"/>
          <w:szCs w:val="32"/>
        </w:rPr>
        <w:t>1</w:t>
      </w:r>
      <w:r>
        <w:rPr>
          <w:rFonts w:hint="eastAsia" w:ascii="仿宋" w:hAnsi="仿宋" w:eastAsia="仿宋" w:cs="Times New Roman"/>
          <w:color w:val="auto"/>
          <w:sz w:val="32"/>
          <w:szCs w:val="32"/>
        </w:rPr>
        <w:t>年本部门无培训费。</w:t>
      </w:r>
    </w:p>
    <w:p>
      <w:pPr>
        <w:pStyle w:val="11"/>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3、2021年本部门未举办节庆、晚会、论坛、赛事。</w:t>
      </w:r>
    </w:p>
    <w:p>
      <w:pPr>
        <w:pStyle w:val="11"/>
        <w:spacing w:line="600" w:lineRule="exact"/>
        <w:ind w:firstLine="640" w:firstLineChars="200"/>
        <w:rPr>
          <w:rFonts w:hAnsi="黑体" w:cs="Times New Roman"/>
          <w:color w:val="auto"/>
          <w:sz w:val="32"/>
          <w:szCs w:val="32"/>
        </w:rPr>
      </w:pPr>
      <w:r>
        <w:rPr>
          <w:rFonts w:hint="eastAsia" w:hAnsi="黑体" w:cs="Times New Roman"/>
          <w:color w:val="auto"/>
          <w:sz w:val="32"/>
          <w:szCs w:val="32"/>
        </w:rPr>
        <w:t>十二、政府采购支出说明</w:t>
      </w:r>
    </w:p>
    <w:p>
      <w:pPr>
        <w:pStyle w:val="11"/>
        <w:spacing w:line="60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本部门2021年度政府采购支出总额0万元，其中：政府采购货物支出0万元、政府采购工程支出0万元、政府采购服务支出0万元。授予中小企业合同金额0万元，占政府采购支出总额的百分比无法计算，其中：授予小微企业合同金额0万元，占政府采购支出总额的百分比无法计算；货物采购授予中小企业合同金额占货物支出金额的百分比无法计算，工程采购授予中小企业合同金额占工程支出金额的百分比无法计算，服务采购授予中小企业合同金额占服务支出金额的百分比无法计算。</w:t>
      </w:r>
    </w:p>
    <w:p>
      <w:pPr>
        <w:pStyle w:val="11"/>
        <w:spacing w:line="600" w:lineRule="exact"/>
        <w:ind w:firstLine="640" w:firstLineChars="200"/>
        <w:rPr>
          <w:rFonts w:hAnsi="黑体" w:cs="Times New Roman"/>
          <w:color w:val="auto"/>
          <w:sz w:val="32"/>
          <w:szCs w:val="32"/>
        </w:rPr>
      </w:pPr>
      <w:r>
        <w:rPr>
          <w:rFonts w:hint="eastAsia" w:hAnsi="黑体" w:cs="Times New Roman"/>
          <w:color w:val="auto"/>
          <w:sz w:val="32"/>
          <w:szCs w:val="32"/>
        </w:rPr>
        <w:t>十三、国有资产占用情况说明</w:t>
      </w:r>
    </w:p>
    <w:p>
      <w:pPr>
        <w:pStyle w:val="11"/>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截至2021年12月31日，本单位共有车辆9辆，其中，主要领导干部用车0辆，机要通信用车7辆、应急保障用车0辆、执法执勤用车0辆、特种专业技术用车0辆、其他用车2辆，其他用车主要是印刷车间用车，大型叉车；单位价值50万元以上通用设备3台（套）；单位价值100万元以上专用设备4台（套）。</w:t>
      </w:r>
    </w:p>
    <w:p>
      <w:pPr>
        <w:pStyle w:val="11"/>
        <w:spacing w:line="600" w:lineRule="exact"/>
        <w:ind w:firstLine="640" w:firstLineChars="200"/>
        <w:rPr>
          <w:rFonts w:hAnsi="黑体" w:cs="Times New Roman"/>
          <w:color w:val="auto"/>
          <w:sz w:val="32"/>
          <w:szCs w:val="32"/>
        </w:rPr>
      </w:pPr>
      <w:r>
        <w:rPr>
          <w:rFonts w:hint="eastAsia" w:hAnsi="黑体" w:cs="Times New Roman"/>
          <w:color w:val="auto"/>
          <w:sz w:val="32"/>
          <w:szCs w:val="32"/>
        </w:rPr>
        <w:t>十四、2021年度预算绩效情况的说明</w:t>
      </w:r>
    </w:p>
    <w:p>
      <w:pPr>
        <w:autoSpaceDE w:val="0"/>
        <w:autoSpaceDN w:val="0"/>
        <w:adjustRightInd w:val="0"/>
        <w:spacing w:line="600" w:lineRule="exact"/>
        <w:ind w:firstLine="640" w:firstLineChars="200"/>
        <w:jc w:val="left"/>
        <w:rPr>
          <w:rFonts w:ascii="仿宋" w:hAnsi="仿宋" w:eastAsia="仿宋" w:cs="黑体"/>
          <w:color w:val="auto"/>
          <w:kern w:val="0"/>
          <w:sz w:val="32"/>
          <w:szCs w:val="32"/>
        </w:rPr>
      </w:pPr>
      <w:r>
        <w:rPr>
          <w:rFonts w:hint="eastAsia" w:ascii="仿宋" w:hAnsi="仿宋" w:eastAsia="仿宋" w:cs="黑体"/>
          <w:b/>
          <w:color w:val="auto"/>
          <w:kern w:val="0"/>
          <w:sz w:val="32"/>
          <w:szCs w:val="32"/>
        </w:rPr>
        <w:t>（1）绩效管理评价工作开展情况</w:t>
      </w:r>
      <w:r>
        <w:rPr>
          <w:rFonts w:hint="eastAsia" w:ascii="仿宋" w:hAnsi="仿宋" w:eastAsia="仿宋" w:cs="黑体"/>
          <w:color w:val="auto"/>
          <w:kern w:val="0"/>
          <w:sz w:val="32"/>
          <w:szCs w:val="32"/>
        </w:rPr>
        <w:t>。</w:t>
      </w:r>
    </w:p>
    <w:p>
      <w:pPr>
        <w:autoSpaceDE w:val="0"/>
        <w:autoSpaceDN w:val="0"/>
        <w:adjustRightInd w:val="0"/>
        <w:spacing w:line="600" w:lineRule="exact"/>
        <w:ind w:firstLine="640" w:firstLineChars="200"/>
        <w:jc w:val="left"/>
        <w:rPr>
          <w:rFonts w:ascii="仿宋" w:hAnsi="仿宋" w:eastAsia="仿宋" w:cs="黑体"/>
          <w:color w:val="auto"/>
          <w:kern w:val="0"/>
          <w:sz w:val="32"/>
          <w:szCs w:val="32"/>
        </w:rPr>
      </w:pPr>
      <w:r>
        <w:rPr>
          <w:rFonts w:hint="eastAsia" w:ascii="仿宋" w:hAnsi="仿宋" w:eastAsia="仿宋" w:cs="黑体"/>
          <w:color w:val="auto"/>
          <w:kern w:val="0"/>
          <w:sz w:val="32"/>
          <w:szCs w:val="32"/>
        </w:rPr>
        <w:t>根据预算绩效管理要求，我部门组织对</w:t>
      </w:r>
      <w:r>
        <w:rPr>
          <w:rFonts w:ascii="仿宋" w:hAnsi="仿宋" w:eastAsia="仿宋" w:cs="黑体"/>
          <w:color w:val="auto"/>
          <w:kern w:val="0"/>
          <w:sz w:val="32"/>
          <w:szCs w:val="32"/>
        </w:rPr>
        <w:t>2021</w:t>
      </w:r>
      <w:r>
        <w:rPr>
          <w:rFonts w:hint="eastAsia" w:ascii="仿宋" w:hAnsi="仿宋" w:eastAsia="仿宋" w:cs="黑体"/>
          <w:color w:val="auto"/>
          <w:kern w:val="0"/>
          <w:sz w:val="32"/>
          <w:szCs w:val="32"/>
        </w:rPr>
        <w:t>年度一般公共预算项目支出全面开展绩效自评，其中，一级项目1个，共涉及资金25.8万元，占一般公共预算项目支出总额的4.02</w:t>
      </w:r>
      <w:r>
        <w:rPr>
          <w:rFonts w:ascii="仿宋" w:hAnsi="仿宋" w:eastAsia="仿宋" w:cs="黑体"/>
          <w:color w:val="auto"/>
          <w:kern w:val="0"/>
          <w:sz w:val="32"/>
          <w:szCs w:val="32"/>
        </w:rPr>
        <w:t>%</w:t>
      </w:r>
      <w:r>
        <w:rPr>
          <w:rFonts w:hint="eastAsia" w:ascii="仿宋" w:hAnsi="仿宋" w:eastAsia="仿宋" w:cs="黑体"/>
          <w:color w:val="auto"/>
          <w:kern w:val="0"/>
          <w:sz w:val="32"/>
          <w:szCs w:val="32"/>
        </w:rPr>
        <w:t>。</w:t>
      </w:r>
    </w:p>
    <w:p>
      <w:pPr>
        <w:autoSpaceDE w:val="0"/>
        <w:autoSpaceDN w:val="0"/>
        <w:adjustRightInd w:val="0"/>
        <w:spacing w:line="600" w:lineRule="exact"/>
        <w:ind w:firstLine="640" w:firstLineChars="200"/>
        <w:jc w:val="left"/>
        <w:rPr>
          <w:rFonts w:ascii="仿宋" w:hAnsi="仿宋" w:eastAsia="仿宋" w:cs="黑体"/>
          <w:color w:val="auto"/>
          <w:kern w:val="0"/>
          <w:sz w:val="32"/>
          <w:szCs w:val="32"/>
        </w:rPr>
      </w:pPr>
      <w:r>
        <w:rPr>
          <w:rFonts w:hint="eastAsia" w:ascii="仿宋" w:hAnsi="仿宋" w:eastAsia="仿宋" w:cs="黑体"/>
          <w:color w:val="auto"/>
          <w:kern w:val="0"/>
          <w:sz w:val="32"/>
          <w:szCs w:val="32"/>
        </w:rPr>
        <w:t>单位对“新华社新闻供稿经费”项目开展了部门评价，涉及一般公共预算支出25.8万元，政府性基金预算支出0万元，国有资本经营预算支出0万元。从评价情况来看，应通过积极开展预算绩效评审，完善绩效管理系统，不断提高财政资金使用效益。</w:t>
      </w:r>
    </w:p>
    <w:p>
      <w:pPr>
        <w:autoSpaceDE w:val="0"/>
        <w:autoSpaceDN w:val="0"/>
        <w:adjustRightInd w:val="0"/>
        <w:spacing w:line="600" w:lineRule="exact"/>
        <w:ind w:firstLine="640" w:firstLineChars="200"/>
        <w:jc w:val="left"/>
        <w:rPr>
          <w:rFonts w:ascii="仿宋" w:hAnsi="仿宋" w:eastAsia="仿宋" w:cs="黑体"/>
          <w:b/>
          <w:color w:val="auto"/>
          <w:kern w:val="0"/>
          <w:sz w:val="32"/>
          <w:szCs w:val="32"/>
        </w:rPr>
      </w:pPr>
      <w:r>
        <w:rPr>
          <w:rFonts w:hint="eastAsia" w:ascii="仿宋" w:hAnsi="仿宋" w:eastAsia="仿宋" w:cs="黑体"/>
          <w:b/>
          <w:color w:val="auto"/>
          <w:kern w:val="0"/>
          <w:sz w:val="32"/>
          <w:szCs w:val="32"/>
        </w:rPr>
        <w:t>（2）部门决算中项目绩效自评结果。</w:t>
      </w:r>
    </w:p>
    <w:p>
      <w:pPr>
        <w:autoSpaceDE w:val="0"/>
        <w:autoSpaceDN w:val="0"/>
        <w:adjustRightInd w:val="0"/>
        <w:spacing w:line="600" w:lineRule="exact"/>
        <w:ind w:firstLine="640" w:firstLineChars="200"/>
        <w:jc w:val="left"/>
        <w:rPr>
          <w:rFonts w:ascii="仿宋" w:hAnsi="仿宋" w:eastAsia="仿宋" w:cs="黑体"/>
          <w:color w:val="auto"/>
          <w:kern w:val="0"/>
          <w:sz w:val="32"/>
          <w:szCs w:val="32"/>
        </w:rPr>
      </w:pPr>
      <w:r>
        <w:rPr>
          <w:rFonts w:hint="eastAsia" w:ascii="仿宋" w:hAnsi="仿宋" w:eastAsia="仿宋" w:cs="黑体"/>
          <w:color w:val="auto"/>
          <w:kern w:val="0"/>
          <w:sz w:val="32"/>
          <w:szCs w:val="32"/>
        </w:rPr>
        <w:t>“新华社新闻供稿经费”项目绩效自评综述：根据年初设定的绩效目标，项目绩效自评等级为有效。项目全年预算数为25.8万元，执行数为25.8万元，完成预算的100</w:t>
      </w:r>
      <w:r>
        <w:rPr>
          <w:rFonts w:ascii="仿宋" w:hAnsi="仿宋" w:eastAsia="仿宋" w:cs="黑体"/>
          <w:color w:val="auto"/>
          <w:kern w:val="0"/>
          <w:sz w:val="32"/>
          <w:szCs w:val="32"/>
        </w:rPr>
        <w:t>%</w:t>
      </w:r>
      <w:r>
        <w:rPr>
          <w:rFonts w:hint="eastAsia" w:ascii="仿宋" w:hAnsi="仿宋" w:eastAsia="仿宋" w:cs="黑体"/>
          <w:color w:val="auto"/>
          <w:kern w:val="0"/>
          <w:sz w:val="32"/>
          <w:szCs w:val="32"/>
        </w:rPr>
        <w:t>。项目绩效目标完成情况：报社及时刊发新华通讯社提供的各类稿件，享受新媒体专线。</w:t>
      </w:r>
    </w:p>
    <w:p>
      <w:pPr>
        <w:tabs>
          <w:tab w:val="left" w:pos="9139"/>
        </w:tabs>
        <w:autoSpaceDE w:val="0"/>
        <w:autoSpaceDN w:val="0"/>
        <w:adjustRightInd w:val="0"/>
        <w:spacing w:line="600" w:lineRule="exact"/>
        <w:ind w:firstLine="640" w:firstLineChars="200"/>
        <w:jc w:val="left"/>
        <w:rPr>
          <w:rFonts w:ascii="仿宋" w:hAnsi="仿宋" w:eastAsia="仿宋" w:cs="黑体"/>
          <w:color w:val="auto"/>
          <w:kern w:val="0"/>
          <w:sz w:val="32"/>
          <w:szCs w:val="32"/>
        </w:rPr>
      </w:pPr>
      <w:r>
        <w:rPr>
          <w:rFonts w:hint="eastAsia" w:ascii="仿宋" w:hAnsi="仿宋" w:eastAsia="仿宋" w:cs="黑体"/>
          <w:b/>
          <w:color w:val="auto"/>
          <w:kern w:val="0"/>
          <w:sz w:val="32"/>
          <w:szCs w:val="32"/>
        </w:rPr>
        <w:t>（</w:t>
      </w:r>
      <w:r>
        <w:rPr>
          <w:rFonts w:ascii="仿宋" w:hAnsi="仿宋" w:eastAsia="仿宋" w:cs="黑体"/>
          <w:b/>
          <w:color w:val="auto"/>
          <w:kern w:val="0"/>
          <w:sz w:val="32"/>
          <w:szCs w:val="32"/>
        </w:rPr>
        <w:t>3</w:t>
      </w:r>
      <w:r>
        <w:rPr>
          <w:rFonts w:hint="eastAsia" w:ascii="仿宋" w:hAnsi="仿宋" w:eastAsia="仿宋" w:cs="黑体"/>
          <w:b/>
          <w:color w:val="auto"/>
          <w:kern w:val="0"/>
          <w:sz w:val="32"/>
          <w:szCs w:val="32"/>
        </w:rPr>
        <w:t>）部门评价项目绩效评价结果。</w:t>
      </w:r>
      <w:r>
        <w:rPr>
          <w:rFonts w:hint="eastAsia" w:ascii="仿宋" w:hAnsi="仿宋" w:eastAsia="仿宋" w:cs="黑体"/>
          <w:b/>
          <w:color w:val="auto"/>
          <w:kern w:val="0"/>
          <w:sz w:val="32"/>
          <w:szCs w:val="32"/>
        </w:rPr>
        <w:tab/>
      </w:r>
    </w:p>
    <w:p>
      <w:pPr>
        <w:autoSpaceDE w:val="0"/>
        <w:autoSpaceDN w:val="0"/>
        <w:adjustRightInd w:val="0"/>
        <w:spacing w:line="600" w:lineRule="exact"/>
        <w:ind w:firstLine="640" w:firstLineChars="200"/>
        <w:jc w:val="left"/>
        <w:rPr>
          <w:rFonts w:hint="eastAsia" w:ascii="仿宋" w:hAnsi="仿宋" w:eastAsia="仿宋" w:cs="黑体"/>
          <w:color w:val="auto"/>
          <w:kern w:val="0"/>
          <w:sz w:val="32"/>
          <w:szCs w:val="32"/>
        </w:rPr>
      </w:pPr>
      <w:r>
        <w:rPr>
          <w:rFonts w:hint="eastAsia" w:ascii="仿宋" w:hAnsi="仿宋" w:eastAsia="仿宋" w:cs="黑体"/>
          <w:color w:val="auto"/>
          <w:kern w:val="0"/>
          <w:sz w:val="32"/>
          <w:szCs w:val="32"/>
        </w:rPr>
        <w:t>怀化日报怀化新闻网在决算中反映</w:t>
      </w:r>
      <w:bookmarkStart w:id="0" w:name="_GoBack"/>
      <w:bookmarkEnd w:id="0"/>
      <w:r>
        <w:rPr>
          <w:rFonts w:hint="eastAsia" w:ascii="仿宋" w:hAnsi="仿宋" w:eastAsia="仿宋" w:cs="黑体"/>
          <w:color w:val="auto"/>
          <w:kern w:val="0"/>
          <w:sz w:val="32"/>
          <w:szCs w:val="32"/>
        </w:rPr>
        <w:t>“新华社新闻供稿经费”项目绩效自评结果。“新华社新闻供稿经费”项目绩效自评综述：根据年初设定的绩效目标，项目绩效自评等级为有效。项目全年预算数为25.8万元，执行数为25.8万元，完成预算的100</w:t>
      </w:r>
      <w:r>
        <w:rPr>
          <w:rFonts w:ascii="仿宋" w:hAnsi="仿宋" w:eastAsia="仿宋" w:cs="黑体"/>
          <w:color w:val="auto"/>
          <w:kern w:val="0"/>
          <w:sz w:val="32"/>
          <w:szCs w:val="32"/>
        </w:rPr>
        <w:t>%</w:t>
      </w:r>
      <w:r>
        <w:rPr>
          <w:rFonts w:hint="eastAsia" w:ascii="仿宋" w:hAnsi="仿宋" w:eastAsia="仿宋" w:cs="黑体"/>
          <w:color w:val="auto"/>
          <w:kern w:val="0"/>
          <w:sz w:val="32"/>
          <w:szCs w:val="32"/>
        </w:rPr>
        <w:t>。项目绩效目标完成情况：报社及时刊发新华通讯社提供的各类稿件，享受新媒体专线。</w:t>
      </w:r>
      <w:r>
        <w:rPr>
          <w:rFonts w:hint="eastAsia" w:ascii="仿宋" w:hAnsi="仿宋" w:eastAsia="仿宋" w:cs="黑体"/>
          <w:color w:val="auto"/>
          <w:kern w:val="0"/>
          <w:sz w:val="32"/>
          <w:szCs w:val="32"/>
          <w:lang w:eastAsia="zh-CN"/>
        </w:rPr>
        <w:t>单位本年度无重点支出项目。</w:t>
      </w:r>
    </w:p>
    <w:p>
      <w:pPr>
        <w:autoSpaceDE w:val="0"/>
        <w:autoSpaceDN w:val="0"/>
        <w:adjustRightInd w:val="0"/>
        <w:spacing w:line="600" w:lineRule="exact"/>
        <w:ind w:firstLine="640" w:firstLineChars="200"/>
        <w:jc w:val="left"/>
        <w:rPr>
          <w:rFonts w:hint="eastAsia" w:ascii="仿宋" w:hAnsi="仿宋" w:eastAsia="仿宋" w:cs="黑体"/>
          <w:color w:val="auto"/>
          <w:kern w:val="0"/>
          <w:sz w:val="32"/>
          <w:szCs w:val="32"/>
        </w:rPr>
      </w:pPr>
    </w:p>
    <w:p>
      <w:pPr>
        <w:pStyle w:val="11"/>
        <w:spacing w:line="600" w:lineRule="exact"/>
        <w:ind w:firstLine="640" w:firstLineChars="200"/>
        <w:jc w:val="center"/>
        <w:rPr>
          <w:rFonts w:ascii="仿宋" w:hAnsi="仿宋" w:eastAsia="仿宋"/>
          <w:color w:val="auto"/>
          <w:sz w:val="32"/>
          <w:szCs w:val="32"/>
        </w:rPr>
      </w:pPr>
    </w:p>
    <w:p>
      <w:pPr>
        <w:spacing w:line="600" w:lineRule="exact"/>
        <w:ind w:firstLine="880" w:firstLineChars="200"/>
        <w:jc w:val="center"/>
        <w:rPr>
          <w:rFonts w:ascii="仿宋" w:hAnsi="仿宋" w:eastAsia="仿宋" w:cs="黑体"/>
          <w:color w:val="auto"/>
          <w:kern w:val="0"/>
          <w:sz w:val="32"/>
          <w:szCs w:val="32"/>
        </w:rPr>
      </w:pPr>
      <w:r>
        <w:rPr>
          <w:rFonts w:hint="eastAsia" w:ascii="黑体" w:hAnsi="黑体" w:eastAsia="黑体" w:cs="黑体"/>
          <w:bCs/>
          <w:color w:val="auto"/>
          <w:kern w:val="0"/>
          <w:sz w:val="44"/>
          <w:szCs w:val="44"/>
        </w:rPr>
        <w:t>第四部分 名词解释</w:t>
      </w:r>
    </w:p>
    <w:p>
      <w:pPr>
        <w:pStyle w:val="6"/>
        <w:widowControl/>
        <w:spacing w:line="600" w:lineRule="exact"/>
        <w:ind w:firstLine="640" w:firstLineChars="200"/>
        <w:jc w:val="both"/>
        <w:rPr>
          <w:rFonts w:ascii="仿宋" w:hAnsi="仿宋" w:eastAsia="仿宋" w:cs="黑体"/>
          <w:color w:val="auto"/>
          <w:sz w:val="32"/>
          <w:szCs w:val="32"/>
        </w:rPr>
      </w:pPr>
      <w:r>
        <w:rPr>
          <w:rFonts w:hint="eastAsia" w:ascii="仿宋" w:hAnsi="仿宋" w:eastAsia="仿宋" w:cs="黑体"/>
          <w:color w:val="auto"/>
          <w:sz w:val="32"/>
          <w:szCs w:val="32"/>
        </w:rPr>
        <w:t>一、机关运行经费：</w:t>
      </w:r>
    </w:p>
    <w:p>
      <w:pPr>
        <w:pStyle w:val="6"/>
        <w:widowControl/>
        <w:spacing w:line="600" w:lineRule="exact"/>
        <w:ind w:firstLine="640" w:firstLineChars="200"/>
        <w:jc w:val="both"/>
        <w:rPr>
          <w:rFonts w:ascii="仿宋" w:hAnsi="仿宋" w:eastAsia="仿宋" w:cs="黑体"/>
          <w:color w:val="auto"/>
          <w:sz w:val="32"/>
          <w:szCs w:val="32"/>
        </w:rPr>
      </w:pPr>
      <w:r>
        <w:rPr>
          <w:rFonts w:hint="eastAsia" w:ascii="仿宋" w:hAnsi="仿宋" w:eastAsia="仿宋" w:cs="黑体"/>
          <w:color w:val="auto"/>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pStyle w:val="6"/>
        <w:widowControl/>
        <w:spacing w:line="600" w:lineRule="exact"/>
        <w:ind w:firstLine="640" w:firstLineChars="200"/>
        <w:jc w:val="both"/>
        <w:rPr>
          <w:rFonts w:ascii="仿宋" w:hAnsi="仿宋" w:eastAsia="仿宋" w:cs="黑体"/>
          <w:color w:val="auto"/>
          <w:sz w:val="32"/>
          <w:szCs w:val="32"/>
        </w:rPr>
      </w:pPr>
      <w:r>
        <w:rPr>
          <w:rFonts w:hint="eastAsia" w:ascii="仿宋" w:hAnsi="仿宋" w:eastAsia="仿宋" w:cs="黑体"/>
          <w:color w:val="auto"/>
          <w:sz w:val="32"/>
          <w:szCs w:val="32"/>
        </w:rPr>
        <w:t>二、“三公”经费：</w:t>
      </w:r>
    </w:p>
    <w:p>
      <w:pPr>
        <w:pStyle w:val="6"/>
        <w:widowControl/>
        <w:spacing w:line="600" w:lineRule="exact"/>
        <w:ind w:firstLine="640" w:firstLineChars="200"/>
        <w:jc w:val="both"/>
        <w:rPr>
          <w:rFonts w:ascii="仿宋" w:hAnsi="仿宋" w:eastAsia="仿宋" w:cs="黑体"/>
          <w:color w:val="auto"/>
          <w:sz w:val="32"/>
          <w:szCs w:val="32"/>
        </w:rPr>
      </w:pPr>
      <w:r>
        <w:rPr>
          <w:rFonts w:hint="eastAsia" w:ascii="仿宋" w:hAnsi="仿宋" w:eastAsia="仿宋" w:cs="黑体"/>
          <w:color w:val="auto"/>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1"/>
        <w:spacing w:line="600" w:lineRule="exact"/>
        <w:ind w:firstLine="640" w:firstLineChars="200"/>
        <w:jc w:val="both"/>
        <w:rPr>
          <w:rFonts w:ascii="仿宋" w:hAnsi="仿宋" w:eastAsia="仿宋"/>
          <w:color w:val="auto"/>
          <w:sz w:val="32"/>
          <w:szCs w:val="32"/>
        </w:rPr>
      </w:pPr>
    </w:p>
    <w:p>
      <w:pPr>
        <w:spacing w:line="600" w:lineRule="exact"/>
        <w:ind w:firstLine="3960" w:firstLineChars="900"/>
        <w:rPr>
          <w:rFonts w:ascii="仿宋" w:hAnsi="仿宋" w:eastAsia="仿宋" w:cs="黑体"/>
          <w:color w:val="auto"/>
          <w:kern w:val="0"/>
          <w:sz w:val="32"/>
          <w:szCs w:val="32"/>
        </w:rPr>
      </w:pPr>
      <w:r>
        <w:rPr>
          <w:rFonts w:hint="eastAsia" w:ascii="黑体" w:hAnsi="黑体" w:eastAsia="黑体" w:cs="黑体"/>
          <w:bCs/>
          <w:color w:val="auto"/>
          <w:kern w:val="0"/>
          <w:sz w:val="44"/>
          <w:szCs w:val="44"/>
        </w:rPr>
        <w:t>第五部分 附件</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B8FFF6"/>
    <w:multiLevelType w:val="singleLevel"/>
    <w:tmpl w:val="50B8FFF6"/>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zA2YTQwN2ViZGQzNmYzODE4MDY5NGQ3ODdlNjA3MGMifQ=="/>
  </w:docVars>
  <w:rsids>
    <w:rsidRoot w:val="004506F9"/>
    <w:rsid w:val="0002229B"/>
    <w:rsid w:val="000273BD"/>
    <w:rsid w:val="00032629"/>
    <w:rsid w:val="000415B7"/>
    <w:rsid w:val="00041E3F"/>
    <w:rsid w:val="00055DAA"/>
    <w:rsid w:val="00061F7B"/>
    <w:rsid w:val="000658A3"/>
    <w:rsid w:val="00074155"/>
    <w:rsid w:val="000A3F69"/>
    <w:rsid w:val="00103957"/>
    <w:rsid w:val="00152C6D"/>
    <w:rsid w:val="00162D39"/>
    <w:rsid w:val="001678BD"/>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7E6"/>
    <w:rsid w:val="003C4FC2"/>
    <w:rsid w:val="00416E61"/>
    <w:rsid w:val="0042790C"/>
    <w:rsid w:val="004506F9"/>
    <w:rsid w:val="004717A2"/>
    <w:rsid w:val="00473DF3"/>
    <w:rsid w:val="00487911"/>
    <w:rsid w:val="00491741"/>
    <w:rsid w:val="00500E5F"/>
    <w:rsid w:val="005122EF"/>
    <w:rsid w:val="0051441A"/>
    <w:rsid w:val="00517C33"/>
    <w:rsid w:val="00523644"/>
    <w:rsid w:val="0054069E"/>
    <w:rsid w:val="00544866"/>
    <w:rsid w:val="005767CC"/>
    <w:rsid w:val="00590D9F"/>
    <w:rsid w:val="00595D26"/>
    <w:rsid w:val="005A74E6"/>
    <w:rsid w:val="005B404E"/>
    <w:rsid w:val="005D4D55"/>
    <w:rsid w:val="005E2CFB"/>
    <w:rsid w:val="005F3D1C"/>
    <w:rsid w:val="0062378F"/>
    <w:rsid w:val="00641842"/>
    <w:rsid w:val="00651EEC"/>
    <w:rsid w:val="00691E8C"/>
    <w:rsid w:val="006A22C4"/>
    <w:rsid w:val="006A351B"/>
    <w:rsid w:val="006B0422"/>
    <w:rsid w:val="006C1B53"/>
    <w:rsid w:val="006D7730"/>
    <w:rsid w:val="006E5284"/>
    <w:rsid w:val="006F3EB5"/>
    <w:rsid w:val="00702E34"/>
    <w:rsid w:val="00704395"/>
    <w:rsid w:val="00717621"/>
    <w:rsid w:val="00720FF1"/>
    <w:rsid w:val="00727A53"/>
    <w:rsid w:val="00787B42"/>
    <w:rsid w:val="007C4539"/>
    <w:rsid w:val="007F3657"/>
    <w:rsid w:val="00812ED5"/>
    <w:rsid w:val="008277D9"/>
    <w:rsid w:val="0084478C"/>
    <w:rsid w:val="0086638C"/>
    <w:rsid w:val="008A3E8D"/>
    <w:rsid w:val="00913A4C"/>
    <w:rsid w:val="009237C4"/>
    <w:rsid w:val="00944C48"/>
    <w:rsid w:val="00950252"/>
    <w:rsid w:val="00967F5D"/>
    <w:rsid w:val="009A0F4F"/>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3BE4"/>
    <w:rsid w:val="00BD6C3E"/>
    <w:rsid w:val="00BE3674"/>
    <w:rsid w:val="00C10681"/>
    <w:rsid w:val="00C3049A"/>
    <w:rsid w:val="00C31B1E"/>
    <w:rsid w:val="00C77645"/>
    <w:rsid w:val="00CB79A6"/>
    <w:rsid w:val="00CE04C3"/>
    <w:rsid w:val="00CE76A0"/>
    <w:rsid w:val="00D148C6"/>
    <w:rsid w:val="00D17A8A"/>
    <w:rsid w:val="00D415BA"/>
    <w:rsid w:val="00D644EE"/>
    <w:rsid w:val="00DD06FF"/>
    <w:rsid w:val="00DD5FE9"/>
    <w:rsid w:val="00E00C7A"/>
    <w:rsid w:val="00E12EB7"/>
    <w:rsid w:val="00E37D6C"/>
    <w:rsid w:val="00E55B68"/>
    <w:rsid w:val="00E67BE6"/>
    <w:rsid w:val="00E8683C"/>
    <w:rsid w:val="00EA2B72"/>
    <w:rsid w:val="00F74360"/>
    <w:rsid w:val="00FB462F"/>
    <w:rsid w:val="00FE16FA"/>
    <w:rsid w:val="00FE328A"/>
    <w:rsid w:val="00FE6269"/>
    <w:rsid w:val="019D487B"/>
    <w:rsid w:val="02B73495"/>
    <w:rsid w:val="040C1AC8"/>
    <w:rsid w:val="055071FF"/>
    <w:rsid w:val="058439DB"/>
    <w:rsid w:val="07A832C4"/>
    <w:rsid w:val="07D801EC"/>
    <w:rsid w:val="081E664A"/>
    <w:rsid w:val="0C270888"/>
    <w:rsid w:val="0C3701C1"/>
    <w:rsid w:val="0CE75980"/>
    <w:rsid w:val="0D56046B"/>
    <w:rsid w:val="0E6D45AA"/>
    <w:rsid w:val="0F953DB9"/>
    <w:rsid w:val="0FD0292A"/>
    <w:rsid w:val="11063E57"/>
    <w:rsid w:val="116B25B5"/>
    <w:rsid w:val="117874EE"/>
    <w:rsid w:val="137E1BF7"/>
    <w:rsid w:val="146065E9"/>
    <w:rsid w:val="15624585"/>
    <w:rsid w:val="17CE1470"/>
    <w:rsid w:val="1914131E"/>
    <w:rsid w:val="19F72F6A"/>
    <w:rsid w:val="1A3404E4"/>
    <w:rsid w:val="1A420699"/>
    <w:rsid w:val="1C321CEA"/>
    <w:rsid w:val="1C545D72"/>
    <w:rsid w:val="1F3258D0"/>
    <w:rsid w:val="1F3E1CAB"/>
    <w:rsid w:val="228F6A0D"/>
    <w:rsid w:val="23CF0442"/>
    <w:rsid w:val="2546098B"/>
    <w:rsid w:val="26B8475C"/>
    <w:rsid w:val="292E52A4"/>
    <w:rsid w:val="293210D7"/>
    <w:rsid w:val="29335D34"/>
    <w:rsid w:val="294B4AFF"/>
    <w:rsid w:val="29B83514"/>
    <w:rsid w:val="2A420242"/>
    <w:rsid w:val="2CD60734"/>
    <w:rsid w:val="2D0B6AED"/>
    <w:rsid w:val="2E594A13"/>
    <w:rsid w:val="2F562AA9"/>
    <w:rsid w:val="2FAB7EA4"/>
    <w:rsid w:val="305D3427"/>
    <w:rsid w:val="31274227"/>
    <w:rsid w:val="31892F8E"/>
    <w:rsid w:val="323B5DFA"/>
    <w:rsid w:val="34D553A2"/>
    <w:rsid w:val="36262F16"/>
    <w:rsid w:val="37D30BCD"/>
    <w:rsid w:val="39653A1D"/>
    <w:rsid w:val="3986639D"/>
    <w:rsid w:val="39A82E21"/>
    <w:rsid w:val="3BF57F99"/>
    <w:rsid w:val="3D1E0DF8"/>
    <w:rsid w:val="40BB5DEC"/>
    <w:rsid w:val="437C436D"/>
    <w:rsid w:val="44DF70AD"/>
    <w:rsid w:val="45A80F17"/>
    <w:rsid w:val="45B24700"/>
    <w:rsid w:val="46F60F4A"/>
    <w:rsid w:val="49550533"/>
    <w:rsid w:val="49A168DB"/>
    <w:rsid w:val="4A543B10"/>
    <w:rsid w:val="4AF90069"/>
    <w:rsid w:val="4C6F64CC"/>
    <w:rsid w:val="4D0B0064"/>
    <w:rsid w:val="4DE63075"/>
    <w:rsid w:val="4FED7BA9"/>
    <w:rsid w:val="512D16BC"/>
    <w:rsid w:val="52433024"/>
    <w:rsid w:val="56D315AA"/>
    <w:rsid w:val="57D7799D"/>
    <w:rsid w:val="58587D57"/>
    <w:rsid w:val="593735EA"/>
    <w:rsid w:val="5B3B1BB8"/>
    <w:rsid w:val="60163A28"/>
    <w:rsid w:val="6074529B"/>
    <w:rsid w:val="639E268F"/>
    <w:rsid w:val="672326A2"/>
    <w:rsid w:val="686B1C5E"/>
    <w:rsid w:val="6E441430"/>
    <w:rsid w:val="6EAE2E77"/>
    <w:rsid w:val="6F3B5299"/>
    <w:rsid w:val="6FB66062"/>
    <w:rsid w:val="705B265C"/>
    <w:rsid w:val="73FF3AD0"/>
    <w:rsid w:val="74A60AFB"/>
    <w:rsid w:val="767616BE"/>
    <w:rsid w:val="76CA5823"/>
    <w:rsid w:val="772E0C62"/>
    <w:rsid w:val="7BF568E1"/>
    <w:rsid w:val="7C0B6A6E"/>
    <w:rsid w:val="7CF702E9"/>
    <w:rsid w:val="7D7B5484"/>
    <w:rsid w:val="7E346061"/>
    <w:rsid w:val="7EB878DF"/>
    <w:rsid w:val="7F2102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iPriority="99"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lock Text"/>
    <w:basedOn w:val="1"/>
    <w:unhideWhenUsed/>
    <w:qFormat/>
    <w:uiPriority w:val="99"/>
    <w:pPr>
      <w:ind w:firstLine="640"/>
    </w:pPr>
  </w:style>
  <w:style w:type="paragraph" w:styleId="3">
    <w:name w:val="Balloon Text"/>
    <w:basedOn w:val="1"/>
    <w:link w:val="13"/>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jc w:val="left"/>
    </w:pPr>
    <w:rPr>
      <w:rFonts w:cs="Times New Roman"/>
      <w:kern w:val="0"/>
      <w:sz w:val="24"/>
    </w:r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paragraph" w:customStyle="1" w:styleId="11">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2">
    <w:name w:val="List Paragraph"/>
    <w:basedOn w:val="1"/>
    <w:qFormat/>
    <w:uiPriority w:val="34"/>
    <w:pPr>
      <w:ind w:firstLine="420" w:firstLineChars="200"/>
    </w:pPr>
  </w:style>
  <w:style w:type="character" w:customStyle="1" w:styleId="13">
    <w:name w:val="批注框文本 Char"/>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22E9A-05B4-4D48-A289-5CB80A174AD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Pages>
  <Words>4163</Words>
  <Characters>4554</Characters>
  <Lines>33</Lines>
  <Paragraphs>9</Paragraphs>
  <TotalTime>0</TotalTime>
  <ScaleCrop>false</ScaleCrop>
  <LinksUpToDate>false</LinksUpToDate>
  <CharactersWithSpaces>4571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怀化日报社</cp:lastModifiedBy>
  <cp:lastPrinted>2022-08-25T07:36:00Z</cp:lastPrinted>
  <dcterms:modified xsi:type="dcterms:W3CDTF">2023-10-11T06:47:29Z</dcterms:modified>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E165F38F636949D9AB9152271EE1D5A6</vt:lpwstr>
  </property>
</Properties>
</file>