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pPr>
        <w:pStyle w:val="10"/>
        <w:jc w:val="center"/>
        <w:rPr>
          <w:rFonts w:hint="eastAsia" w:ascii="方正小标宋_GBK" w:hAnsi="方正小标宋_GBK" w:eastAsia="方正小标宋_GBK" w:cs="方正小标宋_GBK"/>
          <w:sz w:val="84"/>
          <w:szCs w:val="84"/>
        </w:rPr>
      </w:pPr>
      <w:r>
        <w:rPr>
          <w:rFonts w:hint="eastAsia"/>
          <w:sz w:val="84"/>
          <w:szCs w:val="84"/>
          <w:lang w:eastAsia="zh-CN"/>
        </w:rPr>
        <w:t>怀化日报社</w:t>
      </w:r>
      <w:r>
        <w:rPr>
          <w:rFonts w:hint="eastAsia"/>
          <w:sz w:val="84"/>
          <w:szCs w:val="84"/>
        </w:rPr>
        <w:t>怀化</w:t>
      </w:r>
      <w:r>
        <w:rPr>
          <w:rFonts w:hint="eastAsia"/>
          <w:sz w:val="84"/>
          <w:szCs w:val="84"/>
          <w:lang w:eastAsia="zh-CN"/>
        </w:rPr>
        <w:t>新闻网</w:t>
      </w:r>
      <w:r>
        <w:rPr>
          <w:rFonts w:hint="eastAsia" w:ascii="方正小标宋_GBK" w:hAnsi="方正小标宋_GBK" w:eastAsia="方正小标宋_GBK" w:cs="方正小标宋_GBK"/>
          <w:sz w:val="84"/>
          <w:szCs w:val="84"/>
        </w:rPr>
        <w:t>部门决算</w:t>
      </w:r>
    </w:p>
    <w:p>
      <w:pPr>
        <w:pStyle w:val="10"/>
        <w:jc w:val="center"/>
        <w:rPr>
          <w:rFonts w:hint="eastAsia" w:ascii="方正小标宋_GBK" w:hAnsi="方正小标宋_GBK" w:eastAsia="方正小标宋_GBK" w:cs="方正小标宋_GBK"/>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spacing w:line="540" w:lineRule="exact"/>
        <w:jc w:val="center"/>
        <w:rPr>
          <w:sz w:val="56"/>
          <w:szCs w:val="56"/>
        </w:rPr>
      </w:pPr>
    </w:p>
    <w:p>
      <w:pPr>
        <w:pStyle w:val="10"/>
        <w:spacing w:line="500" w:lineRule="exact"/>
        <w:jc w:val="both"/>
        <w:rPr>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怀化日报社怀化新闻网</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概况</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九、国有资本经营预算财政拨款收入支出决算情况说明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怀化日报社怀化新闻网部门</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both"/>
        <w:rPr>
          <w:sz w:val="72"/>
          <w:szCs w:val="72"/>
        </w:rPr>
      </w:pPr>
    </w:p>
    <w:p>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pStyle w:val="5"/>
        <w:widowControl/>
        <w:spacing w:line="510" w:lineRule="atLeast"/>
        <w:ind w:firstLine="960" w:firstLineChars="30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“怀化新闻网”是怀化日报社具体承办的互联网新闻综合网站，是</w:t>
      </w:r>
      <w:bookmarkStart w:id="0" w:name="OLE_LINK1"/>
      <w:r>
        <w:rPr>
          <w:rFonts w:hint="eastAsia" w:ascii="Times New Roman" w:hAnsi="Times New Roman" w:eastAsia="仿宋_GB2312" w:cs="仿宋_GB2312"/>
          <w:bCs/>
          <w:kern w:val="0"/>
          <w:sz w:val="32"/>
          <w:szCs w:val="32"/>
          <w:lang w:val="en-US" w:eastAsia="zh-CN" w:bidi="ar-SA"/>
        </w:rPr>
        <w:t>一个集文字、图片</w:t>
      </w:r>
      <w:bookmarkStart w:id="1" w:name="_Hlk73788852"/>
      <w:r>
        <w:rPr>
          <w:rFonts w:hint="eastAsia" w:ascii="Times New Roman" w:hAnsi="Times New Roman" w:eastAsia="仿宋_GB2312" w:cs="仿宋_GB2312"/>
          <w:bCs/>
          <w:kern w:val="0"/>
          <w:sz w:val="32"/>
          <w:szCs w:val="32"/>
          <w:lang w:val="en-US" w:eastAsia="zh-CN" w:bidi="ar-SA"/>
        </w:rPr>
        <w:t>、</w:t>
      </w:r>
      <w:bookmarkEnd w:id="1"/>
      <w:r>
        <w:rPr>
          <w:rFonts w:hint="eastAsia" w:ascii="Times New Roman" w:hAnsi="Times New Roman" w:eastAsia="仿宋_GB2312" w:cs="仿宋_GB2312"/>
          <w:bCs/>
          <w:kern w:val="0"/>
          <w:sz w:val="32"/>
          <w:szCs w:val="32"/>
          <w:lang w:val="en-US" w:eastAsia="zh-CN" w:bidi="ar-SA"/>
        </w:rPr>
        <w:t>视频、报纸为一体的全媒体新闻发布平台，</w:t>
      </w:r>
      <w:bookmarkEnd w:id="0"/>
      <w:r>
        <w:rPr>
          <w:rFonts w:hint="eastAsia" w:ascii="Times New Roman" w:hAnsi="Times New Roman" w:eastAsia="仿宋_GB2312" w:cs="仿宋_GB2312"/>
          <w:bCs/>
          <w:kern w:val="0"/>
          <w:sz w:val="32"/>
          <w:szCs w:val="32"/>
          <w:lang w:val="en-US" w:eastAsia="zh-CN" w:bidi="ar-SA"/>
        </w:rPr>
        <w:t>也是怀化具备通过互联网发布权威新闻信息资质的平台。我单位作为怀化的党媒喉舌，是怀化市进一步深化与新华社湖南分社合作、提高舆论引导能力的重要载体，也是怀化市各级党委政府对外宣传、與论引导、便民服务等工作的载体。传播湖南省怀化市新闻和其他信息，促进地方社会经济文化发展，主报出版、本报发行、广告、新闻研究、新闻培训、印刷、制版、装订、新闻业务交流及相关社会服务。</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怀化日报社怀化新闻网作为二级部门预算单位，内设科室为：办公室、要闻部等。</w:t>
      </w:r>
    </w:p>
    <w:p>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怀化日报社怀化新闻网</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w:t>
      </w:r>
      <w:r>
        <w:rPr>
          <w:rFonts w:hint="eastAsia" w:ascii="Times New Roman" w:hAnsi="Times New Roman" w:eastAsia="仿宋_GB2312" w:cs="仿宋_GB2312"/>
          <w:bCs/>
          <w:kern w:val="0"/>
          <w:sz w:val="32"/>
          <w:szCs w:val="32"/>
          <w:lang w:eastAsia="zh-CN"/>
        </w:rPr>
        <w:t>度</w:t>
      </w:r>
      <w:r>
        <w:rPr>
          <w:rFonts w:hint="eastAsia" w:ascii="Times New Roman" w:hAnsi="Times New Roman" w:eastAsia="仿宋_GB2312" w:cs="仿宋_GB2312"/>
          <w:bCs/>
          <w:kern w:val="0"/>
          <w:sz w:val="32"/>
          <w:szCs w:val="32"/>
        </w:rPr>
        <w:t>部门决算公开</w:t>
      </w:r>
      <w:r>
        <w:rPr>
          <w:rFonts w:hint="eastAsia" w:ascii="Times New Roman" w:hAnsi="Times New Roman" w:eastAsia="仿宋_GB2312" w:cs="仿宋_GB2312"/>
          <w:bCs/>
          <w:kern w:val="0"/>
          <w:sz w:val="32"/>
          <w:szCs w:val="32"/>
          <w:lang w:eastAsia="zh-CN"/>
        </w:rPr>
        <w:t>。</w:t>
      </w:r>
    </w:p>
    <w:p>
      <w:pPr>
        <w:widowControl/>
        <w:spacing w:line="600" w:lineRule="exact"/>
        <w:rPr>
          <w:rFonts w:hint="eastAsia" w:ascii="Times New Roman" w:hAnsi="Times New Roman" w:eastAsia="仿宋_GB2312" w:cs="仿宋_GB2312"/>
          <w:bCs/>
          <w:kern w:val="0"/>
          <w:sz w:val="32"/>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both"/>
        <w:rPr>
          <w:sz w:val="72"/>
          <w:szCs w:val="72"/>
        </w:rPr>
      </w:pPr>
    </w:p>
    <w:p>
      <w:pPr>
        <w:jc w:val="center"/>
        <w:rPr>
          <w:sz w:val="72"/>
          <w:szCs w:val="72"/>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rFonts w:ascii="宋体" w:eastAsia="宋体" w:cs="宋体"/>
          <w:kern w:val="0"/>
          <w:sz w:val="24"/>
          <w:szCs w:val="24"/>
        </w:rPr>
      </w:pPr>
      <w:r>
        <w:rPr>
          <w:rFonts w:hint="eastAsia"/>
          <w:sz w:val="72"/>
          <w:szCs w:val="72"/>
          <w:lang w:eastAsia="zh-CN"/>
        </w:rPr>
        <w:t>见附件</w:t>
      </w:r>
      <w:bookmarkStart w:id="2" w:name="RANGE!A1:I22"/>
      <w:bookmarkEnd w:id="2"/>
    </w:p>
    <w:p>
      <w:pPr>
        <w:jc w:val="center"/>
        <w:rPr>
          <w:sz w:val="72"/>
          <w:szCs w:val="72"/>
        </w:rPr>
      </w:pPr>
    </w:p>
    <w:p>
      <w:pPr>
        <w:jc w:val="left"/>
        <w:rPr>
          <w:rFonts w:hint="eastAsia" w:asciiTheme="minorEastAsia" w:hAnsiTheme="minorEastAsia" w:eastAsiaTheme="minorEastAsia"/>
          <w:sz w:val="32"/>
          <w:szCs w:val="32"/>
          <w:lang w:eastAsia="zh-CN"/>
        </w:rPr>
        <w:sectPr>
          <w:pgSz w:w="11906" w:h="16838"/>
          <w:pgMar w:top="720" w:right="720" w:bottom="720" w:left="720" w:header="851" w:footer="992" w:gutter="0"/>
          <w:cols w:space="425" w:num="1"/>
          <w:docGrid w:type="lines" w:linePitch="312" w:charSpace="0"/>
        </w:sectPr>
      </w:pPr>
    </w:p>
    <w:p>
      <w:pPr>
        <w:pStyle w:val="10"/>
        <w:rPr>
          <w:sz w:val="72"/>
          <w:szCs w:val="72"/>
        </w:rPr>
      </w:pP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0"/>
        <w:jc w:val="center"/>
        <w:rPr>
          <w:rFonts w:hint="eastAsia" w:ascii="方正小标宋_GBK" w:hAnsi="方正小标宋_GBK" w:eastAsia="方正小标宋_GBK" w:cs="方正小标宋_GBK"/>
          <w:sz w:val="70"/>
          <w:szCs w:val="70"/>
        </w:rPr>
      </w:pPr>
    </w:p>
    <w:p>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w:t>
      </w:r>
      <w:r>
        <w:rPr>
          <w:rFonts w:hint="eastAsia" w:ascii="Times New Roman" w:hAnsi="Times New Roman" w:eastAsia="仿宋_GB2312"/>
          <w:sz w:val="32"/>
          <w:szCs w:val="32"/>
          <w:lang w:eastAsia="zh-CN"/>
        </w:rPr>
        <w:t>入</w:t>
      </w:r>
      <w:r>
        <w:rPr>
          <w:rFonts w:hint="eastAsia" w:ascii="Times New Roman" w:hAnsi="Times New Roman" w:eastAsia="仿宋_GB2312"/>
          <w:sz w:val="32"/>
          <w:szCs w:val="32"/>
        </w:rPr>
        <w:t>总计</w:t>
      </w:r>
      <w:r>
        <w:rPr>
          <w:rFonts w:hint="eastAsia" w:ascii="Times New Roman" w:hAnsi="Times New Roman" w:eastAsia="仿宋_GB2312"/>
          <w:sz w:val="32"/>
          <w:szCs w:val="32"/>
          <w:lang w:val="en-US" w:eastAsia="zh-CN"/>
        </w:rPr>
        <w:t>145.71</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73.51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下降</w:t>
      </w:r>
      <w:r>
        <w:rPr>
          <w:rFonts w:hint="eastAsia" w:ascii="Times New Roman" w:hAnsi="Times New Roman" w:eastAsia="仿宋_GB2312"/>
          <w:sz w:val="32"/>
          <w:szCs w:val="32"/>
          <w:lang w:val="en-US" w:eastAsia="zh-CN"/>
        </w:rPr>
        <w:t>33.53</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2022年一部分收入并入怀化日报社（本级）。</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总计</w:t>
      </w:r>
      <w:r>
        <w:rPr>
          <w:rFonts w:hint="eastAsia" w:ascii="Times New Roman" w:hAnsi="Times New Roman" w:eastAsia="仿宋_GB2312"/>
          <w:sz w:val="32"/>
          <w:szCs w:val="32"/>
          <w:lang w:val="en-US" w:eastAsia="zh-CN"/>
        </w:rPr>
        <w:t>145.71</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73.51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下降</w:t>
      </w:r>
      <w:r>
        <w:rPr>
          <w:rFonts w:hint="eastAsia" w:ascii="Times New Roman" w:hAnsi="Times New Roman" w:eastAsia="仿宋_GB2312"/>
          <w:sz w:val="32"/>
          <w:szCs w:val="32"/>
          <w:lang w:val="en-US" w:eastAsia="zh-CN"/>
        </w:rPr>
        <w:t>33.53</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2022年一部分支出并入怀化日报社（本级）。</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145.71</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16.47</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121.71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83.53</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145.71</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16.47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121.71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83.53</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0"/>
        <w:keepNext w:val="0"/>
        <w:keepLines w:val="0"/>
        <w:pageBreakBefore w:val="0"/>
        <w:widowControl w:val="0"/>
        <w:kinsoku/>
        <w:wordWrap/>
        <w:overflowPunct/>
        <w:topLinePunct w:val="0"/>
        <w:bidi w:val="0"/>
        <w:snapToGrid/>
        <w:spacing w:line="600" w:lineRule="exact"/>
        <w:ind w:firstLine="64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年度财政拨款收</w:t>
      </w:r>
      <w:r>
        <w:rPr>
          <w:rFonts w:hint="eastAsia" w:ascii="Times New Roman" w:hAnsi="Times New Roman" w:eastAsia="仿宋_GB2312"/>
          <w:sz w:val="32"/>
          <w:szCs w:val="32"/>
          <w:highlight w:val="none"/>
          <w:lang w:eastAsia="zh-CN"/>
        </w:rPr>
        <w:t>入</w:t>
      </w:r>
      <w:r>
        <w:rPr>
          <w:rFonts w:hint="eastAsia" w:ascii="Times New Roman" w:hAnsi="Times New Roman" w:eastAsia="仿宋_GB2312"/>
          <w:sz w:val="32"/>
          <w:szCs w:val="32"/>
          <w:highlight w:val="none"/>
        </w:rPr>
        <w:t>总计</w:t>
      </w:r>
      <w:r>
        <w:rPr>
          <w:rFonts w:hint="eastAsia" w:ascii="Times New Roman" w:hAnsi="Times New Roman" w:eastAsia="仿宋_GB2312"/>
          <w:sz w:val="32"/>
          <w:szCs w:val="32"/>
          <w:highlight w:val="none"/>
          <w:lang w:val="en-US" w:eastAsia="zh-CN"/>
        </w:rPr>
        <w:t>24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无变动。</w:t>
      </w:r>
    </w:p>
    <w:p>
      <w:pPr>
        <w:pStyle w:val="10"/>
        <w:keepNext w:val="0"/>
        <w:keepLines w:val="0"/>
        <w:pageBreakBefore w:val="0"/>
        <w:widowControl w:val="0"/>
        <w:kinsoku/>
        <w:wordWrap/>
        <w:overflowPunct/>
        <w:topLinePunct w:val="0"/>
        <w:bidi w:val="0"/>
        <w:snapToGrid/>
        <w:spacing w:line="600" w:lineRule="exact"/>
        <w:ind w:firstLine="640"/>
        <w:textAlignment w:val="auto"/>
        <w:rPr>
          <w:rFonts w:hint="eastAsia" w:ascii="Times New Roman" w:hAnsi="Times New Roman" w:eastAsia="仿宋_GB2312"/>
          <w:sz w:val="32"/>
          <w:szCs w:val="32"/>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w:t>
      </w:r>
      <w:r>
        <w:rPr>
          <w:rFonts w:hint="eastAsia" w:ascii="Times New Roman" w:hAnsi="Times New Roman" w:eastAsia="仿宋_GB2312"/>
          <w:sz w:val="32"/>
          <w:szCs w:val="32"/>
          <w:highlight w:val="none"/>
          <w:lang w:eastAsia="zh-CN"/>
        </w:rPr>
        <w:t>支出</w:t>
      </w:r>
      <w:r>
        <w:rPr>
          <w:rFonts w:hint="eastAsia" w:ascii="Times New Roman" w:hAnsi="Times New Roman" w:eastAsia="仿宋_GB2312"/>
          <w:sz w:val="32"/>
          <w:szCs w:val="32"/>
          <w:highlight w:val="none"/>
        </w:rPr>
        <w:t>总计</w:t>
      </w:r>
      <w:r>
        <w:rPr>
          <w:rFonts w:hint="eastAsia" w:ascii="Times New Roman" w:hAnsi="Times New Roman" w:eastAsia="仿宋_GB2312"/>
          <w:sz w:val="32"/>
          <w:szCs w:val="32"/>
          <w:highlight w:val="none"/>
          <w:lang w:val="en-US" w:eastAsia="zh-CN"/>
        </w:rPr>
        <w:t>24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无变动。</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16.47</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无变动。</w:t>
      </w:r>
    </w:p>
    <w:p>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0"/>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万元，主要用于以下方面：</w:t>
      </w:r>
      <w:r>
        <w:rPr>
          <w:rFonts w:hint="eastAsia" w:asciiTheme="minorEastAsia" w:hAnsiTheme="minorEastAsia" w:eastAsiaTheme="minorEastAsia"/>
          <w:sz w:val="32"/>
          <w:szCs w:val="32"/>
          <w:highlight w:val="none"/>
          <w:lang w:eastAsia="zh-CN"/>
        </w:rPr>
        <w:t>文化旅游体育与传媒支出（类）支出</w:t>
      </w:r>
      <w:r>
        <w:rPr>
          <w:rFonts w:hint="eastAsia" w:asciiTheme="minorEastAsia" w:hAnsiTheme="minorEastAsia" w:eastAsiaTheme="minorEastAsia"/>
          <w:sz w:val="32"/>
          <w:szCs w:val="32"/>
          <w:highlight w:val="none"/>
          <w:lang w:val="en-US" w:eastAsia="zh-CN"/>
        </w:rPr>
        <w:t>24万元，占100%。</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pPr>
        <w:pStyle w:val="10"/>
        <w:numPr>
          <w:ilvl w:val="0"/>
          <w:numId w:val="0"/>
        </w:num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新闻出版电影</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其他新闻出版电影支出</w:t>
      </w:r>
      <w:r>
        <w:rPr>
          <w:rFonts w:hint="eastAsia" w:ascii="Times New Roman" w:hAnsi="Times New Roman" w:eastAsia="仿宋_GB2312"/>
          <w:sz w:val="32"/>
          <w:szCs w:val="32"/>
        </w:rPr>
        <w:t>（项）。</w:t>
      </w:r>
    </w:p>
    <w:p>
      <w:pPr>
        <w:pStyle w:val="10"/>
        <w:numPr>
          <w:ilvl w:val="0"/>
          <w:numId w:val="0"/>
        </w:numPr>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按</w:t>
      </w:r>
      <w:r>
        <w:rPr>
          <w:rFonts w:hint="eastAsia" w:ascii="Times New Roman" w:hAnsi="Times New Roman" w:eastAsia="仿宋_GB2312"/>
          <w:sz w:val="32"/>
          <w:szCs w:val="32"/>
          <w:highlight w:val="none"/>
          <w:lang w:eastAsia="zh-CN"/>
        </w:rPr>
        <w:t>年初预算支出新闻网运行经费</w:t>
      </w:r>
      <w:r>
        <w:rPr>
          <w:rFonts w:hint="eastAsia" w:ascii="Times New Roman" w:hAnsi="Times New Roman" w:eastAsia="仿宋_GB2312"/>
          <w:sz w:val="32"/>
          <w:szCs w:val="32"/>
          <w:highlight w:val="none"/>
          <w:lang w:val="en-US"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1.35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pPr>
        <w:pStyle w:val="10"/>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本年无因公出国（境）费支出。</w:t>
      </w:r>
    </w:p>
    <w:p>
      <w:pPr>
        <w:pStyle w:val="10"/>
        <w:ind w:firstLine="640" w:firstLineChars="200"/>
        <w:rPr>
          <w:rFonts w:ascii="Times New Roman" w:hAnsi="Times New Roman" w:eastAsia="仿宋_GB2312"/>
          <w:sz w:val="32"/>
          <w:szCs w:val="32"/>
          <w:highlight w:val="yellow"/>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0.27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决算数小于预算数的主要原因是本年度公务接待费统一在一级单位开支。</w:t>
      </w:r>
    </w:p>
    <w:p>
      <w:pPr>
        <w:pStyle w:val="10"/>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%，决算数等于预算数的主要原因是本年度公务用车购置费统一在一级单位开支。</w:t>
      </w:r>
    </w:p>
    <w:p>
      <w:pPr>
        <w:pStyle w:val="10"/>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决算数小于预算数的主要原因是本年度公务用车运行维护费统一在一级单位开支。</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0"/>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sz w:val="32"/>
          <w:szCs w:val="32"/>
        </w:rPr>
        <w:t xml:space="preserve">    </w:t>
      </w:r>
      <w:r>
        <w:rPr>
          <w:rFonts w:hint="eastAsia" w:ascii="Times New Roman" w:hAnsi="Times New Roman" w:eastAsia="仿宋_GB2312" w:cs="黑体"/>
          <w:color w:val="000000"/>
          <w:kern w:val="0"/>
          <w:sz w:val="32"/>
          <w:szCs w:val="32"/>
          <w:lang w:val="en-US" w:eastAsia="zh-CN" w:bidi="ar-SA"/>
        </w:rPr>
        <w:t>2022年度本单位无政府性基金收入，无政府性基金支出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九、国有资本经营预算财政拨款</w:t>
      </w:r>
      <w:r>
        <w:rPr>
          <w:rFonts w:hint="eastAsia" w:hAnsi="黑体" w:cs="黑体"/>
          <w:b w:val="0"/>
          <w:bCs/>
          <w:sz w:val="32"/>
          <w:szCs w:val="32"/>
          <w:lang w:eastAsia="zh-CN"/>
        </w:rPr>
        <w:t>收入</w:t>
      </w:r>
      <w:r>
        <w:rPr>
          <w:rFonts w:hint="eastAsia" w:ascii="黑体" w:hAnsi="黑体" w:eastAsia="黑体" w:cs="黑体"/>
          <w:b w:val="0"/>
          <w:bCs/>
          <w:sz w:val="32"/>
          <w:szCs w:val="32"/>
          <w:lang w:eastAsia="zh-CN"/>
        </w:rPr>
        <w:t>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2022年度本单位无国有资本经营预算财政拨款收入，无国有资本经营预算财政拨款支出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bookmarkStart w:id="3" w:name="_GoBack"/>
      <w:bookmarkEnd w:id="3"/>
      <w:r>
        <w:rPr>
          <w:rFonts w:hint="eastAsia" w:ascii="黑体" w:hAnsi="黑体" w:eastAsia="黑体" w:cs="黑体"/>
          <w:b w:val="0"/>
          <w:bCs/>
          <w:sz w:val="32"/>
          <w:szCs w:val="32"/>
          <w:lang w:eastAsia="zh-CN"/>
        </w:rPr>
        <w:t>十</w:t>
      </w:r>
      <w:r>
        <w:rPr>
          <w:rFonts w:hint="eastAsia" w:ascii="黑体" w:hAnsi="黑体" w:eastAsia="黑体" w:cs="黑体"/>
          <w:b w:val="0"/>
          <w:bCs/>
          <w:sz w:val="32"/>
          <w:szCs w:val="32"/>
        </w:rPr>
        <w:t>、关于机关运行经费支出说明</w:t>
      </w:r>
    </w:p>
    <w:p>
      <w:pPr>
        <w:pStyle w:val="10"/>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2022年度本部门无机关运行经费支出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pPr>
        <w:pStyle w:val="10"/>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2022年度本部门无一般性支出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10"/>
        <w:jc w:val="both"/>
        <w:rPr>
          <w:rFonts w:hint="eastAsia" w:eastAsia="黑体"/>
          <w:sz w:val="72"/>
          <w:szCs w:val="72"/>
          <w:highlight w:val="none"/>
          <w:lang w:eastAsia="zh-CN"/>
        </w:rPr>
      </w:pPr>
      <w:r>
        <w:rPr>
          <w:rFonts w:hint="eastAsia" w:ascii="Times New Roman" w:hAnsi="Times New Roman" w:eastAsia="仿宋_GB2312"/>
          <w:sz w:val="32"/>
          <w:szCs w:val="32"/>
          <w:lang w:eastAsia="zh-CN"/>
        </w:rPr>
        <w:t>见附件</w:t>
      </w:r>
    </w:p>
    <w:p>
      <w:pPr>
        <w:pStyle w:val="10"/>
        <w:jc w:val="center"/>
        <w:rPr>
          <w:sz w:val="72"/>
          <w:szCs w:val="72"/>
          <w:highlight w:val="yellow"/>
        </w:rPr>
      </w:pPr>
    </w:p>
    <w:p>
      <w:pPr>
        <w:pStyle w:val="10"/>
        <w:jc w:val="center"/>
        <w:rPr>
          <w:sz w:val="72"/>
          <w:szCs w:val="72"/>
          <w:highlight w:val="yellow"/>
        </w:rPr>
      </w:pPr>
    </w:p>
    <w:p>
      <w:pPr>
        <w:pStyle w:val="10"/>
        <w:jc w:val="center"/>
        <w:rPr>
          <w:sz w:val="72"/>
          <w:szCs w:val="72"/>
        </w:rPr>
      </w:pPr>
    </w:p>
    <w:p>
      <w:pPr>
        <w:pStyle w:val="10"/>
        <w:jc w:val="center"/>
        <w:rPr>
          <w:sz w:val="72"/>
          <w:szCs w:val="72"/>
        </w:rPr>
      </w:pPr>
    </w:p>
    <w:p>
      <w:pPr>
        <w:pStyle w:val="10"/>
        <w:jc w:val="both"/>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5"/>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一、机关运行经费：</w:t>
      </w:r>
    </w:p>
    <w:p>
      <w:pPr>
        <w:pStyle w:val="5"/>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5"/>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二、“三公”经费：</w:t>
      </w:r>
    </w:p>
    <w:p>
      <w:pPr>
        <w:pStyle w:val="5"/>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jc w:val="both"/>
        <w:rPr>
          <w:sz w:val="72"/>
          <w:szCs w:val="72"/>
        </w:rPr>
      </w:pPr>
    </w:p>
    <w:p>
      <w:pPr>
        <w:pStyle w:val="10"/>
        <w:jc w:val="both"/>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2YTQwN2ViZGQzNmYzODE4MDY5NGQ3ODdlNjA3MGM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8DC4EB8"/>
    <w:rsid w:val="0B0500B3"/>
    <w:rsid w:val="18CC60BC"/>
    <w:rsid w:val="218C6A8C"/>
    <w:rsid w:val="26DD2741"/>
    <w:rsid w:val="2F456873"/>
    <w:rsid w:val="33704071"/>
    <w:rsid w:val="374A6CB1"/>
    <w:rsid w:val="4A7D4C52"/>
    <w:rsid w:val="4DB67D3E"/>
    <w:rsid w:val="5777D4F5"/>
    <w:rsid w:val="58DD237F"/>
    <w:rsid w:val="5CF52D6E"/>
    <w:rsid w:val="5E7303EE"/>
    <w:rsid w:val="5FC6BB1E"/>
    <w:rsid w:val="5FF720F1"/>
    <w:rsid w:val="6857680D"/>
    <w:rsid w:val="6B99345E"/>
    <w:rsid w:val="6E182D60"/>
    <w:rsid w:val="71D7754C"/>
    <w:rsid w:val="737D59BA"/>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0</TotalTime>
  <ScaleCrop>false</ScaleCrop>
  <LinksUpToDate>false</LinksUpToDate>
  <CharactersWithSpaces>9008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怀化日报社</cp:lastModifiedBy>
  <cp:lastPrinted>2023-08-15T09:28:00Z</cp:lastPrinted>
  <dcterms:modified xsi:type="dcterms:W3CDTF">2023-09-26T07:00:58Z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9DE803B70A3E4189A9656F8BA0F9B951_12</vt:lpwstr>
  </property>
</Properties>
</file>