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sz w:val="56"/>
          <w:szCs w:val="56"/>
        </w:rPr>
      </w:pPr>
    </w:p>
    <w:p>
      <w:pPr>
        <w:pStyle w:val="11"/>
        <w:jc w:val="center"/>
        <w:rPr>
          <w:sz w:val="56"/>
          <w:szCs w:val="56"/>
        </w:rPr>
      </w:pPr>
    </w:p>
    <w:p>
      <w:pPr>
        <w:pStyle w:val="11"/>
        <w:jc w:val="center"/>
        <w:rPr>
          <w:sz w:val="84"/>
          <w:szCs w:val="84"/>
        </w:rPr>
      </w:pPr>
    </w:p>
    <w:p>
      <w:pPr>
        <w:pStyle w:val="11"/>
        <w:jc w:val="center"/>
        <w:rPr>
          <w:sz w:val="84"/>
          <w:szCs w:val="84"/>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怀化日报社（本级）</w:t>
      </w:r>
      <w:r>
        <w:rPr>
          <w:rFonts w:hint="eastAsia" w:ascii="方正小标宋_GBK" w:hAnsi="方正小标宋_GBK" w:eastAsia="方正小标宋_GBK" w:cs="方正小标宋_GBK"/>
          <w:sz w:val="84"/>
          <w:szCs w:val="84"/>
        </w:rPr>
        <w:t>部门决算</w:t>
      </w:r>
    </w:p>
    <w:p>
      <w:pPr>
        <w:pStyle w:val="11"/>
        <w:jc w:val="center"/>
        <w:rPr>
          <w:rFonts w:hint="eastAsia" w:ascii="方正小标宋_GBK" w:hAnsi="方正小标宋_GBK" w:eastAsia="方正小标宋_GBK" w:cs="方正小标宋_GBK"/>
          <w:sz w:val="56"/>
          <w:szCs w:val="56"/>
        </w:rPr>
      </w:pPr>
    </w:p>
    <w:p>
      <w:pPr>
        <w:pStyle w:val="11"/>
        <w:jc w:val="center"/>
        <w:rPr>
          <w:sz w:val="56"/>
          <w:szCs w:val="56"/>
        </w:rPr>
      </w:pPr>
    </w:p>
    <w:p>
      <w:pPr>
        <w:pStyle w:val="11"/>
        <w:jc w:val="center"/>
        <w:rPr>
          <w:sz w:val="56"/>
          <w:szCs w:val="56"/>
        </w:rPr>
      </w:pPr>
    </w:p>
    <w:p>
      <w:pPr>
        <w:pStyle w:val="11"/>
        <w:jc w:val="center"/>
        <w:rPr>
          <w:sz w:val="56"/>
          <w:szCs w:val="56"/>
        </w:rPr>
      </w:pPr>
    </w:p>
    <w:p>
      <w:pPr>
        <w:pStyle w:val="11"/>
        <w:jc w:val="center"/>
        <w:rPr>
          <w:sz w:val="32"/>
          <w:szCs w:val="32"/>
        </w:rPr>
      </w:pPr>
    </w:p>
    <w:p>
      <w:pPr>
        <w:pStyle w:val="11"/>
        <w:jc w:val="center"/>
        <w:rPr>
          <w:sz w:val="32"/>
          <w:szCs w:val="32"/>
        </w:rPr>
      </w:pPr>
    </w:p>
    <w:p>
      <w:pPr>
        <w:pStyle w:val="11"/>
        <w:jc w:val="center"/>
        <w:rPr>
          <w:sz w:val="32"/>
          <w:szCs w:val="32"/>
        </w:rPr>
      </w:pPr>
    </w:p>
    <w:p>
      <w:pPr>
        <w:pStyle w:val="11"/>
        <w:jc w:val="center"/>
        <w:rPr>
          <w:sz w:val="32"/>
          <w:szCs w:val="32"/>
        </w:rPr>
      </w:pPr>
    </w:p>
    <w:p>
      <w:pPr>
        <w:pStyle w:val="11"/>
        <w:jc w:val="center"/>
        <w:rPr>
          <w:sz w:val="32"/>
          <w:szCs w:val="32"/>
        </w:rPr>
      </w:pPr>
    </w:p>
    <w:p>
      <w:pPr>
        <w:pStyle w:val="11"/>
        <w:spacing w:line="540" w:lineRule="exact"/>
        <w:jc w:val="center"/>
        <w:rPr>
          <w:sz w:val="56"/>
          <w:szCs w:val="56"/>
        </w:rPr>
      </w:pPr>
    </w:p>
    <w:p>
      <w:pPr>
        <w:pStyle w:val="11"/>
        <w:spacing w:line="500" w:lineRule="exact"/>
        <w:jc w:val="both"/>
        <w:rPr>
          <w:b/>
          <w:sz w:val="36"/>
          <w:szCs w:val="28"/>
        </w:rPr>
      </w:pPr>
    </w:p>
    <w:p>
      <w:pPr>
        <w:pStyle w:val="11"/>
        <w:spacing w:line="500" w:lineRule="exact"/>
        <w:jc w:val="center"/>
        <w:rPr>
          <w:b/>
          <w:sz w:val="36"/>
          <w:szCs w:val="28"/>
        </w:rPr>
      </w:pPr>
      <w:r>
        <w:rPr>
          <w:rFonts w:hint="eastAsia"/>
          <w:b/>
          <w:sz w:val="36"/>
          <w:szCs w:val="28"/>
        </w:rPr>
        <w:t>目录</w:t>
      </w:r>
    </w:p>
    <w:p>
      <w:pPr>
        <w:pStyle w:val="11"/>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怀化日报社（本级）</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概况</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1"/>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1"/>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九、国有资本经营预算财政拨款收入支出决算情况说明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1"/>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11"/>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1"/>
        <w:jc w:val="center"/>
        <w:rPr>
          <w:rFonts w:hint="eastAsia" w:ascii="方正小标宋_GBK" w:hAnsi="方正小标宋_GBK" w:eastAsia="方正小标宋_GBK" w:cs="方正小标宋_GBK"/>
          <w:sz w:val="84"/>
          <w:szCs w:val="84"/>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怀化日报社（本级）部门</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2"/>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widowControl/>
        <w:spacing w:line="600" w:lineRule="exact"/>
        <w:ind w:firstLine="640" w:firstLineChars="200"/>
        <w:rPr>
          <w:rFonts w:hint="eastAsia" w:asciiTheme="minorEastAsia" w:hAnsiTheme="minorEastAsia"/>
          <w:bCs/>
          <w:kern w:val="0"/>
          <w:sz w:val="32"/>
          <w:szCs w:val="32"/>
        </w:rPr>
      </w:pPr>
      <w:r>
        <w:rPr>
          <w:rFonts w:hint="eastAsia" w:asciiTheme="minorEastAsia" w:hAnsiTheme="minorEastAsia"/>
          <w:bCs/>
          <w:kern w:val="0"/>
          <w:sz w:val="32"/>
          <w:szCs w:val="32"/>
        </w:rPr>
        <w:t>传播湖南省怀化市新闻和其他信息，促进地方社会经济文化发展，主报出版、本报发行、广告、新闻研究、新闻培训、印刷、制版、装订、新闻业务交流及相关社会服务。《怀化日报》创刊于 1986 年 10 月 1 日，周七刊，对开四版，面向全国公开发行。从 2001 年起承接彩色印刷。</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eastAsia" w:asciiTheme="minorEastAsia" w:hAnsiTheme="minorEastAsia" w:cstheme="minorBidi"/>
          <w:bCs/>
          <w:kern w:val="0"/>
          <w:sz w:val="32"/>
          <w:szCs w:val="32"/>
          <w:lang w:val="en-US" w:eastAsia="zh-CN" w:bidi="ar"/>
        </w:rPr>
      </w:pPr>
      <w:r>
        <w:rPr>
          <w:rFonts w:hint="eastAsia" w:ascii="Times New Roman" w:hAnsi="Times New Roman" w:eastAsia="仿宋_GB2312" w:cs="仿宋_GB2312"/>
          <w:bCs/>
          <w:kern w:val="0"/>
          <w:sz w:val="32"/>
          <w:szCs w:val="32"/>
        </w:rPr>
        <w:t>（一）内设机构设置。</w:t>
      </w:r>
      <w:r>
        <w:rPr>
          <w:rFonts w:hint="eastAsia" w:asciiTheme="minorEastAsia" w:hAnsiTheme="minorEastAsia"/>
          <w:bCs/>
          <w:kern w:val="0"/>
          <w:sz w:val="32"/>
          <w:szCs w:val="32"/>
        </w:rPr>
        <w:t>内设机构设置。</w:t>
      </w:r>
      <w:r>
        <w:rPr>
          <w:rFonts w:hint="eastAsia" w:asciiTheme="minorEastAsia" w:hAnsiTheme="minorEastAsia" w:eastAsiaTheme="minorEastAsia" w:cstheme="minorBidi"/>
          <w:bCs/>
          <w:kern w:val="0"/>
          <w:sz w:val="32"/>
          <w:szCs w:val="32"/>
          <w:lang w:val="en-US" w:eastAsia="zh-CN" w:bidi="ar"/>
        </w:rPr>
        <w:t>怀化日报社作为一级部门预算单位，内设科室为：办公室、人事科、总编室、要闻部、摄影部、广告部、发行部、出版部、财务科等。</w:t>
      </w:r>
      <w:r>
        <w:rPr>
          <w:rFonts w:hint="eastAsia" w:asciiTheme="minorEastAsia" w:hAnsiTheme="minorEastAsia" w:cstheme="minorBidi"/>
          <w:bCs/>
          <w:kern w:val="0"/>
          <w:sz w:val="32"/>
          <w:szCs w:val="32"/>
          <w:lang w:val="en-US" w:eastAsia="zh-CN" w:bidi="ar"/>
        </w:rPr>
        <w:t>单位编制人员数116人。</w:t>
      </w:r>
    </w:p>
    <w:p>
      <w:pPr>
        <w:jc w:val="left"/>
        <w:rPr>
          <w:rFonts w:hint="eastAsia" w:ascii="黑体" w:hAnsi="黑体" w:eastAsia="仿宋_GB2312"/>
          <w:sz w:val="28"/>
          <w:szCs w:val="28"/>
          <w:lang w:eastAsia="zh-CN"/>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eastAsia="zh-CN"/>
        </w:rPr>
        <w:t>怀化日报社（本级）</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w:t>
      </w:r>
      <w:r>
        <w:rPr>
          <w:rFonts w:hint="eastAsia" w:ascii="Times New Roman" w:hAnsi="Times New Roman" w:eastAsia="仿宋_GB2312" w:cs="仿宋_GB2312"/>
          <w:bCs/>
          <w:kern w:val="0"/>
          <w:sz w:val="32"/>
          <w:szCs w:val="32"/>
          <w:lang w:eastAsia="zh-CN"/>
        </w:rPr>
        <w:t>公开</w:t>
      </w: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1"/>
        <w:jc w:val="center"/>
        <w:rPr>
          <w:rFonts w:hint="eastAsia" w:ascii="方正小标宋_GBK" w:hAnsi="方正小标宋_GBK" w:eastAsia="方正小标宋_GBK" w:cs="方正小标宋_GBK"/>
          <w:sz w:val="84"/>
          <w:szCs w:val="84"/>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1"/>
        <w:jc w:val="center"/>
        <w:rPr>
          <w:rFonts w:hint="eastAsia" w:ascii="方正小标宋_GBK" w:hAnsi="方正小标宋_GBK" w:eastAsia="方正小标宋_GBK" w:cs="方正小标宋_GBK"/>
          <w:sz w:val="84"/>
          <w:szCs w:val="84"/>
        </w:rPr>
      </w:pPr>
    </w:p>
    <w:p>
      <w:pPr>
        <w:pStyle w:val="11"/>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rFonts w:ascii="宋体" w:eastAsia="宋体" w:cs="宋体"/>
          <w:kern w:val="0"/>
          <w:sz w:val="24"/>
          <w:szCs w:val="24"/>
        </w:rPr>
      </w:pPr>
      <w:r>
        <w:rPr>
          <w:rFonts w:hint="eastAsia"/>
          <w:sz w:val="72"/>
          <w:szCs w:val="72"/>
          <w:lang w:eastAsia="zh-CN"/>
        </w:rPr>
        <w:t>见附件</w:t>
      </w:r>
      <w:bookmarkStart w:id="0" w:name="RANGE!A1:I22"/>
      <w:bookmarkEnd w:id="0"/>
    </w:p>
    <w:p>
      <w:pPr>
        <w:autoSpaceDE w:val="0"/>
        <w:autoSpaceDN w:val="0"/>
        <w:adjustRightInd w:val="0"/>
        <w:ind w:left="315" w:leftChars="150"/>
        <w:jc w:val="left"/>
        <w:rPr>
          <w:rFonts w:ascii="宋体" w:eastAsia="宋体" w:cs="宋体"/>
          <w:kern w:val="0"/>
          <w:sz w:val="24"/>
          <w:szCs w:val="24"/>
        </w:rPr>
      </w:pPr>
    </w:p>
    <w:p>
      <w:pPr>
        <w:pStyle w:val="11"/>
        <w:rPr>
          <w:sz w:val="72"/>
          <w:szCs w:val="72"/>
        </w:rPr>
      </w:pPr>
    </w:p>
    <w:p>
      <w:pPr>
        <w:pStyle w:val="11"/>
        <w:rPr>
          <w:sz w:val="72"/>
          <w:szCs w:val="72"/>
        </w:rPr>
      </w:pPr>
    </w:p>
    <w:p>
      <w:pPr>
        <w:pStyle w:val="11"/>
        <w:rPr>
          <w:sz w:val="72"/>
          <w:szCs w:val="72"/>
        </w:rPr>
      </w:pPr>
    </w:p>
    <w:p>
      <w:pPr>
        <w:pStyle w:val="11"/>
        <w:rPr>
          <w:sz w:val="72"/>
          <w:szCs w:val="72"/>
        </w:rPr>
      </w:pPr>
    </w:p>
    <w:p>
      <w:pPr>
        <w:pStyle w:val="11"/>
        <w:jc w:val="center"/>
        <w:rPr>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1"/>
        <w:jc w:val="center"/>
        <w:rPr>
          <w:rFonts w:hint="eastAsia" w:ascii="方正小标宋_GBK" w:hAnsi="方正小标宋_GBK" w:eastAsia="方正小标宋_GBK" w:cs="方正小标宋_GBK"/>
          <w:sz w:val="70"/>
          <w:szCs w:val="70"/>
        </w:rPr>
      </w:pPr>
    </w:p>
    <w:p>
      <w:pPr>
        <w:pStyle w:val="11"/>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1"/>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收入支出决算总体情况说明</w:t>
      </w:r>
    </w:p>
    <w:p>
      <w:pPr>
        <w:pStyle w:val="11"/>
        <w:ind w:firstLine="640" w:firstLineChars="200"/>
        <w:rPr>
          <w:rFonts w:hint="default"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rPr>
        <w:t>202</w:t>
      </w:r>
      <w:r>
        <w:rPr>
          <w:rFonts w:hint="eastAsia" w:asciiTheme="minorEastAsia" w:hAnsiTheme="minorEastAsia" w:eastAsiaTheme="minorEastAsia"/>
          <w:sz w:val="32"/>
          <w:szCs w:val="32"/>
          <w:highlight w:val="none"/>
          <w:lang w:val="en-US" w:eastAsia="zh-CN"/>
        </w:rPr>
        <w:t>2</w:t>
      </w:r>
      <w:r>
        <w:rPr>
          <w:rFonts w:hint="eastAsia" w:asciiTheme="minorEastAsia" w:hAnsiTheme="minorEastAsia" w:eastAsiaTheme="minorEastAsia"/>
          <w:sz w:val="32"/>
          <w:szCs w:val="32"/>
          <w:highlight w:val="none"/>
        </w:rPr>
        <w:t>年度收</w:t>
      </w:r>
      <w:r>
        <w:rPr>
          <w:rFonts w:hint="eastAsia" w:asciiTheme="minorEastAsia" w:hAnsiTheme="minorEastAsia" w:eastAsiaTheme="minorEastAsia"/>
          <w:sz w:val="32"/>
          <w:szCs w:val="32"/>
          <w:highlight w:val="none"/>
          <w:lang w:eastAsia="zh-CN"/>
        </w:rPr>
        <w:t>入</w:t>
      </w:r>
      <w:r>
        <w:rPr>
          <w:rFonts w:hint="eastAsia" w:asciiTheme="minorEastAsia" w:hAnsiTheme="minorEastAsia" w:eastAsiaTheme="minorEastAsia"/>
          <w:sz w:val="32"/>
          <w:szCs w:val="32"/>
          <w:highlight w:val="none"/>
        </w:rPr>
        <w:t>总计</w:t>
      </w:r>
      <w:r>
        <w:rPr>
          <w:rFonts w:hint="eastAsia" w:asciiTheme="minorEastAsia" w:hAnsiTheme="minorEastAsia" w:eastAsiaTheme="minorEastAsia"/>
          <w:sz w:val="32"/>
          <w:szCs w:val="32"/>
          <w:highlight w:val="none"/>
          <w:lang w:val="en-US" w:eastAsia="zh-CN"/>
        </w:rPr>
        <w:t>4758.53</w:t>
      </w:r>
      <w:r>
        <w:rPr>
          <w:rFonts w:hint="eastAsia" w:asciiTheme="minorEastAsia" w:hAnsiTheme="minorEastAsia" w:eastAsiaTheme="minorEastAsia"/>
          <w:sz w:val="32"/>
          <w:szCs w:val="32"/>
          <w:highlight w:val="none"/>
        </w:rPr>
        <w:t>万元。与上年相比，</w:t>
      </w:r>
      <w:r>
        <w:rPr>
          <w:rFonts w:hint="eastAsia" w:asciiTheme="minorEastAsia" w:hAnsiTheme="minorEastAsia" w:eastAsiaTheme="minorEastAsia"/>
          <w:sz w:val="32"/>
          <w:szCs w:val="32"/>
          <w:highlight w:val="none"/>
          <w:lang w:eastAsia="zh-CN"/>
        </w:rPr>
        <w:t>增加</w:t>
      </w:r>
      <w:r>
        <w:rPr>
          <w:rFonts w:hint="eastAsia" w:asciiTheme="minorEastAsia" w:hAnsiTheme="minorEastAsia" w:eastAsiaTheme="minorEastAsia"/>
          <w:sz w:val="32"/>
          <w:szCs w:val="32"/>
          <w:highlight w:val="none"/>
          <w:lang w:val="en-US" w:eastAsia="zh-CN"/>
        </w:rPr>
        <w:t>1761.96</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增长</w:t>
      </w:r>
      <w:r>
        <w:rPr>
          <w:rFonts w:hint="eastAsia" w:asciiTheme="minorEastAsia" w:hAnsiTheme="minorEastAsia" w:eastAsiaTheme="minorEastAsia"/>
          <w:sz w:val="32"/>
          <w:szCs w:val="32"/>
          <w:highlight w:val="none"/>
          <w:lang w:val="en-US" w:eastAsia="zh-CN"/>
        </w:rPr>
        <w:t xml:space="preserve"> 58.8</w:t>
      </w:r>
      <w:r>
        <w:rPr>
          <w:rFonts w:hint="eastAsia" w:asciiTheme="minorEastAsia" w:hAnsiTheme="minorEastAsia" w:eastAsiaTheme="minorEastAsia"/>
          <w:sz w:val="32"/>
          <w:szCs w:val="32"/>
          <w:highlight w:val="none"/>
        </w:rPr>
        <w:t>%，主要是</w:t>
      </w:r>
      <w:r>
        <w:rPr>
          <w:rFonts w:hint="eastAsia" w:asciiTheme="minorEastAsia" w:hAnsiTheme="minorEastAsia" w:eastAsiaTheme="minorEastAsia"/>
          <w:sz w:val="32"/>
          <w:szCs w:val="32"/>
          <w:highlight w:val="none"/>
          <w:lang w:val="en-US" w:eastAsia="zh-CN"/>
        </w:rPr>
        <w:t>2022年收入包括一部分二级机构的收入。</w:t>
      </w:r>
    </w:p>
    <w:p>
      <w:pPr>
        <w:pStyle w:val="11"/>
        <w:ind w:firstLine="640" w:firstLineChars="200"/>
        <w:rPr>
          <w:rFonts w:ascii="Times New Roman" w:hAnsi="Times New Roman" w:eastAsia="仿宋_GB2312"/>
          <w:sz w:val="32"/>
          <w:szCs w:val="32"/>
          <w:highlight w:val="none"/>
        </w:rPr>
      </w:pPr>
      <w:r>
        <w:rPr>
          <w:rFonts w:hint="eastAsia" w:asciiTheme="minorEastAsia" w:hAnsiTheme="minorEastAsia" w:eastAsiaTheme="minorEastAsia"/>
          <w:sz w:val="32"/>
          <w:szCs w:val="32"/>
          <w:highlight w:val="none"/>
          <w:lang w:val="en-US" w:eastAsia="zh-CN"/>
        </w:rPr>
        <w:t>2022</w:t>
      </w:r>
      <w:r>
        <w:rPr>
          <w:rFonts w:hint="eastAsia" w:asciiTheme="minorEastAsia" w:hAnsiTheme="minorEastAsia" w:eastAsiaTheme="minorEastAsia"/>
          <w:sz w:val="32"/>
          <w:szCs w:val="32"/>
          <w:highlight w:val="none"/>
        </w:rPr>
        <w:t>年度</w:t>
      </w:r>
      <w:r>
        <w:rPr>
          <w:rFonts w:hint="eastAsia" w:asciiTheme="minorEastAsia" w:hAnsiTheme="minorEastAsia" w:eastAsiaTheme="minorEastAsia"/>
          <w:sz w:val="32"/>
          <w:szCs w:val="32"/>
          <w:highlight w:val="none"/>
          <w:lang w:eastAsia="zh-CN"/>
        </w:rPr>
        <w:t>支出</w:t>
      </w:r>
      <w:r>
        <w:rPr>
          <w:rFonts w:hint="eastAsia" w:asciiTheme="minorEastAsia" w:hAnsiTheme="minorEastAsia" w:eastAsiaTheme="minorEastAsia"/>
          <w:sz w:val="32"/>
          <w:szCs w:val="32"/>
          <w:highlight w:val="none"/>
        </w:rPr>
        <w:t>总计</w:t>
      </w:r>
      <w:r>
        <w:rPr>
          <w:rFonts w:hint="eastAsia" w:asciiTheme="minorEastAsia" w:hAnsiTheme="minorEastAsia" w:eastAsiaTheme="minorEastAsia"/>
          <w:sz w:val="32"/>
          <w:szCs w:val="32"/>
          <w:highlight w:val="none"/>
          <w:lang w:val="en-US" w:eastAsia="zh-CN"/>
        </w:rPr>
        <w:t>4758.53</w:t>
      </w:r>
      <w:r>
        <w:rPr>
          <w:rFonts w:hint="eastAsia" w:asciiTheme="minorEastAsia" w:hAnsiTheme="minorEastAsia" w:eastAsiaTheme="minorEastAsia"/>
          <w:sz w:val="32"/>
          <w:szCs w:val="32"/>
          <w:highlight w:val="none"/>
        </w:rPr>
        <w:t>万元。与上年相比，</w:t>
      </w:r>
      <w:r>
        <w:rPr>
          <w:rFonts w:hint="eastAsia" w:asciiTheme="minorEastAsia" w:hAnsiTheme="minorEastAsia" w:eastAsiaTheme="minorEastAsia"/>
          <w:sz w:val="32"/>
          <w:szCs w:val="32"/>
          <w:highlight w:val="none"/>
          <w:lang w:eastAsia="zh-CN"/>
        </w:rPr>
        <w:t>增加</w:t>
      </w:r>
      <w:r>
        <w:rPr>
          <w:rFonts w:hint="eastAsia" w:asciiTheme="minorEastAsia" w:hAnsiTheme="minorEastAsia" w:eastAsiaTheme="minorEastAsia"/>
          <w:sz w:val="32"/>
          <w:szCs w:val="32"/>
          <w:highlight w:val="none"/>
          <w:lang w:val="en-US" w:eastAsia="zh-CN"/>
        </w:rPr>
        <w:t>1761.96</w:t>
      </w:r>
      <w:r>
        <w:rPr>
          <w:rFonts w:hint="eastAsia" w:asciiTheme="minorEastAsia" w:hAnsiTheme="minorEastAsia" w:eastAsiaTheme="minorEastAsia"/>
          <w:sz w:val="32"/>
          <w:szCs w:val="32"/>
          <w:highlight w:val="none"/>
        </w:rPr>
        <w:t>万元，</w:t>
      </w:r>
      <w:r>
        <w:rPr>
          <w:rFonts w:hint="eastAsia" w:asciiTheme="minorEastAsia" w:hAnsiTheme="minorEastAsia" w:eastAsiaTheme="minorEastAsia"/>
          <w:sz w:val="32"/>
          <w:szCs w:val="32"/>
          <w:highlight w:val="none"/>
          <w:lang w:eastAsia="zh-CN"/>
        </w:rPr>
        <w:t>增长</w:t>
      </w:r>
      <w:r>
        <w:rPr>
          <w:rFonts w:hint="eastAsia" w:asciiTheme="minorEastAsia" w:hAnsiTheme="minorEastAsia" w:eastAsiaTheme="minorEastAsia"/>
          <w:sz w:val="32"/>
          <w:szCs w:val="32"/>
          <w:highlight w:val="none"/>
          <w:lang w:val="en-US" w:eastAsia="zh-CN"/>
        </w:rPr>
        <w:t xml:space="preserve"> 58.8</w:t>
      </w:r>
      <w:r>
        <w:rPr>
          <w:rFonts w:hint="eastAsia" w:asciiTheme="minorEastAsia" w:hAnsiTheme="minorEastAsia" w:eastAsiaTheme="minorEastAsia"/>
          <w:sz w:val="32"/>
          <w:szCs w:val="32"/>
          <w:highlight w:val="none"/>
        </w:rPr>
        <w:t>%，主要是</w:t>
      </w:r>
      <w:r>
        <w:rPr>
          <w:rFonts w:hint="eastAsia" w:asciiTheme="minorEastAsia" w:hAnsiTheme="minorEastAsia" w:eastAsiaTheme="minorEastAsia"/>
          <w:sz w:val="32"/>
          <w:szCs w:val="32"/>
          <w:highlight w:val="none"/>
          <w:lang w:val="en-US" w:eastAsia="zh-CN"/>
        </w:rPr>
        <w:t>2022年支出包括一部分二级机构的支出。</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4758.53</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928.97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19.52</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3829.57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80.48</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4758.53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833.59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17.52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95.37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3829.57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80.48</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w:t>
      </w:r>
      <w:r>
        <w:rPr>
          <w:rFonts w:hint="eastAsia" w:ascii="Times New Roman" w:hAnsi="Times New Roman" w:eastAsia="仿宋_GB2312"/>
          <w:sz w:val="32"/>
          <w:szCs w:val="32"/>
          <w:lang w:eastAsia="zh-CN"/>
        </w:rPr>
        <w:t>入</w:t>
      </w:r>
      <w:r>
        <w:rPr>
          <w:rFonts w:hint="eastAsia" w:ascii="Times New Roman" w:hAnsi="Times New Roman" w:eastAsia="仿宋_GB2312"/>
          <w:sz w:val="32"/>
          <w:szCs w:val="32"/>
        </w:rPr>
        <w:t>总计</w:t>
      </w:r>
      <w:r>
        <w:rPr>
          <w:rFonts w:hint="eastAsia" w:ascii="Times New Roman" w:hAnsi="Times New Roman" w:eastAsia="仿宋_GB2312"/>
          <w:sz w:val="32"/>
          <w:szCs w:val="32"/>
          <w:lang w:val="en-US" w:eastAsia="zh-CN"/>
        </w:rPr>
        <w:t>928.97</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286.42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，增长</w:t>
      </w:r>
      <w:r>
        <w:rPr>
          <w:rFonts w:hint="eastAsia" w:ascii="Times New Roman" w:hAnsi="Times New Roman" w:eastAsia="仿宋_GB2312"/>
          <w:sz w:val="32"/>
          <w:szCs w:val="32"/>
          <w:lang w:val="en-US" w:eastAsia="zh-CN"/>
        </w:rPr>
        <w:t>44.58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增加了人员经费</w:t>
      </w:r>
      <w:r>
        <w:rPr>
          <w:rFonts w:hint="eastAsia" w:ascii="Times New Roman" w:hAnsi="Times New Roman" w:eastAsia="仿宋_GB2312"/>
          <w:sz w:val="32"/>
          <w:szCs w:val="32"/>
        </w:rPr>
        <w:t>财政拨款金额</w:t>
      </w:r>
      <w:r>
        <w:rPr>
          <w:rFonts w:hint="eastAsia" w:ascii="Times New Roman" w:hAnsi="Times New Roman" w:eastAsia="仿宋_GB2312"/>
          <w:sz w:val="32"/>
          <w:szCs w:val="32"/>
          <w:lang w:eastAsia="zh-CN"/>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总计</w:t>
      </w:r>
      <w:r>
        <w:rPr>
          <w:rFonts w:hint="eastAsia" w:ascii="Times New Roman" w:hAnsi="Times New Roman" w:eastAsia="仿宋_GB2312"/>
          <w:sz w:val="32"/>
          <w:szCs w:val="32"/>
          <w:lang w:val="en-US" w:eastAsia="zh-CN"/>
        </w:rPr>
        <w:t>928.97</w:t>
      </w:r>
      <w:r>
        <w:rPr>
          <w:rFonts w:hint="eastAsia" w:ascii="Times New Roman" w:hAnsi="Times New Roman" w:eastAsia="仿宋_GB2312"/>
          <w:sz w:val="32"/>
          <w:szCs w:val="32"/>
        </w:rPr>
        <w:t>万元，与上年相比，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286.42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，增长</w:t>
      </w:r>
      <w:r>
        <w:rPr>
          <w:rFonts w:hint="eastAsia" w:ascii="Times New Roman" w:hAnsi="Times New Roman" w:eastAsia="仿宋_GB2312"/>
          <w:sz w:val="32"/>
          <w:szCs w:val="32"/>
          <w:lang w:val="en-US" w:eastAsia="zh-CN"/>
        </w:rPr>
        <w:t>44.58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增加了人员经费</w:t>
      </w:r>
      <w:r>
        <w:rPr>
          <w:rFonts w:hint="eastAsia" w:ascii="Times New Roman" w:hAnsi="Times New Roman" w:eastAsia="仿宋_GB2312"/>
          <w:sz w:val="32"/>
          <w:szCs w:val="32"/>
        </w:rPr>
        <w:t>财政拨款金额</w:t>
      </w:r>
      <w:r>
        <w:rPr>
          <w:rFonts w:hint="eastAsia" w:ascii="Times New Roman" w:hAnsi="Times New Roman" w:eastAsia="仿宋_GB2312"/>
          <w:sz w:val="32"/>
          <w:szCs w:val="32"/>
          <w:lang w:eastAsia="zh-CN"/>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928.97</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19.52</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286.42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44.58</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增加了</w:t>
      </w:r>
      <w:r>
        <w:rPr>
          <w:rFonts w:hint="eastAsia" w:ascii="Times New Roman" w:hAnsi="Times New Roman" w:eastAsia="仿宋_GB2312"/>
          <w:sz w:val="32"/>
          <w:szCs w:val="32"/>
        </w:rPr>
        <w:t>财政拨款金额</w:t>
      </w:r>
      <w:r>
        <w:rPr>
          <w:rFonts w:hint="eastAsia" w:ascii="Times New Roman" w:hAnsi="Times New Roman" w:eastAsia="仿宋_GB2312"/>
          <w:sz w:val="32"/>
          <w:szCs w:val="32"/>
          <w:lang w:eastAsia="zh-CN"/>
        </w:rPr>
        <w:t>。</w:t>
      </w:r>
    </w:p>
    <w:p>
      <w:pPr>
        <w:pStyle w:val="11"/>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928.97</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9.3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文化旅游体育与传媒支出（类）支出</w:t>
      </w:r>
      <w:r>
        <w:rPr>
          <w:rFonts w:hint="eastAsia" w:ascii="Times New Roman" w:hAnsi="Times New Roman" w:eastAsia="仿宋_GB2312"/>
          <w:sz w:val="32"/>
          <w:szCs w:val="32"/>
          <w:lang w:val="en-US" w:eastAsia="zh-CN"/>
        </w:rPr>
        <w:t>860.75万元，占92.66%；</w:t>
      </w:r>
      <w:r>
        <w:rPr>
          <w:rFonts w:hint="eastAsia" w:ascii="Times New Roman" w:hAnsi="Times New Roman" w:eastAsia="仿宋_GB2312"/>
          <w:sz w:val="32"/>
          <w:szCs w:val="32"/>
        </w:rPr>
        <w:t>社会保障和就业</w:t>
      </w:r>
      <w:r>
        <w:rPr>
          <w:rFonts w:hint="eastAsia" w:ascii="Times New Roman" w:hAnsi="Times New Roman" w:eastAsia="仿宋_GB2312"/>
          <w:sz w:val="32"/>
          <w:szCs w:val="32"/>
          <w:lang w:eastAsia="zh-CN"/>
        </w:rPr>
        <w:t>支出（类）</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54.81万元，占5.9%；卫生健康支出（类）支出4.1万元，占0.44%。</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494.47</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928.97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187.87</w:t>
      </w:r>
      <w:r>
        <w:rPr>
          <w:rFonts w:hint="eastAsia" w:ascii="Times New Roman" w:hAnsi="Times New Roman" w:eastAsia="仿宋_GB2312"/>
          <w:sz w:val="32"/>
          <w:szCs w:val="32"/>
        </w:rPr>
        <w:t>%，其中：</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人大事务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人大会议</w:t>
      </w:r>
      <w:r>
        <w:rPr>
          <w:rFonts w:hint="eastAsia" w:ascii="Times New Roman" w:hAnsi="Times New Roman" w:eastAsia="仿宋_GB2312"/>
          <w:sz w:val="32"/>
          <w:szCs w:val="32"/>
        </w:rPr>
        <w:t>（项）。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增加了人大会议经费支出</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政协事务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其他政协事务支出</w:t>
      </w:r>
      <w:r>
        <w:rPr>
          <w:rFonts w:hint="eastAsia" w:ascii="Times New Roman" w:hAnsi="Times New Roman" w:eastAsia="仿宋_GB2312"/>
          <w:sz w:val="32"/>
          <w:szCs w:val="32"/>
        </w:rPr>
        <w:t>（项）。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heme="minorEastAsia" w:hAnsiTheme="minorEastAsia" w:eastAsiaTheme="minorEastAsia"/>
          <w:sz w:val="32"/>
          <w:szCs w:val="32"/>
          <w:highlight w:val="none"/>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增加了新闻界别委员工作室经费。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其他组织事务支出</w:t>
      </w:r>
      <w:r>
        <w:rPr>
          <w:rFonts w:hint="eastAsia" w:ascii="Times New Roman" w:hAnsi="Times New Roman" w:eastAsia="仿宋_GB2312"/>
          <w:sz w:val="32"/>
          <w:szCs w:val="32"/>
        </w:rPr>
        <w:t>（项）。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万元，决算数大于（小于）年初预算数的主要原因是：</w:t>
      </w:r>
      <w:r>
        <w:rPr>
          <w:rFonts w:hint="eastAsia" w:ascii="Times New Roman" w:hAnsi="Times New Roman" w:eastAsia="仿宋_GB2312"/>
          <w:sz w:val="32"/>
          <w:szCs w:val="32"/>
          <w:lang w:eastAsia="zh-CN"/>
        </w:rPr>
        <w:t>引进人才</w:t>
      </w:r>
      <w:r>
        <w:rPr>
          <w:rFonts w:hint="eastAsia" w:ascii="Times New Roman" w:hAnsi="Times New Roman" w:eastAsia="仿宋_GB2312"/>
          <w:sz w:val="32"/>
          <w:szCs w:val="32"/>
          <w:lang w:val="en-US" w:eastAsia="zh-CN"/>
        </w:rPr>
        <w:t>2022年度补贴。</w:t>
      </w:r>
    </w:p>
    <w:p>
      <w:pPr>
        <w:pStyle w:val="11"/>
        <w:numPr>
          <w:ilvl w:val="0"/>
          <w:numId w:val="0"/>
        </w:numPr>
        <w:ind w:firstLine="640" w:firstLineChars="200"/>
        <w:rPr>
          <w:rFonts w:asciiTheme="minorEastAsia" w:hAnsiTheme="minorEastAsia" w:eastAsiaTheme="minorEastAsia"/>
          <w:sz w:val="32"/>
          <w:szCs w:val="32"/>
          <w:highlight w:val="none"/>
        </w:rPr>
      </w:pPr>
      <w:r>
        <w:rPr>
          <w:rFonts w:hint="eastAsia" w:ascii="Times New Roman" w:hAnsi="Times New Roman" w:eastAsia="仿宋_GB2312"/>
          <w:sz w:val="32"/>
          <w:szCs w:val="32"/>
          <w:lang w:val="en-US" w:eastAsia="zh-CN"/>
        </w:rPr>
        <w:t>4、</w:t>
      </w:r>
      <w:r>
        <w:rPr>
          <w:rFonts w:hint="eastAsia" w:asciiTheme="minorEastAsia" w:hAnsiTheme="minorEastAsia" w:eastAsiaTheme="minorEastAsia"/>
          <w:sz w:val="32"/>
          <w:szCs w:val="32"/>
          <w:highlight w:val="none"/>
          <w:lang w:eastAsia="zh-CN"/>
        </w:rPr>
        <w:t>文化旅游体育与传媒支出</w:t>
      </w:r>
      <w:r>
        <w:rPr>
          <w:rFonts w:hint="eastAsia" w:asciiTheme="minorEastAsia" w:hAnsiTheme="minorEastAsia" w:eastAsiaTheme="minorEastAsia"/>
          <w:sz w:val="32"/>
          <w:szCs w:val="32"/>
          <w:highlight w:val="none"/>
        </w:rPr>
        <w:t>（类）</w:t>
      </w:r>
      <w:r>
        <w:rPr>
          <w:rFonts w:hint="eastAsia" w:asciiTheme="minorEastAsia" w:hAnsiTheme="minorEastAsia" w:eastAsiaTheme="minorEastAsia"/>
          <w:sz w:val="32"/>
          <w:szCs w:val="32"/>
          <w:highlight w:val="none"/>
          <w:lang w:eastAsia="zh-CN"/>
        </w:rPr>
        <w:t>文化和旅游</w:t>
      </w:r>
      <w:r>
        <w:rPr>
          <w:rFonts w:hint="eastAsia" w:asciiTheme="minorEastAsia" w:hAnsiTheme="minorEastAsia" w:eastAsiaTheme="minorEastAsia"/>
          <w:sz w:val="32"/>
          <w:szCs w:val="32"/>
          <w:highlight w:val="none"/>
        </w:rPr>
        <w:t>（款）</w:t>
      </w:r>
      <w:r>
        <w:rPr>
          <w:rFonts w:hint="eastAsia" w:asciiTheme="minorEastAsia" w:hAnsiTheme="minorEastAsia" w:eastAsiaTheme="minorEastAsia"/>
          <w:sz w:val="32"/>
          <w:szCs w:val="32"/>
          <w:highlight w:val="none"/>
          <w:lang w:eastAsia="zh-CN"/>
        </w:rPr>
        <w:t>其他文化和旅游支出</w:t>
      </w:r>
      <w:r>
        <w:rPr>
          <w:rFonts w:hint="eastAsia" w:asciiTheme="minorEastAsia" w:hAnsiTheme="minorEastAsia" w:eastAsiaTheme="minorEastAsia"/>
          <w:sz w:val="32"/>
          <w:szCs w:val="32"/>
          <w:highlight w:val="none"/>
        </w:rPr>
        <w:t>（项）。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万元，决算数大于（小于）年初预算数的主要原因是：</w:t>
      </w:r>
      <w:r>
        <w:rPr>
          <w:rFonts w:hint="eastAsia" w:ascii="Times New Roman" w:hAnsi="Times New Roman" w:eastAsia="仿宋_GB2312"/>
          <w:sz w:val="32"/>
          <w:szCs w:val="32"/>
          <w:lang w:eastAsia="zh-CN"/>
        </w:rPr>
        <w:t>购买摄影采访用相机及笔记本电脑经费。</w:t>
      </w:r>
    </w:p>
    <w:p>
      <w:pPr>
        <w:pStyle w:val="11"/>
        <w:numPr>
          <w:ilvl w:val="0"/>
          <w:numId w:val="0"/>
        </w:numPr>
        <w:ind w:firstLine="640" w:firstLineChars="200"/>
        <w:rPr>
          <w:rFonts w:asciiTheme="minorEastAsia" w:hAnsiTheme="minorEastAsia" w:eastAsiaTheme="minorEastAsia"/>
          <w:sz w:val="32"/>
          <w:szCs w:val="32"/>
          <w:highlight w:val="none"/>
        </w:rPr>
      </w:pPr>
      <w:r>
        <w:rPr>
          <w:rFonts w:hint="eastAsia" w:ascii="Times New Roman" w:hAnsi="Times New Roman" w:eastAsia="仿宋_GB2312"/>
          <w:sz w:val="32"/>
          <w:szCs w:val="32"/>
          <w:lang w:val="en-US" w:eastAsia="zh-CN"/>
        </w:rPr>
        <w:t>5、</w:t>
      </w:r>
      <w:r>
        <w:rPr>
          <w:rFonts w:hint="eastAsia" w:asciiTheme="minorEastAsia" w:hAnsiTheme="minorEastAsia" w:eastAsiaTheme="minorEastAsia"/>
          <w:sz w:val="32"/>
          <w:szCs w:val="32"/>
          <w:highlight w:val="none"/>
          <w:lang w:eastAsia="zh-CN"/>
        </w:rPr>
        <w:t>文化旅游体育与传媒支出</w:t>
      </w:r>
      <w:r>
        <w:rPr>
          <w:rFonts w:hint="eastAsia" w:asciiTheme="minorEastAsia" w:hAnsiTheme="minorEastAsia" w:eastAsiaTheme="minorEastAsia"/>
          <w:sz w:val="32"/>
          <w:szCs w:val="32"/>
          <w:highlight w:val="none"/>
        </w:rPr>
        <w:t>（类）</w:t>
      </w:r>
      <w:r>
        <w:rPr>
          <w:rFonts w:hint="eastAsia" w:asciiTheme="minorEastAsia" w:hAnsiTheme="minorEastAsia" w:eastAsiaTheme="minorEastAsia"/>
          <w:sz w:val="32"/>
          <w:szCs w:val="32"/>
          <w:highlight w:val="none"/>
          <w:lang w:eastAsia="zh-CN"/>
        </w:rPr>
        <w:t>新闻出版电影</w:t>
      </w:r>
      <w:r>
        <w:rPr>
          <w:rFonts w:hint="eastAsia" w:asciiTheme="minorEastAsia" w:hAnsiTheme="minorEastAsia" w:eastAsiaTheme="minorEastAsia"/>
          <w:sz w:val="32"/>
          <w:szCs w:val="32"/>
          <w:highlight w:val="none"/>
        </w:rPr>
        <w:t>（款）</w:t>
      </w:r>
      <w:r>
        <w:rPr>
          <w:rFonts w:hint="eastAsia" w:asciiTheme="minorEastAsia" w:hAnsiTheme="minorEastAsia" w:eastAsiaTheme="minorEastAsia"/>
          <w:sz w:val="32"/>
          <w:szCs w:val="32"/>
          <w:highlight w:val="none"/>
          <w:lang w:eastAsia="zh-CN"/>
        </w:rPr>
        <w:t>其他新闻出版电影支出</w:t>
      </w:r>
      <w:r>
        <w:rPr>
          <w:rFonts w:hint="eastAsia" w:asciiTheme="minorEastAsia" w:hAnsiTheme="minorEastAsia" w:eastAsiaTheme="minorEastAsia"/>
          <w:sz w:val="32"/>
          <w:szCs w:val="32"/>
          <w:highlight w:val="none"/>
        </w:rPr>
        <w:t>（项）。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474.47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701.24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147.79</w:t>
      </w:r>
      <w:r>
        <w:rPr>
          <w:rFonts w:hint="eastAsia" w:ascii="Times New Roman" w:hAnsi="Times New Roman" w:eastAsia="仿宋_GB2312"/>
          <w:sz w:val="32"/>
          <w:szCs w:val="32"/>
        </w:rPr>
        <w:t>%，决算数大于年初预算数的主要原因是：</w:t>
      </w:r>
      <w:r>
        <w:rPr>
          <w:rFonts w:hint="eastAsia" w:asciiTheme="minorEastAsia" w:hAnsiTheme="minorEastAsia" w:eastAsiaTheme="minorEastAsia"/>
          <w:sz w:val="32"/>
          <w:szCs w:val="32"/>
          <w:highlight w:val="none"/>
          <w:lang w:val="en-US" w:eastAsia="zh-CN"/>
        </w:rPr>
        <w:t>2021</w:t>
      </w:r>
      <w:r>
        <w:rPr>
          <w:rFonts w:hint="eastAsia" w:asciiTheme="minorEastAsia" w:hAnsiTheme="minorEastAsia" w:eastAsiaTheme="minorEastAsia"/>
          <w:sz w:val="32"/>
          <w:szCs w:val="32"/>
          <w:highlight w:val="none"/>
          <w:lang w:eastAsia="zh-CN"/>
        </w:rPr>
        <w:t>年度绩效奖金预发。</w:t>
      </w:r>
    </w:p>
    <w:p>
      <w:pPr>
        <w:pStyle w:val="11"/>
        <w:numPr>
          <w:ilvl w:val="0"/>
          <w:numId w:val="0"/>
        </w:numPr>
        <w:ind w:firstLine="640" w:firstLineChars="200"/>
        <w:rPr>
          <w:rFonts w:asciiTheme="minorEastAsia" w:hAnsiTheme="minorEastAsia" w:eastAsiaTheme="minorEastAsia"/>
          <w:sz w:val="32"/>
          <w:szCs w:val="32"/>
          <w:highlight w:val="none"/>
        </w:rPr>
      </w:pPr>
      <w:r>
        <w:rPr>
          <w:rFonts w:hint="eastAsia" w:ascii="Times New Roman" w:hAnsi="Times New Roman" w:eastAsia="仿宋_GB2312"/>
          <w:sz w:val="32"/>
          <w:szCs w:val="32"/>
          <w:lang w:val="en-US" w:eastAsia="zh-CN"/>
        </w:rPr>
        <w:t>6、</w:t>
      </w:r>
      <w:r>
        <w:rPr>
          <w:rFonts w:hint="eastAsia" w:asciiTheme="minorEastAsia" w:hAnsiTheme="minorEastAsia" w:eastAsiaTheme="minorEastAsia"/>
          <w:sz w:val="32"/>
          <w:szCs w:val="32"/>
          <w:highlight w:val="none"/>
          <w:lang w:eastAsia="zh-CN"/>
        </w:rPr>
        <w:t>文化旅游体育与传媒支出</w:t>
      </w:r>
      <w:r>
        <w:rPr>
          <w:rFonts w:hint="eastAsia" w:asciiTheme="minorEastAsia" w:hAnsiTheme="minorEastAsia" w:eastAsiaTheme="minorEastAsia"/>
          <w:sz w:val="32"/>
          <w:szCs w:val="32"/>
          <w:highlight w:val="none"/>
        </w:rPr>
        <w:t>（类）</w:t>
      </w:r>
      <w:r>
        <w:rPr>
          <w:rFonts w:hint="eastAsia" w:asciiTheme="minorEastAsia" w:hAnsiTheme="minorEastAsia" w:eastAsiaTheme="minorEastAsia"/>
          <w:sz w:val="32"/>
          <w:szCs w:val="32"/>
          <w:highlight w:val="none"/>
          <w:lang w:eastAsia="zh-CN"/>
        </w:rPr>
        <w:t>其他文化旅游体育与传媒支出</w:t>
      </w:r>
      <w:r>
        <w:rPr>
          <w:rFonts w:hint="eastAsia" w:asciiTheme="minorEastAsia" w:hAnsiTheme="minorEastAsia" w:eastAsiaTheme="minorEastAsia"/>
          <w:sz w:val="32"/>
          <w:szCs w:val="32"/>
          <w:highlight w:val="none"/>
        </w:rPr>
        <w:t>（款）</w:t>
      </w:r>
      <w:r>
        <w:rPr>
          <w:rFonts w:hint="eastAsia" w:asciiTheme="minorEastAsia" w:hAnsiTheme="minorEastAsia" w:eastAsiaTheme="minorEastAsia"/>
          <w:sz w:val="32"/>
          <w:szCs w:val="32"/>
          <w:highlight w:val="none"/>
          <w:lang w:eastAsia="zh-CN"/>
        </w:rPr>
        <w:t>其他文化旅游体育与传媒支出</w:t>
      </w:r>
      <w:r>
        <w:rPr>
          <w:rFonts w:hint="eastAsia" w:asciiTheme="minorEastAsia" w:hAnsiTheme="minorEastAsia" w:eastAsiaTheme="minorEastAsia"/>
          <w:sz w:val="32"/>
          <w:szCs w:val="32"/>
          <w:highlight w:val="none"/>
        </w:rPr>
        <w:t>（项）。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149.5</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增加了</w:t>
      </w:r>
      <w:r>
        <w:rPr>
          <w:rFonts w:hint="eastAsia" w:ascii="Times New Roman" w:hAnsi="Times New Roman" w:eastAsia="仿宋_GB2312"/>
          <w:sz w:val="32"/>
          <w:szCs w:val="32"/>
          <w:lang w:val="en-US" w:eastAsia="zh-CN"/>
        </w:rPr>
        <w:t>2022年基础绩效工资。</w:t>
      </w:r>
    </w:p>
    <w:p>
      <w:pPr>
        <w:pStyle w:val="11"/>
        <w:numPr>
          <w:ilvl w:val="0"/>
          <w:numId w:val="0"/>
        </w:numPr>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lang w:val="en-US" w:eastAsia="zh-CN"/>
        </w:rPr>
        <w:t>7、社会保障和就业支出（类）行政事业单位养老支出（款）其他行政事业单位养老支出（项）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54.81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离退休人员春节一次性生活补助。</w:t>
      </w:r>
    </w:p>
    <w:p>
      <w:pPr>
        <w:pStyle w:val="11"/>
        <w:numPr>
          <w:ilvl w:val="0"/>
          <w:numId w:val="0"/>
        </w:numPr>
        <w:ind w:firstLine="640" w:firstLineChars="200"/>
        <w:rPr>
          <w:rFonts w:hint="eastAsia" w:asciiTheme="minorEastAsia" w:hAnsiTheme="minorEastAsia" w:eastAsiaTheme="minorEastAsia"/>
          <w:sz w:val="32"/>
          <w:szCs w:val="32"/>
          <w:highlight w:val="none"/>
          <w:lang w:val="en-US" w:eastAsia="zh-CN"/>
        </w:rPr>
      </w:pPr>
      <w:r>
        <w:rPr>
          <w:rFonts w:hint="eastAsia" w:asciiTheme="minorEastAsia" w:hAnsiTheme="minorEastAsia" w:eastAsiaTheme="minorEastAsia"/>
          <w:sz w:val="32"/>
          <w:szCs w:val="32"/>
          <w:highlight w:val="none"/>
          <w:lang w:val="en-US" w:eastAsia="zh-CN"/>
        </w:rPr>
        <w:t>8、卫生健康支出（类）公共卫生（款）突发公共卫生事件应急处理（项）</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b w:val="0"/>
          <w:bCs w:val="0"/>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4.1</w:t>
      </w:r>
      <w:r>
        <w:rPr>
          <w:rFonts w:hint="eastAsia" w:ascii="Times New Roman" w:hAnsi="Times New Roman" w:eastAsia="仿宋_GB2312"/>
          <w:sz w:val="32"/>
          <w:szCs w:val="32"/>
        </w:rPr>
        <w:t>万元，决算数大于年初预算数的主要原因是：</w:t>
      </w:r>
      <w:r>
        <w:rPr>
          <w:rFonts w:hint="eastAsia" w:ascii="Times New Roman" w:hAnsi="Times New Roman" w:eastAsia="仿宋_GB2312"/>
          <w:sz w:val="32"/>
          <w:szCs w:val="32"/>
          <w:lang w:eastAsia="zh-CN"/>
        </w:rPr>
        <w:t>增加了抗疫补助资金。</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833.59</w:t>
      </w:r>
      <w:r>
        <w:rPr>
          <w:rFonts w:hint="eastAsia" w:ascii="Times New Roman" w:hAnsi="Times New Roman" w:eastAsia="仿宋_GB2312"/>
          <w:sz w:val="32"/>
          <w:szCs w:val="32"/>
        </w:rPr>
        <w:t>万元，其中：</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rPr>
      </w:pPr>
      <w:r>
        <w:rPr>
          <w:rFonts w:hint="eastAsia" w:ascii="Times New Roman" w:hAnsi="Times New Roman" w:eastAsia="仿宋_GB2312"/>
          <w:sz w:val="32"/>
          <w:szCs w:val="32"/>
        </w:rPr>
        <w:t>人员经费</w:t>
      </w:r>
      <w:r>
        <w:rPr>
          <w:rFonts w:hint="eastAsia" w:ascii="Times New Roman" w:hAnsi="Times New Roman" w:eastAsia="仿宋_GB2312"/>
          <w:sz w:val="32"/>
          <w:szCs w:val="32"/>
          <w:lang w:val="en-US" w:eastAsia="zh-CN"/>
        </w:rPr>
        <w:t>833.59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%,主要包括基本工资、津贴补贴、奖金、</w:t>
      </w:r>
      <w:r>
        <w:rPr>
          <w:rFonts w:hint="eastAsia" w:ascii="Times New Roman" w:hAnsi="Times New Roman" w:eastAsia="仿宋_GB2312"/>
          <w:sz w:val="32"/>
          <w:szCs w:val="32"/>
          <w:lang w:eastAsia="zh-CN"/>
        </w:rPr>
        <w:t>对个人和家庭补助。</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1"/>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本年无因公出国（境）费支出。</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等于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本年度公务接待费在经营支出列支</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lang w:eastAsia="zh-CN"/>
        </w:rPr>
        <w:t>持</w:t>
      </w:r>
      <w:r>
        <w:rPr>
          <w:rFonts w:hint="eastAsia" w:ascii="Times New Roman" w:hAnsi="Times New Roman" w:eastAsia="仿宋_GB2312"/>
          <w:sz w:val="32"/>
          <w:szCs w:val="32"/>
          <w:lang w:eastAsia="zh-CN"/>
        </w:rPr>
        <w:t>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本年度公务接待费在经营支出列支</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决</w:t>
      </w:r>
      <w:r>
        <w:rPr>
          <w:rFonts w:hint="eastAsia" w:ascii="Times New Roman" w:hAnsi="Times New Roman" w:eastAsia="仿宋_GB2312"/>
          <w:sz w:val="32"/>
          <w:szCs w:val="32"/>
          <w:highlight w:val="none"/>
        </w:rPr>
        <w:t>算数</w:t>
      </w:r>
      <w:r>
        <w:rPr>
          <w:rFonts w:hint="eastAsia" w:ascii="Times New Roman" w:hAnsi="Times New Roman" w:eastAsia="仿宋_GB2312"/>
          <w:sz w:val="32"/>
          <w:szCs w:val="32"/>
          <w:highlight w:val="none"/>
          <w:lang w:eastAsia="zh-CN"/>
        </w:rPr>
        <w:t>等于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本年度公务用车购置费在经营支出列支</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lang w:eastAsia="zh-CN"/>
        </w:rPr>
        <w:t>持</w:t>
      </w:r>
      <w:r>
        <w:rPr>
          <w:rFonts w:hint="eastAsia" w:ascii="Times New Roman" w:hAnsi="Times New Roman" w:eastAsia="仿宋_GB2312"/>
          <w:sz w:val="32"/>
          <w:szCs w:val="32"/>
          <w:lang w:eastAsia="zh-CN"/>
        </w:rPr>
        <w:t>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本年度</w:t>
      </w:r>
      <w:r>
        <w:rPr>
          <w:rFonts w:hint="eastAsia" w:ascii="Times New Roman" w:hAnsi="Times New Roman" w:eastAsia="仿宋_GB2312"/>
          <w:sz w:val="32"/>
          <w:szCs w:val="32"/>
          <w:highlight w:val="none"/>
          <w:lang w:eastAsia="zh-CN"/>
        </w:rPr>
        <w:t>公务用车购置费</w:t>
      </w:r>
      <w:r>
        <w:rPr>
          <w:rFonts w:hint="eastAsia" w:ascii="Times New Roman" w:hAnsi="Times New Roman" w:eastAsia="仿宋_GB2312"/>
          <w:sz w:val="32"/>
          <w:szCs w:val="32"/>
          <w:lang w:eastAsia="zh-CN"/>
        </w:rPr>
        <w:t>在经营支出列支</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eastAsia="zh-CN"/>
        </w:rPr>
        <w:t>等于</w:t>
      </w:r>
      <w:r>
        <w:rPr>
          <w:rFonts w:hint="eastAsia" w:ascii="Times New Roman" w:hAnsi="Times New Roman" w:eastAsia="仿宋_GB2312"/>
          <w:sz w:val="32"/>
          <w:szCs w:val="32"/>
          <w:highlight w:val="none"/>
        </w:rPr>
        <w:t>预算数的主要原因是</w:t>
      </w:r>
      <w:r>
        <w:rPr>
          <w:rFonts w:hint="eastAsia" w:ascii="Times New Roman" w:hAnsi="Times New Roman" w:eastAsia="仿宋_GB2312"/>
          <w:sz w:val="32"/>
          <w:szCs w:val="32"/>
          <w:highlight w:val="none"/>
          <w:lang w:eastAsia="zh-CN"/>
        </w:rPr>
        <w:t>本年度公务用车运行维护费在经营支出列支</w:t>
      </w:r>
      <w:r>
        <w:rPr>
          <w:rFonts w:hint="eastAsia" w:ascii="Times New Roman" w:hAnsi="Times New Roman" w:eastAsia="仿宋_GB2312"/>
          <w:sz w:val="32"/>
          <w:szCs w:val="32"/>
          <w:highlight w:val="none"/>
        </w:rPr>
        <w:t>，与上年</w:t>
      </w:r>
      <w:r>
        <w:rPr>
          <w:rFonts w:hint="eastAsia" w:ascii="Times New Roman" w:hAnsi="Times New Roman" w:eastAsia="仿宋_GB2312"/>
          <w:sz w:val="32"/>
          <w:szCs w:val="32"/>
          <w:highlight w:val="none"/>
          <w:lang w:eastAsia="zh-CN"/>
        </w:rPr>
        <w:t>持平</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本年度公务用车运行维护费</w:t>
      </w:r>
      <w:r>
        <w:rPr>
          <w:rFonts w:hint="eastAsia" w:ascii="Times New Roman" w:hAnsi="Times New Roman" w:eastAsia="仿宋_GB2312"/>
          <w:sz w:val="32"/>
          <w:szCs w:val="32"/>
          <w:lang w:eastAsia="zh-CN"/>
        </w:rPr>
        <w:t>在经营支出列支</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公务用车购置费及运行维护费支出决算为0万元，其中：公务用车购置费0万元。公务用车运行维护费0万元，本年度公务接待费和公务用车购置费及运行维护费在经营支出列支。截止2022年12月31日，我单位开支财政拨款的公务用车保有量为0辆。</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1"/>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sz w:val="32"/>
          <w:szCs w:val="32"/>
        </w:rPr>
        <w:t xml:space="preserve">    </w:t>
      </w:r>
      <w:r>
        <w:rPr>
          <w:rFonts w:hint="eastAsia" w:ascii="Times New Roman" w:hAnsi="Times New Roman" w:eastAsia="仿宋_GB2312" w:cs="黑体"/>
          <w:color w:val="000000"/>
          <w:kern w:val="0"/>
          <w:sz w:val="32"/>
          <w:szCs w:val="32"/>
          <w:lang w:val="en-US" w:eastAsia="zh-CN" w:bidi="ar-SA"/>
        </w:rPr>
        <w:t>2022年度本单位无政府性基金收入，无政府性基金支出</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九、国有资本经营预算财政拨款</w:t>
      </w:r>
      <w:r>
        <w:rPr>
          <w:rFonts w:hint="eastAsia" w:hAnsi="黑体" w:cs="黑体"/>
          <w:b w:val="0"/>
          <w:bCs/>
          <w:sz w:val="32"/>
          <w:szCs w:val="32"/>
          <w:lang w:eastAsia="zh-CN"/>
        </w:rPr>
        <w:t>收入</w:t>
      </w:r>
      <w:r>
        <w:rPr>
          <w:rFonts w:hint="eastAsia" w:ascii="黑体" w:hAnsi="黑体" w:eastAsia="黑体" w:cs="黑体"/>
          <w:b w:val="0"/>
          <w:bCs/>
          <w:sz w:val="32"/>
          <w:szCs w:val="32"/>
          <w:lang w:eastAsia="zh-CN"/>
        </w:rPr>
        <w:t>支出决算情况说明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2022年度本单位无国有资本经营预算财政拨款收入，无国有资本经营预算财政拨款支出</w:t>
      </w:r>
      <w:bookmarkStart w:id="1" w:name="_GoBack"/>
      <w:bookmarkEnd w:id="1"/>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lang w:eastAsia="zh-CN"/>
        </w:rPr>
        <w:t>十</w:t>
      </w:r>
      <w:r>
        <w:rPr>
          <w:rFonts w:hint="eastAsia" w:ascii="黑体" w:hAnsi="黑体" w:eastAsia="黑体" w:cs="黑体"/>
          <w:b w:val="0"/>
          <w:bCs/>
          <w:sz w:val="32"/>
          <w:szCs w:val="32"/>
        </w:rPr>
        <w:t>、关于机关运行经费支出说明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2022年度本部门无机关运行经费支出</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2022年度本部门无一般性支出</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val="en-US" w:eastAsia="zh-CN"/>
        </w:rPr>
        <w:t xml:space="preserve">一般公务用车 </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台</w:t>
      </w:r>
      <w:r>
        <w:rPr>
          <w:rFonts w:hint="eastAsia" w:ascii="Times New Roman" w:hAnsi="Times New Roman" w:eastAsia="仿宋_GB2312"/>
          <w:sz w:val="32"/>
          <w:szCs w:val="32"/>
        </w:rPr>
        <w:t>（套）；单位价值100万元以上专用设备</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台</w:t>
      </w:r>
      <w:r>
        <w:rPr>
          <w:rFonts w:hint="eastAsia" w:ascii="Times New Roman" w:hAnsi="Times New Roman" w:eastAsia="仿宋_GB2312"/>
          <w:sz w:val="32"/>
          <w:szCs w:val="32"/>
        </w:rPr>
        <w:t>（套）。</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1"/>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见附件</w:t>
      </w:r>
    </w:p>
    <w:p>
      <w:pPr>
        <w:pStyle w:val="11"/>
        <w:jc w:val="center"/>
        <w:rPr>
          <w:sz w:val="72"/>
          <w:szCs w:val="72"/>
        </w:rPr>
      </w:pPr>
    </w:p>
    <w:p>
      <w:pPr>
        <w:pStyle w:val="11"/>
        <w:jc w:val="center"/>
        <w:rPr>
          <w:sz w:val="72"/>
          <w:szCs w:val="72"/>
        </w:rPr>
      </w:pPr>
    </w:p>
    <w:p>
      <w:pPr>
        <w:pStyle w:val="11"/>
        <w:jc w:val="center"/>
        <w:rPr>
          <w:sz w:val="72"/>
          <w:szCs w:val="72"/>
        </w:rPr>
      </w:pPr>
    </w:p>
    <w:p>
      <w:pPr>
        <w:pStyle w:val="11"/>
        <w:jc w:val="both"/>
        <w:rPr>
          <w:rFonts w:hint="eastAsia" w:ascii="方正小标宋_GBK" w:hAnsi="方正小标宋_GBK" w:eastAsia="方正小标宋_GBK" w:cs="方正小标宋_GBK"/>
          <w:sz w:val="72"/>
          <w:szCs w:val="72"/>
        </w:rPr>
      </w:pPr>
    </w:p>
    <w:p>
      <w:pPr>
        <w:pStyle w:val="11"/>
        <w:jc w:val="both"/>
        <w:rPr>
          <w:rFonts w:hint="eastAsia" w:ascii="方正小标宋_GBK" w:hAnsi="方正小标宋_GBK" w:eastAsia="方正小标宋_GBK" w:cs="方正小标宋_GBK"/>
          <w:sz w:val="72"/>
          <w:szCs w:val="72"/>
        </w:rPr>
      </w:pPr>
    </w:p>
    <w:p>
      <w:pPr>
        <w:pStyle w:val="11"/>
        <w:jc w:val="both"/>
        <w:rPr>
          <w:rFonts w:hint="eastAsia" w:ascii="方正小标宋_GBK" w:hAnsi="方正小标宋_GBK" w:eastAsia="方正小标宋_GBK" w:cs="方正小标宋_GBK"/>
          <w:sz w:val="72"/>
          <w:szCs w:val="72"/>
        </w:rPr>
      </w:pPr>
    </w:p>
    <w:p>
      <w:pPr>
        <w:pStyle w:val="11"/>
        <w:jc w:val="both"/>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p>
    <w:p>
      <w:pPr>
        <w:pStyle w:val="11"/>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6"/>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一、机关运行经费：</w:t>
      </w:r>
    </w:p>
    <w:p>
      <w:pPr>
        <w:pStyle w:val="6"/>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pStyle w:val="6"/>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二、“三公”经费：</w:t>
      </w:r>
    </w:p>
    <w:p>
      <w:pPr>
        <w:pStyle w:val="6"/>
        <w:widowControl/>
        <w:spacing w:line="510" w:lineRule="atLeast"/>
        <w:ind w:firstLine="420"/>
        <w:jc w:val="both"/>
        <w:rPr>
          <w:rFonts w:hint="eastAsia" w:cs="黑体" w:asciiTheme="minorEastAsia" w:hAnsiTheme="minorEastAsia"/>
          <w:color w:val="000000"/>
          <w:kern w:val="0"/>
          <w:sz w:val="32"/>
          <w:szCs w:val="32"/>
        </w:rPr>
      </w:pPr>
      <w:r>
        <w:rPr>
          <w:rFonts w:hint="eastAsia" w:cs="黑体" w:asciiTheme="minorEastAsia" w:hAnsiTheme="minorEastAsia"/>
          <w:color w:val="000000"/>
          <w:kern w:val="0"/>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pStyle w:val="11"/>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527C02"/>
    <w:multiLevelType w:val="singleLevel"/>
    <w:tmpl w:val="5C527C02"/>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2YTQwN2ViZGQzNmYzODE4MDY5NGQ3ODdlNjA3MGM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EB2EE9"/>
    <w:rsid w:val="022C7410"/>
    <w:rsid w:val="047D6CD7"/>
    <w:rsid w:val="07BC1C31"/>
    <w:rsid w:val="080F222E"/>
    <w:rsid w:val="138D30AA"/>
    <w:rsid w:val="19031590"/>
    <w:rsid w:val="190A6160"/>
    <w:rsid w:val="1DA53386"/>
    <w:rsid w:val="2B0C7B9C"/>
    <w:rsid w:val="319C4297"/>
    <w:rsid w:val="34D81ECE"/>
    <w:rsid w:val="35140ED9"/>
    <w:rsid w:val="41A64AE0"/>
    <w:rsid w:val="429834F3"/>
    <w:rsid w:val="488475F4"/>
    <w:rsid w:val="4CAB7D08"/>
    <w:rsid w:val="55E0332C"/>
    <w:rsid w:val="569D0B8E"/>
    <w:rsid w:val="5777D4F5"/>
    <w:rsid w:val="5A026F22"/>
    <w:rsid w:val="5B4B66A7"/>
    <w:rsid w:val="5FC6BB1E"/>
    <w:rsid w:val="5FF720F1"/>
    <w:rsid w:val="651A39E8"/>
    <w:rsid w:val="670C7632"/>
    <w:rsid w:val="67982C74"/>
    <w:rsid w:val="6929076A"/>
    <w:rsid w:val="737D59BA"/>
    <w:rsid w:val="747A3AAC"/>
    <w:rsid w:val="77C37683"/>
    <w:rsid w:val="79FF515B"/>
    <w:rsid w:val="7B971768"/>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ind w:firstLine="640"/>
    </w:p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2</TotalTime>
  <ScaleCrop>false</ScaleCrop>
  <LinksUpToDate>false</LinksUpToDate>
  <CharactersWithSpaces>9008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怀化日报社</cp:lastModifiedBy>
  <cp:lastPrinted>2023-08-15T09:28:00Z</cp:lastPrinted>
  <dcterms:modified xsi:type="dcterms:W3CDTF">2023-09-26T06:59:23Z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7DD529CE88DE4B32B2E14BEC2D69B72D_12</vt:lpwstr>
  </property>
</Properties>
</file>