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FBDE1">
      <w:pPr>
        <w:pStyle w:val="10"/>
        <w:jc w:val="center"/>
        <w:rPr>
          <w:sz w:val="56"/>
          <w:szCs w:val="56"/>
        </w:rPr>
      </w:pPr>
    </w:p>
    <w:p w14:paraId="14EB5F21">
      <w:pPr>
        <w:pStyle w:val="10"/>
        <w:jc w:val="center"/>
        <w:rPr>
          <w:sz w:val="56"/>
          <w:szCs w:val="56"/>
        </w:rPr>
      </w:pPr>
    </w:p>
    <w:p w14:paraId="3D814942">
      <w:pPr>
        <w:pStyle w:val="10"/>
        <w:jc w:val="center"/>
        <w:rPr>
          <w:sz w:val="84"/>
          <w:szCs w:val="84"/>
        </w:rPr>
      </w:pPr>
    </w:p>
    <w:p w14:paraId="3D2292F7">
      <w:pPr>
        <w:pStyle w:val="10"/>
        <w:jc w:val="center"/>
        <w:rPr>
          <w:sz w:val="84"/>
          <w:szCs w:val="84"/>
        </w:rPr>
      </w:pPr>
    </w:p>
    <w:p w14:paraId="68B6C6D3">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605BBFE">
      <w:pPr>
        <w:pStyle w:val="10"/>
        <w:jc w:val="center"/>
        <w:rPr>
          <w:rFonts w:hint="eastAsia"/>
          <w:sz w:val="84"/>
          <w:szCs w:val="84"/>
          <w:lang w:eastAsia="zh-CN"/>
        </w:rPr>
      </w:pPr>
      <w:r>
        <w:rPr>
          <w:rFonts w:hint="eastAsia"/>
          <w:sz w:val="84"/>
          <w:szCs w:val="84"/>
          <w:lang w:eastAsia="zh-CN"/>
        </w:rPr>
        <w:t>怀化日报社</w:t>
      </w:r>
      <w:r>
        <w:rPr>
          <w:rFonts w:hint="eastAsia"/>
          <w:sz w:val="84"/>
          <w:szCs w:val="84"/>
        </w:rPr>
        <w:t>怀化</w:t>
      </w:r>
      <w:r>
        <w:rPr>
          <w:rFonts w:hint="eastAsia"/>
          <w:sz w:val="84"/>
          <w:szCs w:val="84"/>
          <w:lang w:eastAsia="zh-CN"/>
        </w:rPr>
        <w:t>新闻网</w:t>
      </w:r>
    </w:p>
    <w:p w14:paraId="7047F84B">
      <w:pPr>
        <w:pStyle w:val="10"/>
        <w:jc w:val="center"/>
        <w:rPr>
          <w:rFonts w:hint="eastAsia" w:ascii="方正小标宋_GBK" w:hAnsi="方正小标宋_GBK" w:eastAsia="方正小标宋_GBK" w:cs="方正小标宋_GBK"/>
          <w:sz w:val="84"/>
          <w:szCs w:val="84"/>
        </w:rPr>
      </w:pPr>
      <w:r>
        <w:rPr>
          <w:rFonts w:hint="eastAsia"/>
          <w:sz w:val="84"/>
          <w:szCs w:val="84"/>
          <w:lang w:eastAsia="zh-CN"/>
        </w:rPr>
        <w:t>部门</w:t>
      </w:r>
      <w:r>
        <w:rPr>
          <w:rFonts w:hint="eastAsia" w:ascii="方正小标宋_GBK" w:hAnsi="方正小标宋_GBK" w:eastAsia="方正小标宋_GBK" w:cs="方正小标宋_GBK"/>
          <w:sz w:val="84"/>
          <w:szCs w:val="84"/>
        </w:rPr>
        <w:t>决算</w:t>
      </w:r>
    </w:p>
    <w:p w14:paraId="78299C46">
      <w:pPr>
        <w:pStyle w:val="10"/>
        <w:jc w:val="center"/>
        <w:rPr>
          <w:rFonts w:hint="eastAsia" w:ascii="方正小标宋_GBK" w:hAnsi="方正小标宋_GBK" w:eastAsia="方正小标宋_GBK" w:cs="方正小标宋_GBK"/>
          <w:sz w:val="56"/>
          <w:szCs w:val="56"/>
        </w:rPr>
      </w:pPr>
    </w:p>
    <w:p w14:paraId="7A7BD0FB">
      <w:pPr>
        <w:pStyle w:val="10"/>
        <w:jc w:val="center"/>
        <w:rPr>
          <w:sz w:val="56"/>
          <w:szCs w:val="56"/>
        </w:rPr>
      </w:pPr>
    </w:p>
    <w:p w14:paraId="4F96EF7D">
      <w:pPr>
        <w:pStyle w:val="10"/>
        <w:jc w:val="center"/>
        <w:rPr>
          <w:sz w:val="56"/>
          <w:szCs w:val="56"/>
        </w:rPr>
      </w:pPr>
    </w:p>
    <w:p w14:paraId="5DEDEF1E">
      <w:pPr>
        <w:pStyle w:val="10"/>
        <w:jc w:val="center"/>
        <w:rPr>
          <w:sz w:val="56"/>
          <w:szCs w:val="56"/>
        </w:rPr>
      </w:pPr>
    </w:p>
    <w:p w14:paraId="7E9BC9BC">
      <w:pPr>
        <w:pStyle w:val="10"/>
        <w:jc w:val="center"/>
        <w:rPr>
          <w:sz w:val="32"/>
          <w:szCs w:val="32"/>
        </w:rPr>
      </w:pPr>
    </w:p>
    <w:p w14:paraId="40089E8B">
      <w:pPr>
        <w:pStyle w:val="10"/>
        <w:jc w:val="center"/>
        <w:rPr>
          <w:sz w:val="32"/>
          <w:szCs w:val="32"/>
        </w:rPr>
      </w:pPr>
    </w:p>
    <w:p w14:paraId="65F04198">
      <w:pPr>
        <w:pStyle w:val="10"/>
        <w:jc w:val="center"/>
        <w:rPr>
          <w:sz w:val="32"/>
          <w:szCs w:val="32"/>
        </w:rPr>
      </w:pPr>
    </w:p>
    <w:p w14:paraId="712071F1">
      <w:pPr>
        <w:pStyle w:val="10"/>
        <w:spacing w:line="540" w:lineRule="exact"/>
        <w:jc w:val="both"/>
        <w:rPr>
          <w:sz w:val="56"/>
          <w:szCs w:val="56"/>
        </w:rPr>
      </w:pPr>
    </w:p>
    <w:p w14:paraId="75962448">
      <w:pPr>
        <w:pStyle w:val="10"/>
        <w:spacing w:line="500" w:lineRule="exact"/>
        <w:jc w:val="both"/>
        <w:rPr>
          <w:b/>
          <w:sz w:val="36"/>
          <w:szCs w:val="28"/>
        </w:rPr>
      </w:pPr>
    </w:p>
    <w:p w14:paraId="29DE7C88">
      <w:pPr>
        <w:pStyle w:val="10"/>
        <w:spacing w:line="500" w:lineRule="exact"/>
        <w:jc w:val="center"/>
        <w:rPr>
          <w:b/>
          <w:sz w:val="36"/>
          <w:szCs w:val="28"/>
        </w:rPr>
      </w:pPr>
      <w:r>
        <w:rPr>
          <w:rFonts w:hint="eastAsia"/>
          <w:b/>
          <w:sz w:val="36"/>
          <w:szCs w:val="28"/>
        </w:rPr>
        <w:t>目录</w:t>
      </w:r>
    </w:p>
    <w:p w14:paraId="509F7211">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怀化日报社怀化新闻网</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6061DF1A">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E8063B2">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63BA488">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BD0F2CC">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E230CCA">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7EDB7EF">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3F8567E">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D17854B">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BD2F5C4">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D20BC53">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3151733">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AED74F7">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F7B3C0F">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5ACD3B6">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196AFDC">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64A3B2F">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AEA0DF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A62CB3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DEA687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E55F4B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4B3771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196E81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九、国有资本经营预算财政拨款收入支出决算情况说明</w:t>
      </w:r>
    </w:p>
    <w:p w14:paraId="60EFCAB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15BDE67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0F165317">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02A796BC">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643240EE">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14:paraId="58B45543">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FB08757">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FC46CFB">
      <w:pPr>
        <w:pStyle w:val="10"/>
        <w:spacing w:line="500" w:lineRule="exact"/>
        <w:rPr>
          <w:rFonts w:hint="eastAsia" w:ascii="黑体" w:hAnsi="黑体" w:eastAsia="黑体" w:cs="黑体"/>
          <w:b w:val="0"/>
          <w:bCs/>
          <w:sz w:val="28"/>
          <w:szCs w:val="28"/>
        </w:rPr>
      </w:pPr>
    </w:p>
    <w:p w14:paraId="6EEC1351">
      <w:pPr>
        <w:jc w:val="center"/>
        <w:rPr>
          <w:sz w:val="72"/>
          <w:szCs w:val="72"/>
        </w:rPr>
      </w:pPr>
    </w:p>
    <w:p w14:paraId="11894268">
      <w:pPr>
        <w:jc w:val="center"/>
        <w:rPr>
          <w:sz w:val="72"/>
          <w:szCs w:val="72"/>
        </w:rPr>
      </w:pPr>
    </w:p>
    <w:p w14:paraId="28DAB4C3">
      <w:pPr>
        <w:jc w:val="center"/>
        <w:rPr>
          <w:sz w:val="72"/>
          <w:szCs w:val="72"/>
        </w:rPr>
      </w:pPr>
    </w:p>
    <w:p w14:paraId="4F554EE7">
      <w:pPr>
        <w:jc w:val="center"/>
        <w:rPr>
          <w:sz w:val="72"/>
          <w:szCs w:val="72"/>
        </w:rPr>
      </w:pPr>
    </w:p>
    <w:p w14:paraId="38539CC9">
      <w:pPr>
        <w:rPr>
          <w:rFonts w:hint="eastAsia" w:ascii="方正小标宋_GBK" w:hAnsi="方正小标宋_GBK" w:eastAsia="方正小标宋_GBK" w:cs="方正小标宋_GBK"/>
          <w:sz w:val="72"/>
          <w:szCs w:val="72"/>
        </w:rPr>
      </w:pPr>
    </w:p>
    <w:p w14:paraId="76C021F8">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D934AD7">
      <w:pPr>
        <w:pStyle w:val="10"/>
        <w:jc w:val="center"/>
        <w:rPr>
          <w:rFonts w:hint="eastAsia" w:ascii="方正小标宋_GBK" w:hAnsi="方正小标宋_GBK" w:eastAsia="方正小标宋_GBK" w:cs="方正小标宋_GBK"/>
          <w:sz w:val="84"/>
          <w:szCs w:val="84"/>
        </w:rPr>
      </w:pPr>
    </w:p>
    <w:p w14:paraId="494780ED">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怀化日报社怀化新闻网</w:t>
      </w:r>
      <w:r>
        <w:rPr>
          <w:rFonts w:hint="eastAsia" w:ascii="方正小标宋_GBK" w:hAnsi="方正小标宋_GBK" w:eastAsia="方正小标宋_GBK" w:cs="方正小标宋_GBK"/>
          <w:sz w:val="84"/>
          <w:szCs w:val="84"/>
        </w:rPr>
        <w:t>概况</w:t>
      </w:r>
    </w:p>
    <w:p w14:paraId="2876E93D">
      <w:pPr>
        <w:jc w:val="center"/>
        <w:rPr>
          <w:rFonts w:hint="eastAsia" w:ascii="方正小标宋_GBK" w:hAnsi="方正小标宋_GBK" w:eastAsia="方正小标宋_GBK" w:cs="方正小标宋_GBK"/>
          <w:sz w:val="72"/>
          <w:szCs w:val="72"/>
        </w:rPr>
      </w:pPr>
    </w:p>
    <w:p w14:paraId="49C68409">
      <w:pPr>
        <w:jc w:val="center"/>
        <w:rPr>
          <w:rFonts w:hint="eastAsia" w:ascii="方正小标宋_GBK" w:hAnsi="方正小标宋_GBK" w:eastAsia="方正小标宋_GBK" w:cs="方正小标宋_GBK"/>
          <w:sz w:val="72"/>
          <w:szCs w:val="72"/>
        </w:rPr>
      </w:pPr>
    </w:p>
    <w:p w14:paraId="02E66A7A">
      <w:pPr>
        <w:jc w:val="center"/>
        <w:rPr>
          <w:rFonts w:hint="eastAsia" w:ascii="方正小标宋_GBK" w:hAnsi="方正小标宋_GBK" w:eastAsia="方正小标宋_GBK" w:cs="方正小标宋_GBK"/>
          <w:sz w:val="72"/>
          <w:szCs w:val="72"/>
        </w:rPr>
      </w:pPr>
    </w:p>
    <w:p w14:paraId="14295CD5">
      <w:pPr>
        <w:jc w:val="center"/>
        <w:rPr>
          <w:rFonts w:hint="eastAsia" w:ascii="方正小标宋_GBK" w:hAnsi="方正小标宋_GBK" w:eastAsia="方正小标宋_GBK" w:cs="方正小标宋_GBK"/>
          <w:sz w:val="72"/>
          <w:szCs w:val="72"/>
        </w:rPr>
      </w:pPr>
    </w:p>
    <w:p w14:paraId="3B245D65">
      <w:pPr>
        <w:jc w:val="both"/>
        <w:rPr>
          <w:sz w:val="72"/>
          <w:szCs w:val="72"/>
        </w:rPr>
      </w:pPr>
    </w:p>
    <w:p w14:paraId="023920A3">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6B2612E">
      <w:pPr>
        <w:pStyle w:val="5"/>
        <w:widowControl/>
        <w:numPr>
          <w:ilvl w:val="0"/>
          <w:numId w:val="2"/>
        </w:numPr>
        <w:spacing w:line="510" w:lineRule="atLeast"/>
        <w:ind w:firstLine="640" w:firstLineChars="20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“怀化新闻网”是怀化日报社具体承办的互联网新闻综合网站，是</w:t>
      </w:r>
      <w:bookmarkStart w:id="0" w:name="OLE_LINK1"/>
      <w:r>
        <w:rPr>
          <w:rFonts w:hint="eastAsia" w:ascii="Times New Roman" w:hAnsi="Times New Roman" w:eastAsia="仿宋_GB2312" w:cs="仿宋_GB2312"/>
          <w:bCs/>
          <w:kern w:val="0"/>
          <w:sz w:val="32"/>
          <w:szCs w:val="32"/>
          <w:lang w:val="en-US" w:eastAsia="zh-CN" w:bidi="ar-SA"/>
        </w:rPr>
        <w:t>一个集文字、图片</w:t>
      </w:r>
      <w:bookmarkStart w:id="1" w:name="_Hlk73788852"/>
      <w:r>
        <w:rPr>
          <w:rFonts w:hint="eastAsia" w:ascii="Times New Roman" w:hAnsi="Times New Roman" w:eastAsia="仿宋_GB2312" w:cs="仿宋_GB2312"/>
          <w:bCs/>
          <w:kern w:val="0"/>
          <w:sz w:val="32"/>
          <w:szCs w:val="32"/>
          <w:lang w:val="en-US" w:eastAsia="zh-CN" w:bidi="ar-SA"/>
        </w:rPr>
        <w:t>、</w:t>
      </w:r>
      <w:bookmarkEnd w:id="1"/>
      <w:r>
        <w:rPr>
          <w:rFonts w:hint="eastAsia" w:ascii="Times New Roman" w:hAnsi="Times New Roman" w:eastAsia="仿宋_GB2312" w:cs="仿宋_GB2312"/>
          <w:bCs/>
          <w:kern w:val="0"/>
          <w:sz w:val="32"/>
          <w:szCs w:val="32"/>
          <w:lang w:val="en-US" w:eastAsia="zh-CN" w:bidi="ar-SA"/>
        </w:rPr>
        <w:t>视频、报纸为一体的全媒体新闻发布平台，</w:t>
      </w:r>
      <w:bookmarkEnd w:id="0"/>
      <w:r>
        <w:rPr>
          <w:rFonts w:hint="eastAsia" w:ascii="Times New Roman" w:hAnsi="Times New Roman" w:eastAsia="仿宋_GB2312" w:cs="仿宋_GB2312"/>
          <w:bCs/>
          <w:kern w:val="0"/>
          <w:sz w:val="32"/>
          <w:szCs w:val="32"/>
          <w:lang w:val="en-US" w:eastAsia="zh-CN" w:bidi="ar-SA"/>
        </w:rPr>
        <w:t>也是怀化具备通过互联网发布权威新闻信息资质的平台。</w:t>
      </w:r>
    </w:p>
    <w:p w14:paraId="2D021D81">
      <w:pPr>
        <w:pStyle w:val="5"/>
        <w:widowControl/>
        <w:numPr>
          <w:ilvl w:val="0"/>
          <w:numId w:val="2"/>
        </w:numPr>
        <w:spacing w:line="510" w:lineRule="atLeast"/>
        <w:ind w:firstLine="640" w:firstLineChars="20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作为怀化的党媒喉舌，是怀化市进一步深化与新华社湖南分社合作、提高舆论引导能力的重要载体，也是怀化市各级党委政府对外宣传、與论引导、便民服务等工作的载体。</w:t>
      </w:r>
    </w:p>
    <w:p w14:paraId="1C3266C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5B43500">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怀化日报社怀化新闻网作为二级部门预算单位，内设机构为怀化新闻网编辑部。</w:t>
      </w:r>
    </w:p>
    <w:p w14:paraId="17B653D8">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怀化日报社怀化新闻网</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w:t>
      </w:r>
      <w:r>
        <w:rPr>
          <w:rFonts w:hint="eastAsia" w:ascii="Times New Roman" w:hAnsi="Times New Roman" w:eastAsia="仿宋_GB2312" w:cs="仿宋_GB2312"/>
          <w:bCs/>
          <w:kern w:val="0"/>
          <w:sz w:val="32"/>
          <w:szCs w:val="32"/>
          <w:lang w:eastAsia="zh-CN"/>
        </w:rPr>
        <w:t>度</w:t>
      </w:r>
      <w:r>
        <w:rPr>
          <w:rFonts w:hint="eastAsia" w:ascii="Times New Roman" w:hAnsi="Times New Roman" w:eastAsia="仿宋_GB2312" w:cs="仿宋_GB2312"/>
          <w:bCs/>
          <w:kern w:val="0"/>
          <w:sz w:val="32"/>
          <w:szCs w:val="32"/>
        </w:rPr>
        <w:t>部门决算公开单位构成包括：</w:t>
      </w:r>
      <w:r>
        <w:rPr>
          <w:rFonts w:hint="eastAsia" w:ascii="Times New Roman" w:hAnsi="Times New Roman" w:eastAsia="仿宋_GB2312" w:cs="仿宋_GB2312"/>
          <w:bCs/>
          <w:kern w:val="0"/>
          <w:sz w:val="32"/>
          <w:szCs w:val="32"/>
          <w:lang w:eastAsia="zh-CN"/>
        </w:rPr>
        <w:t>怀化日报社怀化新闻网。</w:t>
      </w:r>
    </w:p>
    <w:p w14:paraId="3F56CF70">
      <w:pPr>
        <w:widowControl/>
        <w:spacing w:line="600" w:lineRule="exact"/>
        <w:rPr>
          <w:rFonts w:hint="eastAsia" w:ascii="Times New Roman" w:hAnsi="Times New Roman" w:eastAsia="仿宋_GB2312" w:cs="仿宋_GB2312"/>
          <w:bCs/>
          <w:kern w:val="0"/>
          <w:sz w:val="32"/>
          <w:szCs w:val="32"/>
        </w:rPr>
      </w:pPr>
    </w:p>
    <w:p w14:paraId="0842845C">
      <w:pPr>
        <w:jc w:val="center"/>
        <w:rPr>
          <w:rFonts w:ascii="黑体" w:hAnsi="黑体" w:eastAsia="黑体"/>
          <w:sz w:val="28"/>
          <w:szCs w:val="28"/>
        </w:rPr>
      </w:pPr>
    </w:p>
    <w:p w14:paraId="4BA4EBA1">
      <w:pPr>
        <w:jc w:val="center"/>
        <w:rPr>
          <w:rFonts w:ascii="黑体" w:hAnsi="黑体" w:eastAsia="黑体"/>
          <w:sz w:val="28"/>
          <w:szCs w:val="28"/>
        </w:rPr>
      </w:pPr>
    </w:p>
    <w:p w14:paraId="4E96D11E">
      <w:pPr>
        <w:jc w:val="center"/>
        <w:rPr>
          <w:rFonts w:ascii="黑体" w:hAnsi="黑体" w:eastAsia="黑体"/>
          <w:sz w:val="28"/>
          <w:szCs w:val="28"/>
        </w:rPr>
      </w:pPr>
    </w:p>
    <w:p w14:paraId="1D1FA165">
      <w:pPr>
        <w:jc w:val="center"/>
        <w:rPr>
          <w:rFonts w:ascii="黑体" w:hAnsi="黑体" w:eastAsia="黑体"/>
          <w:sz w:val="28"/>
          <w:szCs w:val="28"/>
        </w:rPr>
      </w:pPr>
    </w:p>
    <w:p w14:paraId="2AAC30D0">
      <w:pPr>
        <w:jc w:val="center"/>
        <w:rPr>
          <w:rFonts w:ascii="黑体" w:hAnsi="黑体" w:eastAsia="黑体"/>
          <w:sz w:val="28"/>
          <w:szCs w:val="28"/>
        </w:rPr>
      </w:pPr>
    </w:p>
    <w:p w14:paraId="200C4380">
      <w:pPr>
        <w:jc w:val="center"/>
        <w:rPr>
          <w:rFonts w:ascii="黑体" w:hAnsi="黑体" w:eastAsia="黑体"/>
          <w:sz w:val="28"/>
          <w:szCs w:val="28"/>
        </w:rPr>
      </w:pPr>
    </w:p>
    <w:p w14:paraId="7BCCD522">
      <w:pPr>
        <w:jc w:val="center"/>
        <w:rPr>
          <w:rFonts w:ascii="黑体" w:hAnsi="黑体" w:eastAsia="黑体"/>
          <w:sz w:val="28"/>
          <w:szCs w:val="28"/>
        </w:rPr>
      </w:pPr>
    </w:p>
    <w:p w14:paraId="520A1E9E">
      <w:pPr>
        <w:jc w:val="center"/>
        <w:rPr>
          <w:rFonts w:ascii="黑体" w:hAnsi="黑体" w:eastAsia="黑体"/>
          <w:sz w:val="28"/>
          <w:szCs w:val="28"/>
        </w:rPr>
      </w:pPr>
    </w:p>
    <w:p w14:paraId="1F59840A">
      <w:pPr>
        <w:jc w:val="center"/>
        <w:rPr>
          <w:rFonts w:hint="eastAsia" w:ascii="黑体" w:hAnsi="黑体" w:eastAsia="黑体"/>
          <w:sz w:val="28"/>
          <w:szCs w:val="28"/>
          <w:lang w:eastAsia="zh-CN"/>
        </w:rPr>
      </w:pPr>
    </w:p>
    <w:p w14:paraId="05820CD6">
      <w:pPr>
        <w:jc w:val="center"/>
        <w:rPr>
          <w:rFonts w:hint="eastAsia" w:ascii="黑体" w:hAnsi="黑体" w:eastAsia="黑体"/>
          <w:sz w:val="28"/>
          <w:szCs w:val="28"/>
          <w:lang w:eastAsia="zh-CN"/>
        </w:rPr>
      </w:pPr>
    </w:p>
    <w:p w14:paraId="7328B44C">
      <w:pPr>
        <w:jc w:val="both"/>
        <w:rPr>
          <w:sz w:val="72"/>
          <w:szCs w:val="72"/>
        </w:rPr>
      </w:pPr>
    </w:p>
    <w:p w14:paraId="1E216A31">
      <w:pPr>
        <w:jc w:val="center"/>
        <w:rPr>
          <w:sz w:val="72"/>
          <w:szCs w:val="72"/>
        </w:rPr>
      </w:pPr>
    </w:p>
    <w:p w14:paraId="269B6964">
      <w:pPr>
        <w:pStyle w:val="10"/>
        <w:jc w:val="center"/>
        <w:rPr>
          <w:rFonts w:hint="eastAsia" w:ascii="方正小标宋_GBK" w:hAnsi="方正小标宋_GBK" w:eastAsia="方正小标宋_GBK" w:cs="方正小标宋_GBK"/>
          <w:sz w:val="84"/>
          <w:szCs w:val="84"/>
        </w:rPr>
      </w:pPr>
    </w:p>
    <w:p w14:paraId="4C2B636D">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2F346B1">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C4F4847">
      <w:pPr>
        <w:jc w:val="center"/>
        <w:rPr>
          <w:rFonts w:ascii="宋体" w:eastAsia="宋体" w:cs="宋体"/>
          <w:kern w:val="0"/>
          <w:sz w:val="24"/>
          <w:szCs w:val="24"/>
        </w:rPr>
      </w:pPr>
      <w:r>
        <w:rPr>
          <w:rFonts w:hint="eastAsia"/>
          <w:sz w:val="72"/>
          <w:szCs w:val="72"/>
          <w:lang w:eastAsia="zh-CN"/>
        </w:rPr>
        <w:t>见附件</w:t>
      </w:r>
      <w:bookmarkStart w:id="2" w:name="RANGE!A1:I22"/>
      <w:bookmarkEnd w:id="2"/>
    </w:p>
    <w:p w14:paraId="4C60E9EE">
      <w:pPr>
        <w:jc w:val="center"/>
        <w:rPr>
          <w:sz w:val="72"/>
          <w:szCs w:val="72"/>
        </w:rPr>
      </w:pPr>
    </w:p>
    <w:p w14:paraId="76809C39">
      <w:pPr>
        <w:jc w:val="center"/>
        <w:rPr>
          <w:sz w:val="72"/>
          <w:szCs w:val="72"/>
        </w:rPr>
      </w:pPr>
    </w:p>
    <w:p w14:paraId="1F81FFAA">
      <w:pPr>
        <w:jc w:val="center"/>
        <w:rPr>
          <w:sz w:val="72"/>
          <w:szCs w:val="72"/>
        </w:rPr>
      </w:pPr>
    </w:p>
    <w:p w14:paraId="1CB9EDA0">
      <w:pPr>
        <w:jc w:val="center"/>
        <w:rPr>
          <w:sz w:val="72"/>
          <w:szCs w:val="72"/>
        </w:rPr>
      </w:pPr>
    </w:p>
    <w:p w14:paraId="72B84434">
      <w:pPr>
        <w:jc w:val="both"/>
        <w:rPr>
          <w:sz w:val="72"/>
          <w:szCs w:val="7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40A96D69">
      <w:pPr>
        <w:pStyle w:val="10"/>
        <w:rPr>
          <w:sz w:val="72"/>
          <w:szCs w:val="72"/>
        </w:rPr>
      </w:pPr>
    </w:p>
    <w:p w14:paraId="3419DAEF">
      <w:pPr>
        <w:pStyle w:val="10"/>
        <w:rPr>
          <w:sz w:val="72"/>
          <w:szCs w:val="72"/>
        </w:rPr>
      </w:pPr>
    </w:p>
    <w:p w14:paraId="37F8C120">
      <w:pPr>
        <w:pStyle w:val="10"/>
        <w:rPr>
          <w:sz w:val="72"/>
          <w:szCs w:val="72"/>
        </w:rPr>
      </w:pPr>
    </w:p>
    <w:p w14:paraId="082C6FA8">
      <w:pPr>
        <w:pStyle w:val="10"/>
        <w:rPr>
          <w:sz w:val="72"/>
          <w:szCs w:val="72"/>
        </w:rPr>
      </w:pPr>
    </w:p>
    <w:p w14:paraId="101F6A3F">
      <w:pPr>
        <w:pStyle w:val="10"/>
        <w:jc w:val="both"/>
        <w:rPr>
          <w:sz w:val="72"/>
          <w:szCs w:val="72"/>
        </w:rPr>
      </w:pPr>
    </w:p>
    <w:p w14:paraId="1205E8C9">
      <w:pPr>
        <w:pStyle w:val="10"/>
        <w:jc w:val="both"/>
        <w:rPr>
          <w:rFonts w:hint="eastAsia" w:ascii="方正小标宋_GBK" w:hAnsi="方正小标宋_GBK" w:eastAsia="方正小标宋_GBK" w:cs="方正小标宋_GBK"/>
          <w:sz w:val="72"/>
          <w:szCs w:val="72"/>
        </w:rPr>
      </w:pPr>
    </w:p>
    <w:p w14:paraId="2F1672CC">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D10A2CC">
      <w:pPr>
        <w:pStyle w:val="10"/>
        <w:jc w:val="center"/>
        <w:rPr>
          <w:rFonts w:hint="eastAsia" w:ascii="方正小标宋_GBK" w:hAnsi="方正小标宋_GBK" w:eastAsia="方正小标宋_GBK" w:cs="方正小标宋_GBK"/>
          <w:sz w:val="70"/>
          <w:szCs w:val="70"/>
        </w:rPr>
      </w:pPr>
    </w:p>
    <w:p w14:paraId="5D107F5C">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240A5E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31A955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738E8D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w:t>
      </w:r>
      <w:r>
        <w:rPr>
          <w:rFonts w:hint="eastAsia" w:ascii="Times New Roman" w:hAnsi="Times New Roman" w:eastAsia="仿宋_GB2312"/>
          <w:sz w:val="32"/>
          <w:szCs w:val="32"/>
          <w:lang w:eastAsia="zh-CN"/>
        </w:rPr>
        <w:t>入</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125.71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86.27%</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2023年事业收入并入怀化日报社（本级）。</w:t>
      </w:r>
    </w:p>
    <w:p w14:paraId="6151A4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125.71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86.27%</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2023年基本支出并入怀化日报社（本级）。</w:t>
      </w:r>
    </w:p>
    <w:p w14:paraId="2B90113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079018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596D73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729996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5B45F4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3CCB32C">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w:t>
      </w:r>
      <w:r>
        <w:rPr>
          <w:rFonts w:hint="eastAsia" w:ascii="Times New Roman" w:hAnsi="Times New Roman" w:eastAsia="仿宋_GB2312"/>
          <w:sz w:val="32"/>
          <w:szCs w:val="32"/>
          <w:highlight w:val="none"/>
          <w:lang w:eastAsia="zh-CN"/>
        </w:rPr>
        <w:t>入</w:t>
      </w:r>
      <w:r>
        <w:rPr>
          <w:rFonts w:hint="eastAsia" w:ascii="Times New Roman" w:hAnsi="Times New Roman" w:eastAsia="仿宋_GB2312"/>
          <w:sz w:val="32"/>
          <w:szCs w:val="32"/>
          <w:highlight w:val="none"/>
        </w:rPr>
        <w:t>总计</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4万元。主要是因为财政预算拨款减少</w:t>
      </w:r>
      <w:r>
        <w:rPr>
          <w:rFonts w:hint="eastAsia" w:ascii="Times New Roman" w:hAnsi="Times New Roman" w:eastAsia="仿宋_GB2312"/>
          <w:sz w:val="32"/>
          <w:szCs w:val="32"/>
          <w:highlight w:val="none"/>
          <w:lang w:eastAsia="zh-CN"/>
        </w:rPr>
        <w:t>。</w:t>
      </w:r>
    </w:p>
    <w:p w14:paraId="612D2C53">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20</w:t>
      </w:r>
      <w:r>
        <w:rPr>
          <w:rFonts w:hint="eastAsia" w:ascii="Times New Roman" w:hAnsi="Times New Roman" w:eastAsia="仿宋_GB2312"/>
          <w:sz w:val="32"/>
          <w:szCs w:val="32"/>
          <w:highlight w:val="none"/>
          <w:lang w:val="en-US" w:eastAsia="zh-CN"/>
        </w:rPr>
        <w:t>23</w:t>
      </w:r>
      <w:r>
        <w:rPr>
          <w:rFonts w:hint="eastAsia" w:ascii="Times New Roman" w:hAnsi="Times New Roman" w:eastAsia="仿宋_GB2312"/>
          <w:sz w:val="32"/>
          <w:szCs w:val="32"/>
          <w:highlight w:val="none"/>
        </w:rPr>
        <w:t>年度财政拨款</w:t>
      </w:r>
      <w:r>
        <w:rPr>
          <w:rFonts w:hint="eastAsia" w:ascii="Times New Roman" w:hAnsi="Times New Roman" w:eastAsia="仿宋_GB2312"/>
          <w:sz w:val="32"/>
          <w:szCs w:val="32"/>
          <w:highlight w:val="none"/>
          <w:lang w:eastAsia="zh-CN"/>
        </w:rPr>
        <w:t>支出</w:t>
      </w:r>
      <w:r>
        <w:rPr>
          <w:rFonts w:hint="eastAsia" w:ascii="Times New Roman" w:hAnsi="Times New Roman" w:eastAsia="仿宋_GB2312"/>
          <w:sz w:val="32"/>
          <w:szCs w:val="32"/>
          <w:highlight w:val="none"/>
        </w:rPr>
        <w:t>总计</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4万元。主要是因为财政预算拨款减少</w:t>
      </w:r>
      <w:r>
        <w:rPr>
          <w:rFonts w:hint="eastAsia" w:ascii="Times New Roman" w:hAnsi="Times New Roman" w:eastAsia="仿宋_GB2312"/>
          <w:sz w:val="32"/>
          <w:szCs w:val="32"/>
          <w:highlight w:val="none"/>
          <w:lang w:eastAsia="zh-CN"/>
        </w:rPr>
        <w:t>。</w:t>
      </w:r>
    </w:p>
    <w:p w14:paraId="25D3261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1BC91C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17EEE14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与上年相比，</w:t>
      </w:r>
      <w:r>
        <w:rPr>
          <w:rFonts w:hint="eastAsia" w:ascii="仿宋" w:hAnsi="仿宋" w:eastAsia="仿宋" w:cs="仿宋"/>
          <w:sz w:val="32"/>
          <w:szCs w:val="32"/>
        </w:rPr>
        <w:t>财政拨款支出减少</w:t>
      </w:r>
      <w:r>
        <w:rPr>
          <w:rFonts w:hint="eastAsia" w:ascii="仿宋" w:hAnsi="仿宋" w:eastAsia="仿宋" w:cs="仿宋"/>
          <w:sz w:val="32"/>
          <w:szCs w:val="32"/>
          <w:lang w:val="en-US" w:eastAsia="zh-CN"/>
        </w:rPr>
        <w:t>4</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16.67</w:t>
      </w:r>
      <w:r>
        <w:rPr>
          <w:rFonts w:hint="eastAsia" w:ascii="仿宋" w:hAnsi="仿宋" w:eastAsia="仿宋" w:cs="仿宋"/>
          <w:sz w:val="32"/>
          <w:szCs w:val="32"/>
        </w:rPr>
        <w:t>%，主要是因为</w:t>
      </w:r>
      <w:r>
        <w:rPr>
          <w:rFonts w:hint="eastAsia" w:ascii="Times New Roman" w:hAnsi="Times New Roman" w:eastAsia="仿宋_GB2312"/>
          <w:sz w:val="32"/>
          <w:szCs w:val="32"/>
          <w:highlight w:val="none"/>
          <w:lang w:val="en-US" w:eastAsia="zh-CN"/>
        </w:rPr>
        <w:t>财政预算拨款减少。</w:t>
      </w:r>
    </w:p>
    <w:p w14:paraId="195BEA49">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2477C939">
      <w:pPr>
        <w:pStyle w:val="1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万元，主要用于以下方面：</w:t>
      </w:r>
      <w:r>
        <w:rPr>
          <w:rFonts w:hint="eastAsia" w:ascii="仿宋" w:hAnsi="仿宋" w:eastAsia="仿宋" w:cs="仿宋"/>
          <w:sz w:val="32"/>
          <w:szCs w:val="32"/>
          <w:highlight w:val="none"/>
          <w:lang w:eastAsia="zh-CN"/>
        </w:rPr>
        <w:t>文化旅游体育与传媒支出</w:t>
      </w:r>
      <w:r>
        <w:rPr>
          <w:rFonts w:hint="eastAsia" w:ascii="仿宋" w:hAnsi="仿宋" w:eastAsia="仿宋" w:cs="仿宋"/>
          <w:sz w:val="32"/>
          <w:szCs w:val="32"/>
          <w:highlight w:val="none"/>
          <w:lang w:val="en-US" w:eastAsia="zh-CN"/>
        </w:rPr>
        <w:t>20万元，占100%。</w:t>
      </w:r>
    </w:p>
    <w:p w14:paraId="73265DF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3893D83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新闻出版电影</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其他新闻出版电影支出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按</w:t>
      </w:r>
      <w:r>
        <w:rPr>
          <w:rFonts w:hint="eastAsia" w:ascii="Times New Roman" w:hAnsi="Times New Roman" w:eastAsia="仿宋_GB2312"/>
          <w:sz w:val="32"/>
          <w:szCs w:val="32"/>
          <w:highlight w:val="none"/>
          <w:lang w:eastAsia="zh-CN"/>
        </w:rPr>
        <w:t>年初预算支出新闻网运行经费</w:t>
      </w:r>
      <w:r>
        <w:rPr>
          <w:rFonts w:hint="eastAsia" w:ascii="Times New Roman" w:hAnsi="Times New Roman" w:eastAsia="仿宋_GB2312"/>
          <w:sz w:val="32"/>
          <w:szCs w:val="32"/>
          <w:highlight w:val="none"/>
          <w:lang w:val="en-US" w:eastAsia="zh-CN"/>
        </w:rPr>
        <w:t>。</w:t>
      </w:r>
    </w:p>
    <w:p w14:paraId="6A6AC48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CE58B1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E09A6E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2417B2D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C2471D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2B0E048E">
      <w:pPr>
        <w:pStyle w:val="10"/>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本年无因公出国（境）费支出。</w:t>
      </w:r>
    </w:p>
    <w:p w14:paraId="5CB6AF8A">
      <w:pPr>
        <w:pStyle w:val="10"/>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决算数小于预算数的主要原因是本年度公务接待费统一在一级单位开支。</w:t>
      </w:r>
    </w:p>
    <w:p w14:paraId="13455082">
      <w:pPr>
        <w:pStyle w:val="10"/>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%，决算数等于预算数的主要原因是本年度公务用车购置费统一在一级单位开支。</w:t>
      </w:r>
    </w:p>
    <w:p w14:paraId="182D76C8">
      <w:pPr>
        <w:pStyle w:val="1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决算数小于预算数的主要原因是本年度公务用车运行维护费统一在一级单位开支。</w:t>
      </w:r>
    </w:p>
    <w:p w14:paraId="55F351E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28582F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C724FB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FCF2E7E">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黑体"/>
          <w:color w:val="000000"/>
          <w:kern w:val="0"/>
          <w:sz w:val="32"/>
          <w:szCs w:val="32"/>
          <w:lang w:val="en-US" w:eastAsia="zh-CN" w:bidi="ar-SA"/>
        </w:rPr>
        <w:t>2023年度本单位无政府性基金收入，无政府性基金支出</w:t>
      </w:r>
    </w:p>
    <w:p w14:paraId="509C4F3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九、国有资本经营预算财政拨款</w:t>
      </w:r>
      <w:r>
        <w:rPr>
          <w:rFonts w:hint="eastAsia" w:hAnsi="黑体" w:cs="黑体"/>
          <w:b w:val="0"/>
          <w:bCs/>
          <w:sz w:val="32"/>
          <w:szCs w:val="32"/>
          <w:lang w:eastAsia="zh-CN"/>
        </w:rPr>
        <w:t>收入</w:t>
      </w:r>
      <w:r>
        <w:rPr>
          <w:rFonts w:hint="eastAsia" w:ascii="黑体" w:hAnsi="黑体" w:eastAsia="黑体" w:cs="黑体"/>
          <w:b w:val="0"/>
          <w:bCs/>
          <w:sz w:val="32"/>
          <w:szCs w:val="32"/>
          <w:lang w:eastAsia="zh-CN"/>
        </w:rPr>
        <w:t>支出决算情况说明</w:t>
      </w:r>
    </w:p>
    <w:p w14:paraId="41C7112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2023年度本单位无国有资本经营预算财政拨款收入，无国有资本经营预算财政拨款支出</w:t>
      </w:r>
    </w:p>
    <w:p w14:paraId="03BEEF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14:paraId="36FD4051">
      <w:pPr>
        <w:pStyle w:val="1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2023年度本部门无机关运行经费支出</w:t>
      </w:r>
    </w:p>
    <w:p w14:paraId="5C4CEAF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090E4D56">
      <w:pPr>
        <w:pStyle w:val="1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2023年度本部门无一般性支出</w:t>
      </w:r>
    </w:p>
    <w:p w14:paraId="4D64C98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2D307F9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3E9BC7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14:paraId="0E6BA91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08427DED">
      <w:pPr>
        <w:pStyle w:val="10"/>
        <w:keepNext w:val="0"/>
        <w:keepLines w:val="0"/>
        <w:pageBreakBefore w:val="0"/>
        <w:widowControl w:val="0"/>
        <w:kinsoku/>
        <w:wordWrap/>
        <w:overflowPunct/>
        <w:topLinePunct w:val="0"/>
        <w:bidi w:val="0"/>
        <w:snapToGrid/>
        <w:spacing w:line="600" w:lineRule="exact"/>
        <w:ind w:firstLine="640" w:firstLineChars="200"/>
        <w:textAlignment w:val="auto"/>
        <w:rPr>
          <w:sz w:val="72"/>
          <w:szCs w:val="72"/>
          <w:highlight w:val="yellow"/>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lang w:eastAsia="zh-CN"/>
        </w:rPr>
        <w:t>2023</w:t>
      </w:r>
      <w:r>
        <w:rPr>
          <w:rFonts w:hint="eastAsia" w:ascii="黑体" w:hAnsi="黑体" w:eastAsia="黑体" w:cs="黑体"/>
          <w:b w:val="0"/>
          <w:bCs/>
          <w:sz w:val="32"/>
          <w:szCs w:val="32"/>
        </w:rPr>
        <w:t>年度预算绩效情况的说明</w:t>
      </w:r>
    </w:p>
    <w:p w14:paraId="1A54A3E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pacing w:val="-2"/>
          <w:kern w:val="2"/>
          <w:sz w:val="32"/>
          <w:szCs w:val="32"/>
          <w:highlight w:val="none"/>
          <w:lang w:val="en-US" w:eastAsia="zh-CN" w:bidi="ar-SA"/>
        </w:rPr>
      </w:pPr>
      <w:r>
        <w:rPr>
          <w:rFonts w:hint="eastAsia" w:ascii="仿宋" w:eastAsia="仿宋" w:cs="Times New Roman"/>
          <w:sz w:val="32"/>
          <w:szCs w:val="32"/>
          <w:highlight w:val="none"/>
          <w:lang w:val="en-US" w:eastAsia="zh-CN"/>
        </w:rPr>
        <w:t>根据怀化市财政局《关于批复2023年市直部门预算的通知》（怀财预</w:t>
      </w:r>
      <w:r>
        <w:rPr>
          <w:rFonts w:hint="eastAsia" w:ascii="仿宋" w:hAnsi="仿宋" w:eastAsia="仿宋" w:cs="仿宋"/>
          <w:sz w:val="32"/>
          <w:szCs w:val="32"/>
          <w:highlight w:val="none"/>
          <w:lang w:val="en-US" w:eastAsia="zh-CN"/>
        </w:rPr>
        <w:t>〔</w:t>
      </w:r>
      <w:r>
        <w:rPr>
          <w:rFonts w:hint="eastAsia" w:ascii="仿宋" w:eastAsia="仿宋" w:cs="Times New Roman"/>
          <w:sz w:val="32"/>
          <w:szCs w:val="32"/>
          <w:highlight w:val="none"/>
          <w:lang w:val="en-US" w:eastAsia="zh-CN"/>
        </w:rPr>
        <w:t>2023</w:t>
      </w:r>
      <w:r>
        <w:rPr>
          <w:rFonts w:hint="eastAsia" w:ascii="仿宋" w:hAnsi="仿宋" w:eastAsia="仿宋" w:cs="仿宋"/>
          <w:sz w:val="32"/>
          <w:szCs w:val="32"/>
          <w:highlight w:val="none"/>
          <w:lang w:val="en-US" w:eastAsia="zh-CN"/>
        </w:rPr>
        <w:t>〕</w:t>
      </w:r>
      <w:r>
        <w:rPr>
          <w:rFonts w:hint="eastAsia" w:ascii="仿宋" w:eastAsia="仿宋" w:cs="Times New Roman"/>
          <w:sz w:val="32"/>
          <w:szCs w:val="32"/>
          <w:highlight w:val="none"/>
          <w:lang w:val="en-US" w:eastAsia="zh-CN"/>
        </w:rPr>
        <w:t>6号）预算批复项目金额20万元，实际到位20万元，资金到位率为100%，项目所需资金均按规定由财政全面拨款，无自筹资金。</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023</w:t>
      </w:r>
      <w:r>
        <w:rPr>
          <w:rFonts w:hint="eastAsia" w:ascii="仿宋_GB2312" w:hAnsi="仿宋_GB2312" w:eastAsia="仿宋_GB2312" w:cs="仿宋_GB2312"/>
          <w:sz w:val="32"/>
          <w:szCs w:val="32"/>
        </w:rPr>
        <w:t>年，怀化新闻网围绕中心、服务大局，着力建平台、求创新、谋发展，在重大主题宣传、新媒体创新创意以及对上对外宣传报道等方面，均取得了良好的社会效益</w:t>
      </w:r>
      <w:r>
        <w:rPr>
          <w:rFonts w:hint="eastAsia" w:ascii="仿宋" w:hAnsi="仿宋" w:eastAsia="仿宋" w:cs="仿宋"/>
          <w:spacing w:val="-2"/>
          <w:kern w:val="2"/>
          <w:sz w:val="32"/>
          <w:szCs w:val="32"/>
          <w:highlight w:val="none"/>
          <w:lang w:val="en-US" w:eastAsia="zh-CN" w:bidi="ar-SA"/>
        </w:rPr>
        <w:t>。</w:t>
      </w:r>
    </w:p>
    <w:p w14:paraId="00FAE4AD">
      <w:pPr>
        <w:keepNext w:val="0"/>
        <w:keepLines w:val="0"/>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平台建设稳步提升</w:t>
      </w:r>
      <w:r>
        <w:rPr>
          <w:rFonts w:hint="eastAsia" w:ascii="楷体" w:hAnsi="楷体" w:eastAsia="楷体" w:cs="楷体"/>
          <w:b/>
          <w:bCs/>
          <w:sz w:val="32"/>
          <w:szCs w:val="32"/>
          <w:lang w:eastAsia="zh-CN"/>
        </w:rPr>
        <w:t>。</w:t>
      </w:r>
      <w:r>
        <w:rPr>
          <w:rFonts w:hint="eastAsia" w:ascii="仿宋_GB2312" w:hAnsi="仿宋_GB2312" w:eastAsia="仿宋_GB2312" w:cs="仿宋_GB2312"/>
          <w:sz w:val="32"/>
          <w:szCs w:val="32"/>
        </w:rPr>
        <w:t>一年来，怀化新闻网“党网集群”平台建设稳步推进，并实现了良好运转。主站发稿量、传播力、影响力，在全省兄弟市州同级网站中稳居第一方阵。2</w:t>
      </w:r>
      <w:r>
        <w:rPr>
          <w:rFonts w:ascii="仿宋_GB2312" w:hAnsi="仿宋_GB2312" w:eastAsia="仿宋_GB2312" w:cs="仿宋_GB2312"/>
          <w:sz w:val="32"/>
          <w:szCs w:val="32"/>
        </w:rPr>
        <w:t>023</w:t>
      </w:r>
      <w:r>
        <w:rPr>
          <w:rFonts w:hint="eastAsia" w:ascii="仿宋_GB2312" w:hAnsi="仿宋_GB2312" w:eastAsia="仿宋_GB2312" w:cs="仿宋_GB2312"/>
          <w:sz w:val="32"/>
          <w:szCs w:val="32"/>
        </w:rPr>
        <w:t>年底，时隔1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年之后，怀化新闻网再次实现重大迭代升级，页面布局、功能设置、交互体验等均赢得上级领导和网友好评。“党网集群平台”市政协网、市委政法委新媒体、市委统战部新媒体、怀化市人力资源和社会保障局新媒体等均实现良好运转。怀化新闻网微信公众号粉丝量由15万增长到1</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万+，并获中央网信办授权“单日推送次数不限”，是全市唯一具有此权重的微信公众号。全年，公众号共推送消息2</w:t>
      </w:r>
      <w:r>
        <w:rPr>
          <w:rFonts w:ascii="仿宋_GB2312" w:hAnsi="仿宋_GB2312" w:eastAsia="仿宋_GB2312" w:cs="仿宋_GB2312"/>
          <w:sz w:val="32"/>
          <w:szCs w:val="32"/>
        </w:rPr>
        <w:t>000</w:t>
      </w:r>
      <w:r>
        <w:rPr>
          <w:rFonts w:hint="eastAsia" w:ascii="仿宋_GB2312" w:hAnsi="仿宋_GB2312" w:eastAsia="仿宋_GB2312" w:cs="仿宋_GB2312"/>
          <w:sz w:val="32"/>
          <w:szCs w:val="32"/>
        </w:rPr>
        <w:t>余条，本平台总阅读量超过1</w:t>
      </w:r>
      <w:r>
        <w:rPr>
          <w:rFonts w:ascii="仿宋_GB2312" w:hAnsi="仿宋_GB2312" w:eastAsia="仿宋_GB2312" w:cs="仿宋_GB2312"/>
          <w:sz w:val="32"/>
          <w:szCs w:val="32"/>
        </w:rPr>
        <w:t>000</w:t>
      </w:r>
      <w:r>
        <w:rPr>
          <w:rFonts w:hint="eastAsia" w:ascii="仿宋_GB2312" w:hAnsi="仿宋_GB2312" w:eastAsia="仿宋_GB2312" w:cs="仿宋_GB2312"/>
          <w:sz w:val="32"/>
          <w:szCs w:val="32"/>
        </w:rPr>
        <w:t>万。湖南政务微信影响力排行榜显示，怀化新闻网微信公众号推送量、阅读量、传播力指数，长期居全省市州政务微信排行榜第一方阵。怀化新闻网官方微博粉丝量达18万+、头条号粉丝量达21.7万，继续稳居全市同类媒体平台前列。</w:t>
      </w:r>
    </w:p>
    <w:p w14:paraId="73C8EDE4">
      <w:pPr>
        <w:keepNext w:val="0"/>
        <w:keepLines w:val="0"/>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主题宣传守正创新</w:t>
      </w:r>
      <w:r>
        <w:rPr>
          <w:rFonts w:hint="eastAsia" w:ascii="楷体" w:hAnsi="楷体" w:eastAsia="楷体" w:cs="楷体"/>
          <w:b/>
          <w:bCs/>
          <w:sz w:val="32"/>
          <w:szCs w:val="32"/>
          <w:lang w:eastAsia="zh-CN"/>
        </w:rPr>
        <w:t>。</w:t>
      </w:r>
      <w:r>
        <w:rPr>
          <w:rFonts w:hint="eastAsia" w:ascii="仿宋_GB2312" w:hAnsi="仿宋_GB2312" w:eastAsia="仿宋_GB2312" w:cs="仿宋_GB2312"/>
          <w:sz w:val="32"/>
          <w:szCs w:val="32"/>
        </w:rPr>
        <w:t>围绕市委、市政府中心工作，联合掌上怀化App同步推出并常态化更新各类专题报道20余个。其中，《新时代 新征程 新伟业——学习宣传贯彻党的二十大精神》《学习贯彻习近平新时代中国特色社会主义思想主题教育》《深入实施“五新四城”战略 奋力建设现代化新怀化》《陆港之歌》《怀化，一个怀景怀乡怀味的地方》《聚力“一迎三创” 提升城市品质》等一批重点专题，编发推送报道达3000余条，专题总访问量突破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亿。《首届湖南（怀化）RCEP经贸博览会》《“一粒种子 改变世界”原创民族音乐会》《第二届怀化市旅游发展大会》《怀化市首届“五溪工匠杯”职业技能大赛》《总编辑访谈》《首届怀化市“陆港潮涌·创业先锋” 选树活动》等一批主题报道，紧扣时代脉搏、引领阶段热点，取得了良好的社会反响。</w:t>
      </w:r>
    </w:p>
    <w:p w14:paraId="084E3E91">
      <w:pPr>
        <w:keepNext w:val="0"/>
        <w:keepLines w:val="0"/>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融媒报道出新出彩</w:t>
      </w:r>
      <w:r>
        <w:rPr>
          <w:rFonts w:hint="eastAsia" w:ascii="楷体" w:hAnsi="楷体" w:eastAsia="楷体" w:cs="楷体"/>
          <w:b/>
          <w:bCs/>
          <w:sz w:val="32"/>
          <w:szCs w:val="32"/>
          <w:lang w:eastAsia="zh-CN"/>
        </w:rPr>
        <w:t>。</w:t>
      </w:r>
      <w:r>
        <w:rPr>
          <w:rFonts w:hint="eastAsia" w:ascii="仿宋_GB2312" w:hAnsi="仿宋_GB2312" w:eastAsia="仿宋_GB2312" w:cs="仿宋_GB2312"/>
          <w:sz w:val="32"/>
          <w:szCs w:val="32"/>
        </w:rPr>
        <w:t>围绕全市重点工作及市民关注焦点，联合党上怀化App出新出彩推出了一批长图、S</w:t>
      </w:r>
      <w:r>
        <w:rPr>
          <w:rFonts w:ascii="仿宋_GB2312" w:hAnsi="仿宋_GB2312" w:eastAsia="仿宋_GB2312" w:cs="仿宋_GB2312"/>
          <w:sz w:val="32"/>
          <w:szCs w:val="32"/>
        </w:rPr>
        <w:t>VG</w:t>
      </w:r>
      <w:r>
        <w:rPr>
          <w:rFonts w:hint="eastAsia" w:ascii="仿宋_GB2312" w:hAnsi="仿宋_GB2312" w:eastAsia="仿宋_GB2312" w:cs="仿宋_GB2312"/>
          <w:sz w:val="32"/>
          <w:szCs w:val="32"/>
        </w:rPr>
        <w:t>互动海报、H</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创意短视频等新媒体作品，受到网友广泛点赞。其中，围绕全市产业发展推出的《图个明白｜打好发展“六仗”，怀化锚定这些目标…》《SVG互动海报丨“怀六味”出圈，第一个引领行业，你知道几个？》，兼具科普与趣味性，广受市民和网友赞誉；围绕首届湖南（怀化）RCEP经贸博览会，推出的《“挖呀挖”怀化版！看看怀化最近都在“挖”什么宝贝…》等一批作品营造了积极的网络环境氛围；围绕文旅产业发展推出的《人这一辈子，一定要去一趟怀化！》，仅在微信平台访问量就达5万+，评论量、点赞量均超过数百条。在微博平台，由怀化新闻网主持讨论的话题#易烊千玺怀化市城市形象大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，讨论量达132.2万、互动量达271.1万、阅读量超过5亿，是怀化宣传史上热度最高的网络话题；主持讨论的话题#一粒种子 改变世界——中国·怀化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，讨论量达120.4万、互动量达138.8万、阅读量超过1.4亿，为怀化城市形象品牌宣传贡献了党媒主流舆论阵地的力量。此外，为党网集群平台怀化人社新媒体定制推出的《怀小稻人社微课》等作品，深受网友欢迎。</w:t>
      </w:r>
    </w:p>
    <w:p w14:paraId="13A8327E">
      <w:pPr>
        <w:keepNext w:val="0"/>
        <w:keepLines w:val="0"/>
        <w:pageBreakBefore w:val="0"/>
        <w:kinsoku/>
        <w:wordWrap/>
        <w:overflowPunct/>
        <w:topLinePunct w:val="0"/>
        <w:bidi w:val="0"/>
        <w:snapToGrid/>
        <w:spacing w:line="560" w:lineRule="exact"/>
        <w:ind w:firstLine="640" w:firstLineChars="200"/>
        <w:textAlignment w:val="auto"/>
        <w:rPr>
          <w:rFonts w:hint="eastAsia"/>
          <w:lang w:val="en-US" w:eastAsia="zh-CN"/>
        </w:rPr>
      </w:pPr>
      <w:r>
        <w:rPr>
          <w:rFonts w:hint="eastAsia" w:ascii="楷体" w:hAnsi="楷体" w:eastAsia="楷体" w:cs="楷体"/>
          <w:b/>
          <w:bCs/>
          <w:sz w:val="32"/>
          <w:szCs w:val="32"/>
          <w:lang w:eastAsia="zh-CN"/>
        </w:rPr>
        <w:t>（四）</w:t>
      </w:r>
      <w:r>
        <w:rPr>
          <w:rFonts w:hint="eastAsia" w:ascii="楷体" w:hAnsi="楷体" w:eastAsia="楷体" w:cs="楷体"/>
          <w:b/>
          <w:bCs/>
          <w:sz w:val="32"/>
          <w:szCs w:val="32"/>
        </w:rPr>
        <w:t>对上报道亮点频出</w:t>
      </w:r>
      <w:r>
        <w:rPr>
          <w:rFonts w:hint="eastAsia" w:ascii="楷体" w:hAnsi="楷体" w:eastAsia="楷体" w:cs="楷体"/>
          <w:b/>
          <w:bCs/>
          <w:sz w:val="32"/>
          <w:szCs w:val="32"/>
          <w:lang w:eastAsia="zh-CN"/>
        </w:rPr>
        <w:t>。</w:t>
      </w:r>
      <w:r>
        <w:rPr>
          <w:rFonts w:hint="eastAsia" w:ascii="仿宋_GB2312" w:hAnsi="仿宋_GB2312" w:eastAsia="仿宋_GB2312" w:cs="仿宋_GB2312"/>
          <w:sz w:val="32"/>
          <w:szCs w:val="32"/>
        </w:rPr>
        <w:t>为了全方位讲好怀化故事、传播怀化好声音，怀化新闻网将向上向外推稿作为编辑工作重点之一。在学习强国、头条号等全国领先新媒体平台均取得较好宣传成果。其中，在头条号推稿并被用稿超过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000条，全平台总访问量过亿。在学习强国平台，供稿</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条，被选用并推荐</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条。其中，《湖南省怀化市全力打好科技创新“组合拳”》《湖南怀化：“三间”经济激发城市活力》《助力打好安全生产翻身仗 湖南省怀化市建立“八项机制”》《湖南怀化：凝心聚力加快推动高质量发展》等一批报道，还被学习强国总平台选用并推荐。</w:t>
      </w:r>
    </w:p>
    <w:p w14:paraId="6D5BFA29">
      <w:pPr>
        <w:keepNext w:val="0"/>
        <w:keepLines w:val="0"/>
        <w:pageBreakBefore w:val="0"/>
        <w:widowControl/>
        <w:numPr>
          <w:ilvl w:val="0"/>
          <w:numId w:val="0"/>
        </w:numPr>
        <w:shd w:val="clear" w:color="auto" w:fill="FFFFFF"/>
        <w:kinsoku/>
        <w:wordWrap/>
        <w:overflowPunct/>
        <w:topLinePunct w:val="0"/>
        <w:bidi w:val="0"/>
        <w:snapToGrid/>
        <w:spacing w:line="560" w:lineRule="exact"/>
        <w:ind w:leftChars="0" w:firstLine="632" w:firstLineChars="200"/>
        <w:textAlignment w:val="auto"/>
        <w:rPr>
          <w:rFonts w:hint="eastAsia" w:ascii="仿宋" w:hAnsi="仿宋" w:eastAsia="仿宋" w:cs="仿宋"/>
          <w:sz w:val="32"/>
          <w:szCs w:val="32"/>
        </w:rPr>
      </w:pPr>
      <w:r>
        <w:rPr>
          <w:rFonts w:hint="eastAsia" w:ascii="楷体" w:hAnsi="楷体" w:eastAsia="楷体" w:cs="楷体"/>
          <w:b/>
          <w:bCs w:val="0"/>
          <w:spacing w:val="-2"/>
          <w:sz w:val="32"/>
          <w:szCs w:val="32"/>
          <w:highlight w:val="none"/>
          <w:lang w:eastAsia="zh-CN"/>
        </w:rPr>
        <w:t>（五）</w:t>
      </w:r>
      <w:r>
        <w:rPr>
          <w:rFonts w:hint="eastAsia" w:ascii="楷体" w:hAnsi="楷体" w:eastAsia="楷体" w:cs="楷体"/>
          <w:b/>
          <w:bCs w:val="0"/>
          <w:spacing w:val="-2"/>
          <w:sz w:val="32"/>
          <w:szCs w:val="32"/>
          <w:highlight w:val="none"/>
        </w:rPr>
        <w:t>存在的</w:t>
      </w:r>
      <w:r>
        <w:rPr>
          <w:rFonts w:hint="eastAsia" w:ascii="楷体" w:hAnsi="楷体" w:eastAsia="楷体" w:cs="楷体"/>
          <w:b/>
          <w:bCs w:val="0"/>
          <w:spacing w:val="-2"/>
          <w:sz w:val="32"/>
          <w:szCs w:val="32"/>
          <w:highlight w:val="none"/>
          <w:lang w:eastAsia="zh-CN"/>
        </w:rPr>
        <w:t>问题及原因分析。</w:t>
      </w:r>
      <w:r>
        <w:rPr>
          <w:rFonts w:hint="eastAsia" w:ascii="仿宋" w:hAnsi="仿宋" w:eastAsia="仿宋" w:cs="仿宋"/>
          <w:spacing w:val="-2"/>
          <w:kern w:val="2"/>
          <w:sz w:val="32"/>
          <w:szCs w:val="32"/>
          <w:highlight w:val="none"/>
          <w:lang w:val="en-US" w:eastAsia="zh-CN" w:bidi="ar-SA"/>
        </w:rPr>
        <w:t>怀化新闻网不同程度存在绩效目标的设定不够科学精细，指向不够明确,内容不全面，</w:t>
      </w:r>
      <w:r>
        <w:rPr>
          <w:rFonts w:hint="eastAsia" w:ascii="仿宋" w:hAnsi="仿宋" w:eastAsia="仿宋" w:cs="仿宋"/>
          <w:sz w:val="32"/>
          <w:szCs w:val="32"/>
        </w:rPr>
        <w:t>预算执行</w:t>
      </w:r>
      <w:r>
        <w:rPr>
          <w:rFonts w:hint="eastAsia" w:ascii="仿宋" w:hAnsi="仿宋" w:eastAsia="仿宋" w:cs="仿宋"/>
          <w:sz w:val="32"/>
          <w:szCs w:val="32"/>
          <w:lang w:eastAsia="zh-CN"/>
        </w:rPr>
        <w:t>上偶有</w:t>
      </w:r>
      <w:r>
        <w:rPr>
          <w:rFonts w:hint="eastAsia" w:ascii="仿宋" w:hAnsi="仿宋" w:eastAsia="仿宋" w:cs="仿宋"/>
          <w:sz w:val="32"/>
          <w:szCs w:val="32"/>
        </w:rPr>
        <w:t>跟踪不够及时、衔接不够充分等问题。</w:t>
      </w:r>
      <w:r>
        <w:rPr>
          <w:rFonts w:hint="eastAsia" w:ascii="仿宋" w:hAnsi="仿宋" w:eastAsia="仿宋" w:cs="仿宋"/>
          <w:sz w:val="32"/>
          <w:szCs w:val="32"/>
          <w:lang w:eastAsia="zh-CN"/>
        </w:rPr>
        <w:t>原因分析：</w:t>
      </w:r>
      <w:r>
        <w:rPr>
          <w:rFonts w:hint="eastAsia" w:ascii="仿宋_GB2312" w:hAnsi="仿宋_GB2312" w:eastAsia="仿宋_GB2312" w:cs="仿宋_GB2312"/>
          <w:b w:val="0"/>
          <w:i w:val="0"/>
          <w:iCs w:val="0"/>
          <w:caps w:val="0"/>
          <w:color w:val="000000"/>
          <w:spacing w:val="0"/>
          <w:w w:val="100"/>
          <w:sz w:val="32"/>
          <w:szCs w:val="32"/>
          <w:shd w:val="clear" w:color="auto" w:fill="FFFFFF"/>
          <w:lang w:val="en-US" w:eastAsia="zh-CN"/>
        </w:rPr>
        <w:t>一是对预算绩效管理工作重视不够，缺乏制度性的约束，在执行过程中难免出现散漫、敷衍、不重内容，偏于形式等问题。二是</w:t>
      </w:r>
      <w:r>
        <w:rPr>
          <w:rFonts w:hint="eastAsia" w:ascii="仿宋" w:hAnsi="仿宋" w:eastAsia="仿宋" w:cs="仿宋"/>
          <w:sz w:val="32"/>
          <w:szCs w:val="32"/>
          <w:lang w:eastAsia="zh-CN"/>
        </w:rPr>
        <w:t>缺乏全面掌握预算绩效管理涉及到的项目业务、财务、效益等方面知识，特别是能对效益方面进行较好评价的专业人才。三是预算绩效管理制度体系不够完善，指标体系和评价方法不够完善。</w:t>
      </w:r>
    </w:p>
    <w:p w14:paraId="049F8AA0">
      <w:pPr>
        <w:keepNext w:val="0"/>
        <w:keepLines w:val="0"/>
        <w:pageBreakBefore w:val="0"/>
        <w:numPr>
          <w:ilvl w:val="0"/>
          <w:numId w:val="0"/>
        </w:numPr>
        <w:kinsoku/>
        <w:wordWrap/>
        <w:overflowPunct/>
        <w:topLinePunct w:val="0"/>
        <w:bidi w:val="0"/>
        <w:snapToGrid/>
        <w:spacing w:line="560" w:lineRule="exact"/>
        <w:ind w:firstLine="632" w:firstLineChars="200"/>
        <w:textAlignment w:val="auto"/>
        <w:rPr>
          <w:rFonts w:hint="eastAsia" w:ascii="仿宋" w:hAnsi="仿宋" w:eastAsia="仿宋" w:cs="仿宋"/>
          <w:spacing w:val="-2"/>
          <w:kern w:val="2"/>
          <w:sz w:val="32"/>
          <w:szCs w:val="32"/>
          <w:highlight w:val="none"/>
          <w:lang w:val="en-US" w:eastAsia="zh-CN" w:bidi="ar-SA"/>
        </w:rPr>
      </w:pPr>
      <w:r>
        <w:rPr>
          <w:rFonts w:hint="eastAsia" w:ascii="楷体" w:hAnsi="楷体" w:eastAsia="楷体" w:cs="楷体"/>
          <w:b/>
          <w:bCs w:val="0"/>
          <w:spacing w:val="-2"/>
          <w:sz w:val="32"/>
          <w:szCs w:val="32"/>
          <w:lang w:eastAsia="zh-CN"/>
        </w:rPr>
        <w:t>（六）下一步改进措施。</w:t>
      </w:r>
      <w:r>
        <w:rPr>
          <w:rFonts w:hint="eastAsia" w:ascii="仿宋" w:hAnsi="仿宋" w:eastAsia="仿宋" w:cs="仿宋"/>
          <w:spacing w:val="-2"/>
          <w:kern w:val="2"/>
          <w:sz w:val="32"/>
          <w:szCs w:val="32"/>
          <w:highlight w:val="none"/>
          <w:lang w:val="en-US" w:eastAsia="zh-CN" w:bidi="ar-SA"/>
        </w:rPr>
        <w:t>一是细化预算编制工作，认真做好预算的编制。进一步加强内部机构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控预算编制的审核和预算控制指标的下达。二是加强财务管理，严格财务审核。加强单位财务管理，健全单位财务管理制度体系，规范单位财务行为。在费用报账支付时，按照预算规定的费用项目和用途进行资金使用审核、列报支付、财务核算，杜绝超支现象的发生。三是对相关人员加强培训，特别是针对《预算法》《行政事业单位会计制度》等学习培训，规范部门预算收支核算，切实提高部门预算管理水平。</w:t>
      </w:r>
    </w:p>
    <w:p w14:paraId="7AC443FB">
      <w:pPr>
        <w:pStyle w:val="10"/>
        <w:jc w:val="center"/>
        <w:rPr>
          <w:rFonts w:hint="eastAsia" w:ascii="仿宋" w:hAnsi="仿宋" w:eastAsia="仿宋" w:cs="仿宋"/>
          <w:sz w:val="32"/>
          <w:szCs w:val="32"/>
          <w:highlight w:val="yellow"/>
        </w:rPr>
      </w:pPr>
    </w:p>
    <w:p w14:paraId="7EED58DD">
      <w:pPr>
        <w:pStyle w:val="10"/>
        <w:jc w:val="center"/>
        <w:rPr>
          <w:sz w:val="72"/>
          <w:szCs w:val="72"/>
        </w:rPr>
      </w:pPr>
    </w:p>
    <w:p w14:paraId="1BF9CC3D">
      <w:pPr>
        <w:pStyle w:val="10"/>
        <w:jc w:val="center"/>
        <w:rPr>
          <w:sz w:val="72"/>
          <w:szCs w:val="72"/>
        </w:rPr>
      </w:pPr>
    </w:p>
    <w:p w14:paraId="6FBE4AE6">
      <w:pPr>
        <w:pStyle w:val="10"/>
        <w:jc w:val="both"/>
        <w:rPr>
          <w:rFonts w:hint="eastAsia" w:ascii="方正小标宋_GBK" w:hAnsi="方正小标宋_GBK" w:eastAsia="方正小标宋_GBK" w:cs="方正小标宋_GBK"/>
          <w:sz w:val="72"/>
          <w:szCs w:val="72"/>
        </w:rPr>
      </w:pPr>
    </w:p>
    <w:p w14:paraId="2D6066D7">
      <w:pPr>
        <w:pStyle w:val="10"/>
        <w:jc w:val="center"/>
        <w:rPr>
          <w:rFonts w:hint="eastAsia" w:ascii="方正小标宋_GBK" w:hAnsi="方正小标宋_GBK" w:eastAsia="方正小标宋_GBK" w:cs="方正小标宋_GBK"/>
          <w:sz w:val="72"/>
          <w:szCs w:val="72"/>
        </w:rPr>
      </w:pPr>
    </w:p>
    <w:p w14:paraId="52A041F3">
      <w:pPr>
        <w:pStyle w:val="10"/>
        <w:jc w:val="center"/>
        <w:rPr>
          <w:rFonts w:hint="eastAsia" w:ascii="方正小标宋_GBK" w:hAnsi="方正小标宋_GBK" w:eastAsia="方正小标宋_GBK" w:cs="方正小标宋_GBK"/>
          <w:sz w:val="72"/>
          <w:szCs w:val="72"/>
        </w:rPr>
      </w:pPr>
    </w:p>
    <w:p w14:paraId="1E41FB20">
      <w:pPr>
        <w:pStyle w:val="10"/>
        <w:jc w:val="center"/>
        <w:rPr>
          <w:rFonts w:hint="eastAsia" w:ascii="方正小标宋_GBK" w:hAnsi="方正小标宋_GBK" w:eastAsia="方正小标宋_GBK" w:cs="方正小标宋_GBK"/>
          <w:sz w:val="72"/>
          <w:szCs w:val="72"/>
        </w:rPr>
      </w:pPr>
    </w:p>
    <w:p w14:paraId="0CF5CAB7">
      <w:pPr>
        <w:pStyle w:val="10"/>
        <w:jc w:val="center"/>
        <w:rPr>
          <w:rFonts w:hint="eastAsia" w:ascii="方正小标宋_GBK" w:hAnsi="方正小标宋_GBK" w:eastAsia="方正小标宋_GBK" w:cs="方正小标宋_GBK"/>
          <w:sz w:val="72"/>
          <w:szCs w:val="72"/>
        </w:rPr>
      </w:pPr>
    </w:p>
    <w:p w14:paraId="48EE8BED">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6DF9FC7">
      <w:pPr>
        <w:jc w:val="center"/>
        <w:rPr>
          <w:rFonts w:hint="eastAsia" w:ascii="方正小标宋_GBK" w:hAnsi="方正小标宋_GBK" w:eastAsia="方正小标宋_GBK" w:cs="方正小标宋_GBK"/>
          <w:color w:val="000000"/>
          <w:kern w:val="0"/>
          <w:sz w:val="70"/>
          <w:szCs w:val="70"/>
        </w:rPr>
      </w:pPr>
    </w:p>
    <w:p w14:paraId="5C47DE9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CF1C1B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D863089">
      <w:pPr>
        <w:pStyle w:val="5"/>
        <w:keepNext w:val="0"/>
        <w:keepLines w:val="0"/>
        <w:pageBreakBefore w:val="0"/>
        <w:widowControl/>
        <w:kinsoku/>
        <w:wordWrap/>
        <w:overflowPunct/>
        <w:topLinePunct w:val="0"/>
        <w:bidi w:val="0"/>
        <w:snapToGrid/>
        <w:spacing w:line="560" w:lineRule="exact"/>
        <w:ind w:firstLine="420"/>
        <w:jc w:val="both"/>
        <w:textAlignment w:val="auto"/>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w:t>
      </w:r>
    </w:p>
    <w:p w14:paraId="3C9D04C4">
      <w:pPr>
        <w:pStyle w:val="5"/>
        <w:keepNext w:val="0"/>
        <w:keepLines w:val="0"/>
        <w:pageBreakBefore w:val="0"/>
        <w:widowControl/>
        <w:kinsoku/>
        <w:wordWrap/>
        <w:overflowPunct/>
        <w:topLinePunct w:val="0"/>
        <w:bidi w:val="0"/>
        <w:snapToGrid/>
        <w:spacing w:line="560" w:lineRule="exact"/>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23B24F75">
      <w:pPr>
        <w:pStyle w:val="5"/>
        <w:keepNext w:val="0"/>
        <w:keepLines w:val="0"/>
        <w:pageBreakBefore w:val="0"/>
        <w:widowControl/>
        <w:kinsoku/>
        <w:wordWrap/>
        <w:overflowPunct/>
        <w:topLinePunct w:val="0"/>
        <w:bidi w:val="0"/>
        <w:snapToGrid/>
        <w:spacing w:line="560" w:lineRule="exact"/>
        <w:ind w:firstLine="420"/>
        <w:jc w:val="both"/>
        <w:textAlignment w:val="auto"/>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14:paraId="55E37F1E">
      <w:pPr>
        <w:pStyle w:val="5"/>
        <w:keepNext w:val="0"/>
        <w:keepLines w:val="0"/>
        <w:pageBreakBefore w:val="0"/>
        <w:widowControl/>
        <w:kinsoku/>
        <w:wordWrap/>
        <w:overflowPunct/>
        <w:topLinePunct w:val="0"/>
        <w:bidi w:val="0"/>
        <w:snapToGrid/>
        <w:spacing w:line="560" w:lineRule="exact"/>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纳入财政预算管理的“三公</w:t>
      </w:r>
      <w:r>
        <w:rPr>
          <w:rFonts w:hint="default"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668EC28">
      <w:pPr>
        <w:pStyle w:val="10"/>
        <w:keepNext w:val="0"/>
        <w:keepLines w:val="0"/>
        <w:pageBreakBefore w:val="0"/>
        <w:kinsoku/>
        <w:wordWrap/>
        <w:overflowPunct/>
        <w:topLinePunct w:val="0"/>
        <w:bidi w:val="0"/>
        <w:snapToGrid/>
        <w:spacing w:line="560" w:lineRule="exact"/>
        <w:jc w:val="both"/>
        <w:textAlignment w:val="auto"/>
        <w:rPr>
          <w:sz w:val="72"/>
          <w:szCs w:val="72"/>
        </w:rPr>
      </w:pPr>
    </w:p>
    <w:p w14:paraId="20F76EB1">
      <w:pPr>
        <w:pStyle w:val="10"/>
        <w:jc w:val="both"/>
        <w:rPr>
          <w:sz w:val="72"/>
          <w:szCs w:val="72"/>
        </w:rPr>
      </w:pPr>
    </w:p>
    <w:p w14:paraId="11A91AAF">
      <w:pPr>
        <w:pStyle w:val="10"/>
        <w:jc w:val="center"/>
        <w:rPr>
          <w:sz w:val="72"/>
          <w:szCs w:val="72"/>
        </w:rPr>
      </w:pPr>
    </w:p>
    <w:p w14:paraId="0E081F74">
      <w:pPr>
        <w:pStyle w:val="10"/>
        <w:jc w:val="center"/>
        <w:rPr>
          <w:sz w:val="72"/>
          <w:szCs w:val="72"/>
        </w:rPr>
      </w:pPr>
    </w:p>
    <w:p w14:paraId="12AE16F4">
      <w:pPr>
        <w:pStyle w:val="10"/>
        <w:jc w:val="center"/>
        <w:rPr>
          <w:sz w:val="72"/>
          <w:szCs w:val="72"/>
        </w:rPr>
      </w:pPr>
    </w:p>
    <w:p w14:paraId="38E2F0C1">
      <w:pPr>
        <w:pStyle w:val="10"/>
        <w:jc w:val="center"/>
        <w:rPr>
          <w:sz w:val="72"/>
          <w:szCs w:val="72"/>
        </w:rPr>
      </w:pPr>
    </w:p>
    <w:p w14:paraId="0C26FAD7">
      <w:pPr>
        <w:jc w:val="left"/>
        <w:rPr>
          <w:rFonts w:cs="黑体" w:asciiTheme="minorEastAsia" w:hAnsiTheme="minorEastAsia"/>
          <w:color w:val="000000"/>
          <w:kern w:val="0"/>
          <w:sz w:val="32"/>
          <w:szCs w:val="32"/>
        </w:rPr>
      </w:pPr>
    </w:p>
    <w:p w14:paraId="667C64DC">
      <w:pPr>
        <w:jc w:val="left"/>
        <w:rPr>
          <w:rFonts w:cs="黑体" w:asciiTheme="minorEastAsia" w:hAnsiTheme="minorEastAsia"/>
          <w:color w:val="000000"/>
          <w:kern w:val="0"/>
          <w:sz w:val="32"/>
          <w:szCs w:val="32"/>
        </w:rPr>
      </w:pPr>
    </w:p>
    <w:p w14:paraId="73E642A3">
      <w:pPr>
        <w:jc w:val="left"/>
        <w:rPr>
          <w:rFonts w:cs="黑体" w:asciiTheme="minorEastAsia" w:hAnsiTheme="minorEastAsia"/>
          <w:color w:val="000000"/>
          <w:kern w:val="0"/>
          <w:sz w:val="32"/>
          <w:szCs w:val="32"/>
        </w:rPr>
      </w:pPr>
    </w:p>
    <w:p w14:paraId="6E229B75">
      <w:pPr>
        <w:pStyle w:val="10"/>
        <w:jc w:val="center"/>
        <w:rPr>
          <w:rFonts w:hint="eastAsia" w:ascii="方正小标宋_GBK" w:hAnsi="方正小标宋_GBK" w:eastAsia="方正小标宋_GBK" w:cs="方正小标宋_GBK"/>
          <w:sz w:val="72"/>
          <w:szCs w:val="72"/>
        </w:rPr>
      </w:pPr>
    </w:p>
    <w:p w14:paraId="4DDBE49D">
      <w:pPr>
        <w:pStyle w:val="10"/>
        <w:jc w:val="center"/>
        <w:rPr>
          <w:rFonts w:hint="eastAsia" w:ascii="方正小标宋_GBK" w:hAnsi="方正小标宋_GBK" w:eastAsia="方正小标宋_GBK" w:cs="方正小标宋_GBK"/>
          <w:sz w:val="72"/>
          <w:szCs w:val="72"/>
        </w:rPr>
      </w:pPr>
    </w:p>
    <w:p w14:paraId="0E5583D7">
      <w:pPr>
        <w:pStyle w:val="10"/>
        <w:jc w:val="center"/>
        <w:rPr>
          <w:rFonts w:hint="eastAsia" w:ascii="方正小标宋_GBK" w:hAnsi="方正小标宋_GBK" w:eastAsia="方正小标宋_GBK" w:cs="方正小标宋_GBK"/>
          <w:sz w:val="72"/>
          <w:szCs w:val="72"/>
        </w:rPr>
      </w:pPr>
    </w:p>
    <w:p w14:paraId="206C52F7">
      <w:pPr>
        <w:pStyle w:val="10"/>
        <w:jc w:val="center"/>
        <w:rPr>
          <w:rFonts w:hint="eastAsia" w:ascii="方正小标宋_GBK" w:hAnsi="方正小标宋_GBK" w:eastAsia="方正小标宋_GBK" w:cs="方正小标宋_GBK"/>
          <w:sz w:val="72"/>
          <w:szCs w:val="72"/>
        </w:rPr>
      </w:pPr>
    </w:p>
    <w:p w14:paraId="22CD01BA">
      <w:pPr>
        <w:pStyle w:val="10"/>
        <w:jc w:val="center"/>
        <w:rPr>
          <w:rFonts w:hint="eastAsia" w:ascii="方正小标宋_GBK" w:hAnsi="方正小标宋_GBK" w:eastAsia="方正小标宋_GBK" w:cs="方正小标宋_GBK"/>
          <w:sz w:val="72"/>
          <w:szCs w:val="72"/>
        </w:rPr>
      </w:pPr>
    </w:p>
    <w:p w14:paraId="491E49D6">
      <w:pPr>
        <w:pStyle w:val="10"/>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0E2E52A">
      <w:pPr>
        <w:ind w:firstLine="4200" w:firstLineChars="600"/>
        <w:jc w:val="both"/>
        <w:rPr>
          <w:rFonts w:hint="eastAsia" w:ascii="方正小标宋_GBK" w:hAnsi="方正小标宋_GBK" w:eastAsia="方正小标宋_GBK" w:cs="方正小标宋_GBK"/>
          <w:color w:val="000000"/>
          <w:kern w:val="0"/>
          <w:sz w:val="70"/>
          <w:szCs w:val="70"/>
          <w:lang w:eastAsia="zh-CN"/>
        </w:rPr>
      </w:pPr>
      <w:r>
        <w:rPr>
          <w:rFonts w:hint="eastAsia" w:ascii="方正小标宋_GBK" w:hAnsi="方正小标宋_GBK" w:eastAsia="方正小标宋_GBK" w:cs="方正小标宋_GBK"/>
          <w:color w:val="000000"/>
          <w:kern w:val="0"/>
          <w:sz w:val="70"/>
          <w:szCs w:val="70"/>
          <w:lang w:eastAsia="zh-CN"/>
        </w:rPr>
        <w:t>附件</w:t>
      </w:r>
    </w:p>
    <w:p w14:paraId="45ED10C4">
      <w:pPr>
        <w:ind w:firstLine="4200" w:firstLineChars="600"/>
        <w:jc w:val="both"/>
        <w:rPr>
          <w:rFonts w:hint="eastAsia" w:ascii="方正小标宋_GBK" w:hAnsi="方正小标宋_GBK" w:eastAsia="方正小标宋_GBK" w:cs="方正小标宋_GBK"/>
          <w:color w:val="000000"/>
          <w:kern w:val="0"/>
          <w:sz w:val="70"/>
          <w:szCs w:val="70"/>
          <w:lang w:eastAsia="zh-CN"/>
        </w:rPr>
      </w:pPr>
    </w:p>
    <w:p w14:paraId="3865F68A">
      <w:pPr>
        <w:ind w:firstLine="4200" w:firstLineChars="600"/>
        <w:jc w:val="both"/>
        <w:rPr>
          <w:rFonts w:hint="eastAsia" w:ascii="方正小标宋_GBK" w:hAnsi="方正小标宋_GBK" w:eastAsia="方正小标宋_GBK" w:cs="方正小标宋_GBK"/>
          <w:color w:val="000000"/>
          <w:kern w:val="0"/>
          <w:sz w:val="70"/>
          <w:szCs w:val="70"/>
          <w:lang w:eastAsia="zh-CN"/>
        </w:rPr>
      </w:pPr>
    </w:p>
    <w:p w14:paraId="1367AF79">
      <w:pPr>
        <w:ind w:firstLine="4200" w:firstLineChars="600"/>
        <w:jc w:val="both"/>
        <w:rPr>
          <w:rFonts w:hint="eastAsia" w:ascii="方正小标宋_GBK" w:hAnsi="方正小标宋_GBK" w:eastAsia="方正小标宋_GBK" w:cs="方正小标宋_GBK"/>
          <w:color w:val="000000"/>
          <w:kern w:val="0"/>
          <w:sz w:val="70"/>
          <w:szCs w:val="70"/>
          <w:lang w:eastAsia="zh-CN"/>
        </w:rPr>
      </w:pPr>
    </w:p>
    <w:p w14:paraId="7872E426">
      <w:pPr>
        <w:ind w:firstLine="4200" w:firstLineChars="600"/>
        <w:jc w:val="both"/>
        <w:rPr>
          <w:rFonts w:hint="eastAsia" w:ascii="方正小标宋_GBK" w:hAnsi="方正小标宋_GBK" w:eastAsia="方正小标宋_GBK" w:cs="方正小标宋_GBK"/>
          <w:color w:val="000000"/>
          <w:kern w:val="0"/>
          <w:sz w:val="70"/>
          <w:szCs w:val="70"/>
          <w:lang w:eastAsia="zh-CN"/>
        </w:rPr>
      </w:pPr>
    </w:p>
    <w:p w14:paraId="03E97167">
      <w:pPr>
        <w:ind w:firstLine="4200" w:firstLineChars="600"/>
        <w:jc w:val="both"/>
        <w:rPr>
          <w:rFonts w:hint="eastAsia" w:ascii="方正小标宋_GBK" w:hAnsi="方正小标宋_GBK" w:eastAsia="方正小标宋_GBK" w:cs="方正小标宋_GBK"/>
          <w:color w:val="000000"/>
          <w:kern w:val="0"/>
          <w:sz w:val="70"/>
          <w:szCs w:val="70"/>
          <w:lang w:eastAsia="zh-CN"/>
        </w:rPr>
      </w:pPr>
    </w:p>
    <w:p w14:paraId="4927653B">
      <w:pPr>
        <w:pStyle w:val="10"/>
        <w:numPr>
          <w:ilvl w:val="0"/>
          <w:numId w:val="3"/>
        </w:numPr>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怀化日报社（怀化新闻网）</w:t>
      </w:r>
      <w:r>
        <w:rPr>
          <w:rFonts w:hint="eastAsia" w:ascii="仿宋" w:hAnsi="仿宋" w:eastAsia="仿宋" w:cs="仿宋"/>
          <w:sz w:val="32"/>
          <w:szCs w:val="32"/>
          <w:lang w:val="en-US" w:eastAsia="zh-CN"/>
        </w:rPr>
        <w:t>2023年度</w:t>
      </w:r>
      <w:r>
        <w:rPr>
          <w:rFonts w:hint="eastAsia" w:ascii="仿宋" w:hAnsi="仿宋" w:eastAsia="仿宋" w:cs="仿宋"/>
          <w:sz w:val="32"/>
          <w:szCs w:val="32"/>
          <w:lang w:eastAsia="zh-CN"/>
        </w:rPr>
        <w:t>部门决算表</w:t>
      </w:r>
      <w:bookmarkStart w:id="3" w:name="_GoBack"/>
      <w:bookmarkEnd w:id="3"/>
    </w:p>
    <w:p w14:paraId="42CE1371">
      <w:pPr>
        <w:ind w:firstLine="4200" w:firstLineChars="600"/>
        <w:jc w:val="both"/>
        <w:rPr>
          <w:rFonts w:hint="eastAsia" w:ascii="方正小标宋_GBK" w:hAnsi="方正小标宋_GBK" w:eastAsia="方正小标宋_GBK" w:cs="方正小标宋_GBK"/>
          <w:color w:val="000000"/>
          <w:kern w:val="0"/>
          <w:sz w:val="70"/>
          <w:szCs w:val="70"/>
          <w:lang w:eastAsia="zh-CN"/>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6534C1"/>
    <w:multiLevelType w:val="singleLevel"/>
    <w:tmpl w:val="216534C1"/>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922018"/>
    <w:multiLevelType w:val="singleLevel"/>
    <w:tmpl w:val="43922018"/>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2U2ODJlMmI0ZWUyMDU0N2ViODJhYTU1YjQ5Mz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0A7AC0"/>
    <w:rsid w:val="08DC4EB8"/>
    <w:rsid w:val="0B0500B3"/>
    <w:rsid w:val="13516249"/>
    <w:rsid w:val="18CC60BC"/>
    <w:rsid w:val="218C6A8C"/>
    <w:rsid w:val="26DD2741"/>
    <w:rsid w:val="2C2510DE"/>
    <w:rsid w:val="2F456873"/>
    <w:rsid w:val="33704071"/>
    <w:rsid w:val="374A6CB1"/>
    <w:rsid w:val="43B80ED5"/>
    <w:rsid w:val="44D10724"/>
    <w:rsid w:val="4A7578E0"/>
    <w:rsid w:val="4A7D4C52"/>
    <w:rsid w:val="4BA83196"/>
    <w:rsid w:val="4DB67D3E"/>
    <w:rsid w:val="5777D4F5"/>
    <w:rsid w:val="58DD237F"/>
    <w:rsid w:val="5CF52D6E"/>
    <w:rsid w:val="5E7303EE"/>
    <w:rsid w:val="5FC6BB1E"/>
    <w:rsid w:val="5FF720F1"/>
    <w:rsid w:val="6857680D"/>
    <w:rsid w:val="6B99345E"/>
    <w:rsid w:val="6E182D60"/>
    <w:rsid w:val="71D7754C"/>
    <w:rsid w:val="72AB2147"/>
    <w:rsid w:val="737D59BA"/>
    <w:rsid w:val="77C37683"/>
    <w:rsid w:val="796400F4"/>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4917</Words>
  <Characters>5147</Characters>
  <Lines>63</Lines>
  <Paragraphs>18</Paragraphs>
  <TotalTime>0</TotalTime>
  <ScaleCrop>false</ScaleCrop>
  <LinksUpToDate>false</LinksUpToDate>
  <CharactersWithSpaces>5165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2024-09-23T03:47:00Z</cp:lastPrinted>
  <dcterms:modified xsi:type="dcterms:W3CDTF">2024-09-24T07:30:57Z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9DE803B70A3E4189A9656F8BA0F9B951_12</vt:lpwstr>
  </property>
</Properties>
</file>