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6AF27">
      <w:pPr>
        <w:pStyle w:val="14"/>
        <w:jc w:val="center"/>
        <w:rPr>
          <w:sz w:val="56"/>
          <w:szCs w:val="56"/>
        </w:rPr>
      </w:pPr>
    </w:p>
    <w:p w14:paraId="2C475DBC">
      <w:pPr>
        <w:pStyle w:val="14"/>
        <w:jc w:val="center"/>
        <w:rPr>
          <w:sz w:val="56"/>
          <w:szCs w:val="56"/>
        </w:rPr>
      </w:pPr>
    </w:p>
    <w:p w14:paraId="5B69F6B0">
      <w:pPr>
        <w:pStyle w:val="14"/>
        <w:jc w:val="center"/>
        <w:rPr>
          <w:sz w:val="84"/>
          <w:szCs w:val="84"/>
        </w:rPr>
      </w:pPr>
    </w:p>
    <w:p w14:paraId="16918406">
      <w:pPr>
        <w:pStyle w:val="14"/>
        <w:jc w:val="center"/>
        <w:rPr>
          <w:sz w:val="72"/>
          <w:szCs w:val="72"/>
        </w:rPr>
      </w:pPr>
    </w:p>
    <w:p w14:paraId="4B793820">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202</w:t>
      </w:r>
      <w:r>
        <w:rPr>
          <w:rFonts w:hint="eastAsia" w:ascii="方正小标宋_GBK" w:hAnsi="方正小标宋_GBK" w:eastAsia="方正小标宋_GBK" w:cs="方正小标宋_GBK"/>
          <w:sz w:val="72"/>
          <w:szCs w:val="72"/>
          <w:lang w:val="en-US" w:eastAsia="zh-CN"/>
        </w:rPr>
        <w:t>3</w:t>
      </w:r>
      <w:r>
        <w:rPr>
          <w:rFonts w:hint="eastAsia" w:ascii="方正小标宋_GBK" w:hAnsi="方正小标宋_GBK" w:eastAsia="方正小标宋_GBK" w:cs="方正小标宋_GBK"/>
          <w:sz w:val="72"/>
          <w:szCs w:val="72"/>
        </w:rPr>
        <w:t>年度</w:t>
      </w:r>
    </w:p>
    <w:p w14:paraId="7C738CD3">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lang w:eastAsia="zh-CN"/>
        </w:rPr>
        <w:t>怀化日报社（本级）部门</w:t>
      </w:r>
      <w:r>
        <w:rPr>
          <w:rFonts w:hint="eastAsia" w:ascii="方正小标宋_GBK" w:hAnsi="方正小标宋_GBK" w:eastAsia="方正小标宋_GBK" w:cs="方正小标宋_GBK"/>
          <w:sz w:val="72"/>
          <w:szCs w:val="72"/>
        </w:rPr>
        <w:t>决算</w:t>
      </w:r>
    </w:p>
    <w:p w14:paraId="04D384E8">
      <w:pPr>
        <w:pStyle w:val="14"/>
        <w:jc w:val="center"/>
        <w:rPr>
          <w:rFonts w:hint="eastAsia" w:ascii="方正小标宋_GBK" w:hAnsi="方正小标宋_GBK" w:eastAsia="方正小标宋_GBK" w:cs="方正小标宋_GBK"/>
          <w:sz w:val="56"/>
          <w:szCs w:val="56"/>
        </w:rPr>
      </w:pPr>
    </w:p>
    <w:p w14:paraId="095A344F">
      <w:pPr>
        <w:pStyle w:val="14"/>
        <w:jc w:val="center"/>
        <w:rPr>
          <w:sz w:val="56"/>
          <w:szCs w:val="56"/>
        </w:rPr>
      </w:pPr>
    </w:p>
    <w:p w14:paraId="02DD16BA">
      <w:pPr>
        <w:pStyle w:val="14"/>
        <w:jc w:val="center"/>
        <w:rPr>
          <w:sz w:val="56"/>
          <w:szCs w:val="56"/>
        </w:rPr>
      </w:pPr>
    </w:p>
    <w:p w14:paraId="5EA1C81A">
      <w:pPr>
        <w:pStyle w:val="14"/>
        <w:jc w:val="center"/>
        <w:rPr>
          <w:sz w:val="56"/>
          <w:szCs w:val="56"/>
        </w:rPr>
      </w:pPr>
    </w:p>
    <w:p w14:paraId="44B7B5E6">
      <w:pPr>
        <w:pStyle w:val="14"/>
        <w:jc w:val="center"/>
        <w:rPr>
          <w:sz w:val="56"/>
          <w:szCs w:val="56"/>
        </w:rPr>
      </w:pPr>
    </w:p>
    <w:p w14:paraId="2A921738">
      <w:pPr>
        <w:pStyle w:val="14"/>
        <w:jc w:val="center"/>
        <w:rPr>
          <w:sz w:val="32"/>
          <w:szCs w:val="32"/>
        </w:rPr>
      </w:pPr>
    </w:p>
    <w:p w14:paraId="422CB3C2">
      <w:pPr>
        <w:pStyle w:val="14"/>
        <w:jc w:val="center"/>
        <w:rPr>
          <w:sz w:val="32"/>
          <w:szCs w:val="32"/>
        </w:rPr>
      </w:pPr>
    </w:p>
    <w:p w14:paraId="559E0091">
      <w:pPr>
        <w:pStyle w:val="14"/>
        <w:jc w:val="center"/>
        <w:rPr>
          <w:sz w:val="32"/>
          <w:szCs w:val="32"/>
        </w:rPr>
      </w:pPr>
    </w:p>
    <w:p w14:paraId="1AEBDA0D">
      <w:pPr>
        <w:pStyle w:val="14"/>
        <w:jc w:val="center"/>
        <w:rPr>
          <w:sz w:val="32"/>
          <w:szCs w:val="32"/>
        </w:rPr>
      </w:pPr>
    </w:p>
    <w:p w14:paraId="0BCC9333">
      <w:pPr>
        <w:pStyle w:val="14"/>
        <w:jc w:val="center"/>
        <w:rPr>
          <w:sz w:val="32"/>
          <w:szCs w:val="32"/>
        </w:rPr>
      </w:pPr>
    </w:p>
    <w:p w14:paraId="102AB763">
      <w:pPr>
        <w:pStyle w:val="14"/>
        <w:spacing w:line="500" w:lineRule="exact"/>
        <w:jc w:val="both"/>
        <w:rPr>
          <w:b/>
          <w:sz w:val="36"/>
          <w:szCs w:val="28"/>
        </w:rPr>
      </w:pPr>
    </w:p>
    <w:p w14:paraId="2503A7B4">
      <w:pPr>
        <w:pStyle w:val="14"/>
        <w:spacing w:line="500" w:lineRule="exact"/>
        <w:jc w:val="both"/>
        <w:rPr>
          <w:b/>
          <w:sz w:val="36"/>
          <w:szCs w:val="28"/>
        </w:rPr>
      </w:pPr>
    </w:p>
    <w:p w14:paraId="782D807C">
      <w:pPr>
        <w:pStyle w:val="14"/>
        <w:spacing w:line="500" w:lineRule="exact"/>
        <w:jc w:val="center"/>
        <w:rPr>
          <w:b/>
          <w:sz w:val="36"/>
          <w:szCs w:val="28"/>
        </w:rPr>
      </w:pPr>
      <w:r>
        <w:rPr>
          <w:rFonts w:hint="eastAsia"/>
          <w:b/>
          <w:sz w:val="36"/>
          <w:szCs w:val="28"/>
        </w:rPr>
        <w:t>目录</w:t>
      </w:r>
    </w:p>
    <w:p w14:paraId="0F39883C">
      <w:pPr>
        <w:pStyle w:val="14"/>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怀化日报社</w:t>
      </w:r>
      <w:r>
        <w:rPr>
          <w:rFonts w:hint="eastAsia" w:ascii="黑体" w:hAnsi="黑体" w:eastAsia="黑体" w:cs="黑体"/>
          <w:b w:val="0"/>
          <w:bCs/>
          <w:sz w:val="28"/>
          <w:szCs w:val="28"/>
        </w:rPr>
        <w:t>概况</w:t>
      </w:r>
    </w:p>
    <w:p w14:paraId="0651ECA4">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1E2ADDA">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53654E9">
      <w:pPr>
        <w:pStyle w:val="14"/>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2D23BA8D">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78126193">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E9FF5C5">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C21B88B">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54F647B">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601E5E20">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F0EDDC8">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F43605E">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72ADF255">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84B9E97">
      <w:pPr>
        <w:pStyle w:val="14"/>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52ED2F36">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4602117">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0336B3C4">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EE206B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4C547FC">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4CAB49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60F5B86">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0E72C84A">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A97D023">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九、国有资本经营预算财政拨款收入支出决算情况说明</w:t>
      </w:r>
    </w:p>
    <w:p w14:paraId="22BE3677">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00E8C23D">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0EEAD6F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54790B0F">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14:paraId="4AEDFE28">
      <w:pPr>
        <w:pStyle w:val="14"/>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14:paraId="1CCD62E4">
      <w:pPr>
        <w:pStyle w:val="14"/>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FB08757">
      <w:pPr>
        <w:pStyle w:val="14"/>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3805E0D5">
      <w:pPr>
        <w:pStyle w:val="14"/>
        <w:spacing w:line="500" w:lineRule="exact"/>
        <w:rPr>
          <w:rFonts w:hint="eastAsia" w:ascii="黑体" w:hAnsi="黑体" w:eastAsia="黑体" w:cs="黑体"/>
          <w:b w:val="0"/>
          <w:bCs/>
          <w:sz w:val="28"/>
          <w:szCs w:val="28"/>
          <w:lang w:eastAsia="zh-CN"/>
        </w:rPr>
      </w:pPr>
    </w:p>
    <w:p w14:paraId="5A551119">
      <w:pPr>
        <w:jc w:val="center"/>
        <w:rPr>
          <w:sz w:val="72"/>
          <w:szCs w:val="72"/>
        </w:rPr>
      </w:pPr>
    </w:p>
    <w:p w14:paraId="42E48353">
      <w:pPr>
        <w:jc w:val="both"/>
        <w:rPr>
          <w:sz w:val="72"/>
          <w:szCs w:val="72"/>
        </w:rPr>
      </w:pPr>
    </w:p>
    <w:p w14:paraId="3C840D91">
      <w:pPr>
        <w:jc w:val="both"/>
        <w:rPr>
          <w:sz w:val="72"/>
          <w:szCs w:val="72"/>
        </w:rPr>
      </w:pPr>
    </w:p>
    <w:p w14:paraId="22B219CA">
      <w:pPr>
        <w:jc w:val="both"/>
        <w:rPr>
          <w:sz w:val="72"/>
          <w:szCs w:val="72"/>
        </w:rPr>
      </w:pPr>
    </w:p>
    <w:p w14:paraId="4CA9AE51">
      <w:pPr>
        <w:rPr>
          <w:rFonts w:hint="eastAsia" w:ascii="方正小标宋_GBK" w:hAnsi="方正小标宋_GBK" w:eastAsia="方正小标宋_GBK" w:cs="方正小标宋_GBK"/>
          <w:sz w:val="96"/>
          <w:szCs w:val="96"/>
        </w:rPr>
      </w:pPr>
    </w:p>
    <w:p w14:paraId="24B96E89">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 xml:space="preserve">第一部分 </w:t>
      </w:r>
    </w:p>
    <w:p w14:paraId="3E1F05ED">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lang w:eastAsia="zh-CN"/>
        </w:rPr>
        <w:t>怀化日报社</w:t>
      </w:r>
      <w:r>
        <w:rPr>
          <w:rFonts w:hint="eastAsia" w:ascii="方正小标宋_GBK" w:hAnsi="方正小标宋_GBK" w:eastAsia="方正小标宋_GBK" w:cs="方正小标宋_GBK"/>
          <w:sz w:val="72"/>
          <w:szCs w:val="72"/>
        </w:rPr>
        <w:t>概况</w:t>
      </w:r>
    </w:p>
    <w:p w14:paraId="658735A1">
      <w:pPr>
        <w:jc w:val="center"/>
        <w:rPr>
          <w:rFonts w:hint="eastAsia" w:ascii="方正小标宋_GBK" w:hAnsi="方正小标宋_GBK" w:eastAsia="方正小标宋_GBK" w:cs="方正小标宋_GBK"/>
          <w:sz w:val="72"/>
          <w:szCs w:val="72"/>
        </w:rPr>
      </w:pPr>
    </w:p>
    <w:p w14:paraId="559E02B6">
      <w:pPr>
        <w:jc w:val="center"/>
        <w:rPr>
          <w:rFonts w:hint="eastAsia" w:ascii="方正小标宋_GBK" w:hAnsi="方正小标宋_GBK" w:eastAsia="方正小标宋_GBK" w:cs="方正小标宋_GBK"/>
          <w:sz w:val="72"/>
          <w:szCs w:val="72"/>
        </w:rPr>
      </w:pPr>
    </w:p>
    <w:p w14:paraId="0E34A44B">
      <w:pPr>
        <w:jc w:val="center"/>
        <w:rPr>
          <w:rFonts w:hint="eastAsia" w:ascii="方正小标宋_GBK" w:hAnsi="方正小标宋_GBK" w:eastAsia="方正小标宋_GBK" w:cs="方正小标宋_GBK"/>
          <w:sz w:val="72"/>
          <w:szCs w:val="72"/>
        </w:rPr>
      </w:pPr>
    </w:p>
    <w:p w14:paraId="2095D80A">
      <w:pPr>
        <w:jc w:val="center"/>
        <w:rPr>
          <w:sz w:val="72"/>
          <w:szCs w:val="72"/>
        </w:rPr>
      </w:pPr>
    </w:p>
    <w:p w14:paraId="5F9B8663">
      <w:pPr>
        <w:jc w:val="center"/>
        <w:rPr>
          <w:sz w:val="72"/>
          <w:szCs w:val="72"/>
        </w:rPr>
      </w:pPr>
    </w:p>
    <w:p w14:paraId="7C512D33">
      <w:pPr>
        <w:jc w:val="both"/>
        <w:rPr>
          <w:rFonts w:hint="eastAsia" w:eastAsiaTheme="minorEastAsia"/>
          <w:sz w:val="72"/>
          <w:szCs w:val="72"/>
          <w:lang w:eastAsia="zh-CN"/>
        </w:rPr>
      </w:pPr>
    </w:p>
    <w:p w14:paraId="15783614">
      <w:pPr>
        <w:jc w:val="both"/>
        <w:rPr>
          <w:rFonts w:hint="eastAsia" w:eastAsiaTheme="minorEastAsia"/>
          <w:sz w:val="32"/>
          <w:szCs w:val="32"/>
          <w:lang w:eastAsia="zh-CN"/>
        </w:rPr>
      </w:pPr>
    </w:p>
    <w:p w14:paraId="6D9D3E7D">
      <w:pPr>
        <w:pStyle w:val="15"/>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6DBD808">
      <w:pPr>
        <w:widowControl/>
        <w:numPr>
          <w:ilvl w:val="0"/>
          <w:numId w:val="2"/>
        </w:numPr>
        <w:spacing w:line="600" w:lineRule="exact"/>
        <w:ind w:left="-10" w:leftChars="0" w:firstLine="640" w:firstLineChars="0"/>
        <w:rPr>
          <w:rFonts w:hint="eastAsia" w:ascii="仿宋" w:hAnsi="仿宋" w:eastAsia="仿宋" w:cs="仿宋"/>
          <w:bCs/>
          <w:color w:val="auto"/>
          <w:kern w:val="0"/>
          <w:sz w:val="32"/>
          <w:szCs w:val="32"/>
          <w:lang w:eastAsia="zh-CN"/>
        </w:rPr>
      </w:pPr>
      <w:r>
        <w:rPr>
          <w:rFonts w:hint="eastAsia" w:ascii="仿宋" w:hAnsi="仿宋" w:eastAsia="仿宋" w:cs="仿宋"/>
          <w:bCs/>
          <w:color w:val="auto"/>
          <w:kern w:val="0"/>
          <w:sz w:val="32"/>
          <w:szCs w:val="32"/>
        </w:rPr>
        <w:t>传播湖南省怀化市新闻和其他信息，促进地方社会经济文化发展</w:t>
      </w:r>
      <w:r>
        <w:rPr>
          <w:rFonts w:hint="eastAsia" w:ascii="仿宋" w:hAnsi="仿宋" w:eastAsia="仿宋" w:cs="仿宋"/>
          <w:bCs/>
          <w:color w:val="auto"/>
          <w:kern w:val="0"/>
          <w:sz w:val="32"/>
          <w:szCs w:val="32"/>
          <w:lang w:eastAsia="zh-CN"/>
        </w:rPr>
        <w:t>。</w:t>
      </w:r>
    </w:p>
    <w:p w14:paraId="6D8882C6">
      <w:pPr>
        <w:widowControl/>
        <w:numPr>
          <w:ilvl w:val="0"/>
          <w:numId w:val="2"/>
        </w:numPr>
        <w:spacing w:line="600" w:lineRule="exact"/>
        <w:ind w:left="-10" w:leftChars="0" w:firstLine="640" w:firstLineChars="0"/>
        <w:rPr>
          <w:rFonts w:hint="eastAsia" w:ascii="仿宋" w:hAnsi="仿宋" w:eastAsia="仿宋" w:cs="仿宋"/>
          <w:bCs/>
          <w:color w:val="auto"/>
          <w:kern w:val="0"/>
          <w:sz w:val="32"/>
          <w:szCs w:val="32"/>
        </w:rPr>
      </w:pPr>
      <w:r>
        <w:rPr>
          <w:rFonts w:hint="eastAsia" w:ascii="仿宋" w:hAnsi="仿宋" w:eastAsia="仿宋" w:cs="仿宋"/>
          <w:bCs/>
          <w:color w:val="auto"/>
          <w:kern w:val="0"/>
          <w:sz w:val="32"/>
          <w:szCs w:val="32"/>
        </w:rPr>
        <w:t>主报出版、本报发行、广告、新闻研究、新闻培训、印刷、制版、装订、新闻业务交流及相关社会服务。</w:t>
      </w:r>
    </w:p>
    <w:p w14:paraId="7BB95493">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AE1E736">
      <w:pPr>
        <w:widowControl/>
        <w:spacing w:line="600" w:lineRule="exact"/>
        <w:ind w:firstLine="640" w:firstLineChars="200"/>
        <w:rPr>
          <w:rFonts w:hint="eastAsia" w:ascii="仿宋" w:hAnsi="仿宋" w:eastAsia="仿宋" w:cs="仿宋"/>
          <w:bCs/>
          <w:kern w:val="0"/>
          <w:sz w:val="32"/>
          <w:szCs w:val="32"/>
          <w:lang w:val="en-US" w:eastAsia="zh-CN" w:bidi="ar"/>
        </w:rPr>
      </w:pPr>
      <w:r>
        <w:rPr>
          <w:rFonts w:hint="eastAsia" w:ascii="仿宋" w:hAnsi="仿宋" w:eastAsia="仿宋" w:cs="仿宋"/>
          <w:bCs/>
          <w:kern w:val="0"/>
          <w:sz w:val="32"/>
          <w:szCs w:val="32"/>
        </w:rPr>
        <w:t>（一）内设机构设置。</w:t>
      </w:r>
      <w:r>
        <w:rPr>
          <w:rFonts w:hint="eastAsia" w:ascii="仿宋" w:hAnsi="仿宋" w:eastAsia="仿宋" w:cs="仿宋"/>
          <w:bCs/>
          <w:kern w:val="0"/>
          <w:sz w:val="32"/>
          <w:szCs w:val="32"/>
          <w:lang w:eastAsia="zh-CN"/>
        </w:rPr>
        <w:t>怀化日报社</w:t>
      </w:r>
      <w:r>
        <w:rPr>
          <w:rFonts w:hint="eastAsia" w:ascii="仿宋" w:hAnsi="仿宋" w:eastAsia="仿宋" w:cs="仿宋"/>
          <w:bCs/>
          <w:kern w:val="0"/>
          <w:sz w:val="32"/>
          <w:szCs w:val="32"/>
        </w:rPr>
        <w:t>内设机构</w:t>
      </w:r>
      <w:r>
        <w:rPr>
          <w:rFonts w:hint="eastAsia" w:ascii="仿宋" w:hAnsi="仿宋" w:eastAsia="仿宋" w:cs="仿宋"/>
          <w:bCs/>
          <w:kern w:val="0"/>
          <w:sz w:val="32"/>
          <w:szCs w:val="32"/>
          <w:lang w:eastAsia="zh-CN"/>
        </w:rPr>
        <w:t>包括：办公室、党群工作部、人力资源部、财务部、总编室、纸媒编辑部、怀化新闻网编辑部、掌上怀化编辑部、创意产品部、时政要闻部、理论评论部、综合新闻部、视觉新闻部、专刊策划部、广告经营部、营销拓展部、印刷出版部、技术运营部。</w:t>
      </w:r>
    </w:p>
    <w:p w14:paraId="2004020A">
      <w:pPr>
        <w:widowControl/>
        <w:spacing w:line="600" w:lineRule="exact"/>
        <w:ind w:firstLine="640" w:firstLineChars="200"/>
        <w:rPr>
          <w:rFonts w:hint="eastAsia" w:ascii="Times New Roman" w:hAnsi="Times New Roman" w:eastAsia="仿宋_GB2312" w:cs="仿宋_GB2312"/>
          <w:bCs/>
          <w:kern w:val="0"/>
          <w:sz w:val="32"/>
          <w:szCs w:val="32"/>
          <w:lang w:val="en-US" w:eastAsia="zh-CN"/>
        </w:rPr>
      </w:pPr>
      <w:r>
        <w:rPr>
          <w:rFonts w:hint="eastAsia" w:ascii="仿宋" w:hAnsi="仿宋" w:eastAsia="仿宋" w:cs="仿宋"/>
          <w:bCs/>
          <w:kern w:val="0"/>
          <w:sz w:val="32"/>
          <w:szCs w:val="32"/>
        </w:rPr>
        <w:t>（二）决算单位构成。</w:t>
      </w:r>
      <w:r>
        <w:rPr>
          <w:rFonts w:hint="eastAsia" w:ascii="Times New Roman" w:hAnsi="Times New Roman" w:eastAsia="仿宋_GB2312" w:cs="仿宋_GB2312"/>
          <w:bCs/>
          <w:kern w:val="0"/>
          <w:sz w:val="32"/>
          <w:szCs w:val="32"/>
          <w:lang w:eastAsia="zh-CN"/>
        </w:rPr>
        <w:t>怀化日报社</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怀化日报社</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0AD94B30">
      <w:pPr>
        <w:ind w:firstLine="560" w:firstLineChars="200"/>
        <w:jc w:val="left"/>
        <w:rPr>
          <w:rFonts w:hint="eastAsia" w:ascii="仿宋" w:hAnsi="仿宋" w:eastAsia="仿宋" w:cs="仿宋"/>
          <w:sz w:val="28"/>
          <w:szCs w:val="28"/>
          <w:lang w:eastAsia="zh-CN"/>
        </w:rPr>
      </w:pPr>
    </w:p>
    <w:p w14:paraId="7C22EA58">
      <w:pPr>
        <w:jc w:val="center"/>
        <w:rPr>
          <w:rFonts w:ascii="黑体" w:hAnsi="黑体" w:eastAsia="黑体"/>
          <w:sz w:val="28"/>
          <w:szCs w:val="28"/>
        </w:rPr>
      </w:pPr>
    </w:p>
    <w:p w14:paraId="10B81836">
      <w:pPr>
        <w:jc w:val="center"/>
        <w:rPr>
          <w:rFonts w:ascii="黑体" w:hAnsi="黑体" w:eastAsia="黑体"/>
          <w:sz w:val="28"/>
          <w:szCs w:val="28"/>
        </w:rPr>
      </w:pPr>
    </w:p>
    <w:p w14:paraId="3F94A486">
      <w:pPr>
        <w:jc w:val="center"/>
        <w:rPr>
          <w:rFonts w:ascii="黑体" w:hAnsi="黑体" w:eastAsia="黑体"/>
          <w:sz w:val="28"/>
          <w:szCs w:val="28"/>
        </w:rPr>
      </w:pPr>
    </w:p>
    <w:p w14:paraId="25B9C3D5">
      <w:pPr>
        <w:jc w:val="center"/>
        <w:rPr>
          <w:rFonts w:ascii="黑体" w:hAnsi="黑体" w:eastAsia="黑体"/>
          <w:sz w:val="28"/>
          <w:szCs w:val="28"/>
        </w:rPr>
      </w:pPr>
    </w:p>
    <w:p w14:paraId="62A4FD6C">
      <w:pPr>
        <w:jc w:val="center"/>
        <w:rPr>
          <w:rFonts w:ascii="黑体" w:hAnsi="黑体" w:eastAsia="黑体"/>
          <w:sz w:val="28"/>
          <w:szCs w:val="28"/>
        </w:rPr>
      </w:pPr>
    </w:p>
    <w:p w14:paraId="6E1203CF">
      <w:pPr>
        <w:jc w:val="center"/>
        <w:rPr>
          <w:rFonts w:ascii="黑体" w:hAnsi="黑体" w:eastAsia="黑体"/>
          <w:sz w:val="28"/>
          <w:szCs w:val="28"/>
        </w:rPr>
      </w:pPr>
    </w:p>
    <w:p w14:paraId="0A7C821C">
      <w:pPr>
        <w:jc w:val="center"/>
        <w:rPr>
          <w:rFonts w:ascii="黑体" w:hAnsi="黑体" w:eastAsia="黑体"/>
          <w:sz w:val="28"/>
          <w:szCs w:val="28"/>
        </w:rPr>
      </w:pPr>
    </w:p>
    <w:p w14:paraId="2E0358A7">
      <w:pPr>
        <w:jc w:val="center"/>
        <w:rPr>
          <w:rFonts w:ascii="黑体" w:hAnsi="黑体" w:eastAsia="黑体"/>
          <w:sz w:val="28"/>
          <w:szCs w:val="28"/>
        </w:rPr>
      </w:pPr>
    </w:p>
    <w:p w14:paraId="30756824">
      <w:pPr>
        <w:jc w:val="center"/>
        <w:rPr>
          <w:rFonts w:ascii="黑体" w:hAnsi="黑体" w:eastAsia="黑体"/>
          <w:sz w:val="28"/>
          <w:szCs w:val="28"/>
        </w:rPr>
      </w:pPr>
    </w:p>
    <w:p w14:paraId="6B2C7765">
      <w:pPr>
        <w:jc w:val="center"/>
        <w:rPr>
          <w:rFonts w:ascii="黑体" w:hAnsi="黑体" w:eastAsia="黑体"/>
          <w:sz w:val="28"/>
          <w:szCs w:val="28"/>
        </w:rPr>
      </w:pPr>
    </w:p>
    <w:p w14:paraId="0A4B0201">
      <w:pPr>
        <w:jc w:val="center"/>
        <w:rPr>
          <w:rFonts w:ascii="黑体" w:hAnsi="黑体" w:eastAsia="黑体"/>
          <w:sz w:val="28"/>
          <w:szCs w:val="28"/>
        </w:rPr>
      </w:pPr>
    </w:p>
    <w:p w14:paraId="7D9F04B2">
      <w:pPr>
        <w:jc w:val="center"/>
        <w:rPr>
          <w:sz w:val="72"/>
          <w:szCs w:val="72"/>
        </w:rPr>
      </w:pPr>
    </w:p>
    <w:p w14:paraId="041F606D">
      <w:pPr>
        <w:jc w:val="center"/>
        <w:rPr>
          <w:sz w:val="72"/>
          <w:szCs w:val="72"/>
        </w:rPr>
      </w:pPr>
    </w:p>
    <w:p w14:paraId="6AD37880">
      <w:pPr>
        <w:jc w:val="center"/>
        <w:rPr>
          <w:sz w:val="72"/>
          <w:szCs w:val="72"/>
        </w:rPr>
      </w:pPr>
    </w:p>
    <w:p w14:paraId="65DE9EF9">
      <w:pPr>
        <w:jc w:val="center"/>
        <w:rPr>
          <w:sz w:val="72"/>
          <w:szCs w:val="72"/>
        </w:rPr>
      </w:pPr>
    </w:p>
    <w:p w14:paraId="2E3F09CF">
      <w:pPr>
        <w:pStyle w:val="14"/>
        <w:jc w:val="center"/>
        <w:rPr>
          <w:rFonts w:hint="eastAsia" w:ascii="方正小标宋_GBK" w:hAnsi="方正小标宋_GBK" w:eastAsia="方正小标宋_GBK" w:cs="方正小标宋_GBK"/>
          <w:sz w:val="84"/>
          <w:szCs w:val="84"/>
        </w:rPr>
      </w:pPr>
    </w:p>
    <w:p w14:paraId="771FC321">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769F9FD9">
      <w:pPr>
        <w:pStyle w:val="14"/>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175A9825">
      <w:pPr>
        <w:autoSpaceDE w:val="0"/>
        <w:autoSpaceDN w:val="0"/>
        <w:adjustRightInd w:val="0"/>
        <w:ind w:left="315" w:leftChars="150"/>
        <w:jc w:val="left"/>
        <w:rPr>
          <w:rFonts w:ascii="宋体" w:eastAsia="宋体" w:cs="宋体"/>
          <w:kern w:val="0"/>
          <w:sz w:val="24"/>
          <w:szCs w:val="24"/>
        </w:rPr>
      </w:pPr>
    </w:p>
    <w:p w14:paraId="1C4F4847">
      <w:pPr>
        <w:jc w:val="center"/>
        <w:rPr>
          <w:rFonts w:ascii="宋体" w:eastAsia="宋体" w:cs="宋体"/>
          <w:kern w:val="0"/>
          <w:sz w:val="24"/>
          <w:szCs w:val="24"/>
        </w:rPr>
      </w:pPr>
      <w:r>
        <w:rPr>
          <w:rFonts w:hint="eastAsia"/>
          <w:sz w:val="72"/>
          <w:szCs w:val="72"/>
          <w:lang w:eastAsia="zh-CN"/>
        </w:rPr>
        <w:t>见附件</w:t>
      </w:r>
      <w:bookmarkStart w:id="0" w:name="RANGE!A1:I22"/>
      <w:bookmarkEnd w:id="0"/>
    </w:p>
    <w:p w14:paraId="0A26E3F8">
      <w:pPr>
        <w:pStyle w:val="14"/>
        <w:rPr>
          <w:sz w:val="72"/>
          <w:szCs w:val="72"/>
        </w:rPr>
      </w:pPr>
    </w:p>
    <w:p w14:paraId="54598AA4">
      <w:pPr>
        <w:pStyle w:val="14"/>
        <w:rPr>
          <w:sz w:val="72"/>
          <w:szCs w:val="72"/>
        </w:rPr>
      </w:pPr>
    </w:p>
    <w:p w14:paraId="211BCACA">
      <w:pPr>
        <w:pStyle w:val="14"/>
        <w:rPr>
          <w:sz w:val="72"/>
          <w:szCs w:val="72"/>
        </w:rPr>
      </w:pPr>
    </w:p>
    <w:p w14:paraId="2EFCC903">
      <w:pPr>
        <w:pStyle w:val="14"/>
        <w:rPr>
          <w:sz w:val="72"/>
          <w:szCs w:val="72"/>
        </w:rPr>
      </w:pPr>
    </w:p>
    <w:p w14:paraId="4FC687CA">
      <w:pPr>
        <w:pStyle w:val="14"/>
        <w:rPr>
          <w:sz w:val="21"/>
          <w:szCs w:val="21"/>
        </w:rPr>
        <w:sectPr>
          <w:pgSz w:w="11906" w:h="16838"/>
          <w:pgMar w:top="720" w:right="720" w:bottom="720" w:left="720" w:header="851" w:footer="992" w:gutter="0"/>
          <w:cols w:space="425" w:num="1"/>
          <w:docGrid w:type="linesAndChars" w:linePitch="312" w:charSpace="0"/>
        </w:sectPr>
      </w:pPr>
    </w:p>
    <w:p w14:paraId="10BFFD1D">
      <w:pPr>
        <w:pStyle w:val="14"/>
        <w:rPr>
          <w:sz w:val="21"/>
          <w:szCs w:val="21"/>
        </w:rPr>
      </w:pPr>
    </w:p>
    <w:p w14:paraId="35C8FB4E">
      <w:pPr>
        <w:pStyle w:val="14"/>
        <w:rPr>
          <w:sz w:val="21"/>
          <w:szCs w:val="21"/>
        </w:rPr>
      </w:pPr>
    </w:p>
    <w:p w14:paraId="429B335E">
      <w:pPr>
        <w:pStyle w:val="14"/>
        <w:jc w:val="center"/>
        <w:rPr>
          <w:rFonts w:hint="eastAsia" w:ascii="方正小标宋_GBK" w:hAnsi="方正小标宋_GBK" w:eastAsia="方正小标宋_GBK" w:cs="方正小标宋_GBK"/>
          <w:sz w:val="72"/>
          <w:szCs w:val="72"/>
        </w:rPr>
      </w:pPr>
    </w:p>
    <w:p w14:paraId="434B4875">
      <w:pPr>
        <w:pStyle w:val="14"/>
        <w:jc w:val="center"/>
        <w:rPr>
          <w:rFonts w:hint="eastAsia" w:ascii="方正小标宋_GBK" w:hAnsi="方正小标宋_GBK" w:eastAsia="方正小标宋_GBK" w:cs="方正小标宋_GBK"/>
          <w:sz w:val="72"/>
          <w:szCs w:val="72"/>
        </w:rPr>
      </w:pPr>
    </w:p>
    <w:p w14:paraId="7DDF0E06">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6303165">
      <w:pPr>
        <w:pStyle w:val="14"/>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202</w:t>
      </w:r>
      <w:r>
        <w:rPr>
          <w:rFonts w:hint="eastAsia" w:ascii="方正小标宋_GBK" w:hAnsi="方正小标宋_GBK" w:eastAsia="方正小标宋_GBK" w:cs="方正小标宋_GBK"/>
          <w:sz w:val="72"/>
          <w:szCs w:val="72"/>
          <w:lang w:val="en-US" w:eastAsia="zh-CN"/>
        </w:rPr>
        <w:t>3</w:t>
      </w:r>
      <w:r>
        <w:rPr>
          <w:rFonts w:hint="eastAsia" w:ascii="方正小标宋_GBK" w:hAnsi="方正小标宋_GBK" w:eastAsia="方正小标宋_GBK" w:cs="方正小标宋_GBK"/>
          <w:sz w:val="72"/>
          <w:szCs w:val="72"/>
        </w:rPr>
        <w:t>年度部门决算情况说明</w:t>
      </w:r>
    </w:p>
    <w:p w14:paraId="4DA622E3">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394C036B">
      <w:pPr>
        <w:pStyle w:val="14"/>
        <w:keepNext w:val="0"/>
        <w:keepLines w:val="0"/>
        <w:pageBreakBefore w:val="0"/>
        <w:widowControl w:val="0"/>
        <w:numPr>
          <w:ilvl w:val="0"/>
          <w:numId w:val="3"/>
        </w:numPr>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收入支出决算总体情况说明</w:t>
      </w:r>
    </w:p>
    <w:p w14:paraId="1971E229">
      <w:pPr>
        <w:pStyle w:val="14"/>
        <w:keepNext w:val="0"/>
        <w:keepLines w:val="0"/>
        <w:pageBreakBefore w:val="0"/>
        <w:kinsoku/>
        <w:wordWrap/>
        <w:overflowPunct/>
        <w:topLinePunct w:val="0"/>
        <w:bidi w:val="0"/>
        <w:snapToGrid/>
        <w:spacing w:line="560" w:lineRule="exact"/>
        <w:ind w:firstLine="640" w:firstLineChars="200"/>
        <w:textAlignment w:val="auto"/>
        <w:rPr>
          <w:rFonts w:hint="eastAsia" w:ascii="仿宋" w:hAnsi="仿宋" w:eastAsia="仿宋" w:cs="仿宋"/>
          <w:color w:val="FF0000"/>
          <w:sz w:val="32"/>
          <w:szCs w:val="32"/>
          <w:highlight w:val="none"/>
          <w:lang w:val="en-US" w:eastAsia="zh-CN"/>
        </w:rPr>
      </w:pPr>
      <w:r>
        <w:rPr>
          <w:rFonts w:hint="eastAsia" w:ascii="仿宋" w:hAnsi="仿宋" w:eastAsia="仿宋" w:cs="仿宋"/>
          <w:color w:val="000000" w:themeColor="text1"/>
          <w:sz w:val="32"/>
          <w:szCs w:val="32"/>
          <w:highlight w:val="none"/>
          <w14:textFill>
            <w14:solidFill>
              <w14:schemeClr w14:val="tx1"/>
            </w14:solidFill>
          </w14:textFill>
        </w:rPr>
        <w:t>202</w:t>
      </w:r>
      <w:r>
        <w:rPr>
          <w:rFonts w:hint="eastAsia" w:ascii="仿宋" w:hAnsi="仿宋" w:eastAsia="仿宋" w:cs="仿宋"/>
          <w:color w:val="000000" w:themeColor="text1"/>
          <w:sz w:val="32"/>
          <w:szCs w:val="32"/>
          <w:highlight w:val="none"/>
          <w:lang w:val="en-US" w:eastAsia="zh-CN"/>
          <w14:textFill>
            <w14:solidFill>
              <w14:schemeClr w14:val="tx1"/>
            </w14:solidFill>
          </w14:textFill>
        </w:rPr>
        <w:t>3</w:t>
      </w:r>
      <w:r>
        <w:rPr>
          <w:rFonts w:hint="eastAsia" w:ascii="仿宋" w:hAnsi="仿宋" w:eastAsia="仿宋" w:cs="仿宋"/>
          <w:color w:val="000000" w:themeColor="text1"/>
          <w:sz w:val="32"/>
          <w:szCs w:val="32"/>
          <w:highlight w:val="none"/>
          <w14:textFill>
            <w14:solidFill>
              <w14:schemeClr w14:val="tx1"/>
            </w14:solidFill>
          </w14:textFill>
        </w:rPr>
        <w:t>年度收</w:t>
      </w:r>
      <w:r>
        <w:rPr>
          <w:rFonts w:hint="eastAsia" w:ascii="仿宋" w:hAnsi="仿宋" w:eastAsia="仿宋" w:cs="仿宋"/>
          <w:color w:val="000000" w:themeColor="text1"/>
          <w:sz w:val="32"/>
          <w:szCs w:val="32"/>
          <w:highlight w:val="none"/>
          <w:lang w:eastAsia="zh-CN"/>
          <w14:textFill>
            <w14:solidFill>
              <w14:schemeClr w14:val="tx1"/>
            </w14:solidFill>
          </w14:textFill>
        </w:rPr>
        <w:t>入</w:t>
      </w:r>
      <w:r>
        <w:rPr>
          <w:rFonts w:hint="eastAsia" w:ascii="仿宋" w:hAnsi="仿宋" w:eastAsia="仿宋" w:cs="仿宋"/>
          <w:color w:val="000000" w:themeColor="text1"/>
          <w:sz w:val="32"/>
          <w:szCs w:val="32"/>
          <w:highlight w:val="none"/>
          <w14:textFill>
            <w14:solidFill>
              <w14:schemeClr w14:val="tx1"/>
            </w14:solidFill>
          </w14:textFill>
        </w:rPr>
        <w:t>总计</w:t>
      </w:r>
      <w:r>
        <w:rPr>
          <w:rFonts w:hint="eastAsia" w:ascii="Times New Roman" w:hAnsi="Times New Roman" w:eastAsia="仿宋_GB2312"/>
          <w:sz w:val="32"/>
          <w:szCs w:val="32"/>
          <w:lang w:val="en-US" w:eastAsia="zh-CN"/>
        </w:rPr>
        <w:t>5578.52</w:t>
      </w:r>
      <w:r>
        <w:rPr>
          <w:rFonts w:hint="eastAsia" w:ascii="仿宋" w:hAnsi="仿宋" w:eastAsia="仿宋" w:cs="仿宋"/>
          <w:color w:val="000000" w:themeColor="text1"/>
          <w:sz w:val="32"/>
          <w:szCs w:val="32"/>
          <w:highlight w:val="none"/>
          <w14:textFill>
            <w14:solidFill>
              <w14:schemeClr w14:val="tx1"/>
            </w14:solidFill>
          </w14:textFill>
        </w:rPr>
        <w:t>万元。与上年相比，</w:t>
      </w:r>
      <w:r>
        <w:rPr>
          <w:rFonts w:hint="eastAsia" w:ascii="仿宋" w:hAnsi="仿宋" w:eastAsia="仿宋" w:cs="仿宋"/>
          <w:color w:val="000000" w:themeColor="text1"/>
          <w:sz w:val="32"/>
          <w:szCs w:val="32"/>
          <w:highlight w:val="none"/>
          <w:lang w:eastAsia="zh-CN"/>
          <w14:textFill>
            <w14:solidFill>
              <w14:schemeClr w14:val="tx1"/>
            </w14:solidFill>
          </w14:textFill>
        </w:rPr>
        <w:t>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819.99</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增长</w:t>
      </w:r>
      <w:r>
        <w:rPr>
          <w:rFonts w:hint="eastAsia" w:ascii="仿宋" w:hAnsi="仿宋" w:eastAsia="仿宋" w:cs="仿宋"/>
          <w:color w:val="000000" w:themeColor="text1"/>
          <w:sz w:val="32"/>
          <w:szCs w:val="32"/>
          <w:highlight w:val="none"/>
          <w:lang w:val="en-US" w:eastAsia="zh-CN"/>
          <w14:textFill>
            <w14:solidFill>
              <w14:schemeClr w14:val="tx1"/>
            </w14:solidFill>
          </w14:textFill>
        </w:rPr>
        <w:t xml:space="preserve"> 17.2</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auto"/>
          <w:sz w:val="32"/>
          <w:szCs w:val="32"/>
          <w:highlight w:val="none"/>
        </w:rPr>
        <w:t>主要是</w:t>
      </w:r>
      <w:r>
        <w:rPr>
          <w:rFonts w:hint="eastAsia" w:ascii="仿宋" w:hAnsi="仿宋" w:eastAsia="仿宋" w:cs="仿宋"/>
          <w:color w:val="auto"/>
          <w:sz w:val="32"/>
          <w:szCs w:val="32"/>
          <w:highlight w:val="none"/>
          <w:lang w:eastAsia="zh-CN"/>
        </w:rPr>
        <w:t>因为收回</w:t>
      </w:r>
      <w:r>
        <w:rPr>
          <w:rFonts w:hint="eastAsia" w:ascii="仿宋" w:hAnsi="仿宋" w:eastAsia="仿宋" w:cs="仿宋"/>
          <w:color w:val="auto"/>
          <w:sz w:val="32"/>
          <w:szCs w:val="32"/>
          <w:highlight w:val="none"/>
          <w:lang w:val="en-US" w:eastAsia="zh-CN"/>
        </w:rPr>
        <w:t>2022年度报刊发行款和宣传（广告）款</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14:paraId="2EC6E920">
      <w:pPr>
        <w:pStyle w:val="14"/>
        <w:keepNext w:val="0"/>
        <w:keepLines w:val="0"/>
        <w:pageBreakBefore w:val="0"/>
        <w:kinsoku/>
        <w:wordWrap/>
        <w:overflowPunct/>
        <w:topLinePunct w:val="0"/>
        <w:bidi w:val="0"/>
        <w:snapToGrid/>
        <w:spacing w:line="56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2023</w:t>
      </w:r>
      <w:r>
        <w:rPr>
          <w:rFonts w:hint="eastAsia" w:ascii="仿宋" w:hAnsi="仿宋" w:eastAsia="仿宋" w:cs="仿宋"/>
          <w:sz w:val="32"/>
          <w:szCs w:val="32"/>
          <w:highlight w:val="none"/>
        </w:rPr>
        <w:t>年度</w:t>
      </w:r>
      <w:r>
        <w:rPr>
          <w:rFonts w:hint="eastAsia" w:ascii="仿宋" w:hAnsi="仿宋" w:eastAsia="仿宋" w:cs="仿宋"/>
          <w:sz w:val="32"/>
          <w:szCs w:val="32"/>
          <w:highlight w:val="none"/>
          <w:lang w:eastAsia="zh-CN"/>
        </w:rPr>
        <w:t>支出</w:t>
      </w:r>
      <w:r>
        <w:rPr>
          <w:rFonts w:hint="eastAsia" w:ascii="仿宋" w:hAnsi="仿宋" w:eastAsia="仿宋" w:cs="仿宋"/>
          <w:sz w:val="32"/>
          <w:szCs w:val="32"/>
          <w:highlight w:val="none"/>
        </w:rPr>
        <w:t>总计</w:t>
      </w:r>
      <w:r>
        <w:rPr>
          <w:rFonts w:hint="eastAsia" w:ascii="Times New Roman" w:hAnsi="Times New Roman" w:eastAsia="仿宋_GB2312"/>
          <w:sz w:val="32"/>
          <w:szCs w:val="32"/>
          <w:lang w:val="en-US" w:eastAsia="zh-CN"/>
        </w:rPr>
        <w:t>5578.52</w:t>
      </w:r>
      <w:r>
        <w:rPr>
          <w:rFonts w:hint="eastAsia" w:ascii="仿宋" w:hAnsi="仿宋" w:eastAsia="仿宋" w:cs="仿宋"/>
          <w:sz w:val="32"/>
          <w:szCs w:val="32"/>
          <w:highlight w:val="none"/>
        </w:rPr>
        <w:t>万元。与上年相比，</w:t>
      </w:r>
      <w:r>
        <w:rPr>
          <w:rFonts w:hint="eastAsia" w:ascii="仿宋" w:hAnsi="仿宋" w:eastAsia="仿宋" w:cs="仿宋"/>
          <w:sz w:val="32"/>
          <w:szCs w:val="32"/>
          <w:highlight w:val="none"/>
          <w:lang w:eastAsia="zh-CN"/>
        </w:rPr>
        <w:t>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819.99</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eastAsia="zh-CN"/>
        </w:rPr>
        <w:t>增长</w:t>
      </w:r>
      <w:r>
        <w:rPr>
          <w:rFonts w:hint="eastAsia" w:ascii="仿宋" w:hAnsi="仿宋" w:eastAsia="仿宋" w:cs="仿宋"/>
          <w:sz w:val="32"/>
          <w:szCs w:val="32"/>
          <w:highlight w:val="none"/>
          <w:lang w:val="en-US" w:eastAsia="zh-CN"/>
        </w:rPr>
        <w:t xml:space="preserve"> </w:t>
      </w:r>
      <w:r>
        <w:rPr>
          <w:rFonts w:hint="eastAsia" w:ascii="仿宋" w:hAnsi="仿宋" w:eastAsia="仿宋" w:cs="仿宋"/>
          <w:color w:val="000000" w:themeColor="text1"/>
          <w:sz w:val="32"/>
          <w:szCs w:val="32"/>
          <w:highlight w:val="none"/>
          <w:lang w:val="en-US" w:eastAsia="zh-CN"/>
          <w14:textFill>
            <w14:solidFill>
              <w14:schemeClr w14:val="tx1"/>
            </w14:solidFill>
          </w14:textFill>
        </w:rPr>
        <w:t>17.2</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sz w:val="32"/>
          <w:szCs w:val="32"/>
          <w:highlight w:val="none"/>
        </w:rPr>
        <w:t>，主要是</w:t>
      </w:r>
      <w:r>
        <w:rPr>
          <w:rFonts w:hint="eastAsia" w:ascii="仿宋" w:hAnsi="仿宋" w:eastAsia="仿宋" w:cs="仿宋"/>
          <w:sz w:val="32"/>
          <w:szCs w:val="32"/>
          <w:highlight w:val="none"/>
          <w:lang w:val="en-US" w:eastAsia="zh-CN"/>
        </w:rPr>
        <w:t>2023年支出包括一部分二级机构的支出。</w:t>
      </w:r>
    </w:p>
    <w:p w14:paraId="056937FC">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6FBB0B6A">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5578.52</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771.08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13.82</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4807.44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86.18</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1E23A1AC">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D8FC236">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2023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5578.52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5537.02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99.26</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41.5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0.74</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0E22545">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6EECB6A6">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w:t>
      </w:r>
      <w:r>
        <w:rPr>
          <w:rFonts w:hint="eastAsia" w:ascii="Times New Roman" w:hAnsi="Times New Roman" w:eastAsia="仿宋_GB2312"/>
          <w:sz w:val="32"/>
          <w:szCs w:val="32"/>
          <w:lang w:eastAsia="zh-CN"/>
        </w:rPr>
        <w:t>入</w:t>
      </w:r>
      <w:r>
        <w:rPr>
          <w:rFonts w:hint="eastAsia" w:ascii="Times New Roman" w:hAnsi="Times New Roman" w:eastAsia="仿宋_GB2312"/>
          <w:sz w:val="32"/>
          <w:szCs w:val="32"/>
        </w:rPr>
        <w:t>总计</w:t>
      </w:r>
      <w:r>
        <w:rPr>
          <w:rFonts w:hint="eastAsia" w:ascii="Times New Roman" w:hAnsi="Times New Roman" w:eastAsia="仿宋_GB2312"/>
          <w:sz w:val="32"/>
          <w:szCs w:val="32"/>
          <w:lang w:val="en-US" w:eastAsia="zh-CN"/>
        </w:rPr>
        <w:t>771.08</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157.89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减少了人员经费</w:t>
      </w:r>
      <w:r>
        <w:rPr>
          <w:rFonts w:hint="eastAsia" w:ascii="Times New Roman" w:hAnsi="Times New Roman" w:eastAsia="仿宋_GB2312"/>
          <w:sz w:val="32"/>
          <w:szCs w:val="32"/>
        </w:rPr>
        <w:t>财政拨款金额</w:t>
      </w:r>
      <w:r>
        <w:rPr>
          <w:rFonts w:hint="eastAsia" w:ascii="Times New Roman" w:hAnsi="Times New Roman" w:eastAsia="仿宋_GB2312"/>
          <w:sz w:val="32"/>
          <w:szCs w:val="32"/>
          <w:lang w:eastAsia="zh-CN"/>
        </w:rPr>
        <w:t>。</w:t>
      </w:r>
    </w:p>
    <w:p w14:paraId="48B90DE9">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总计</w:t>
      </w:r>
      <w:r>
        <w:rPr>
          <w:rFonts w:hint="eastAsia" w:ascii="Times New Roman" w:hAnsi="Times New Roman" w:eastAsia="仿宋_GB2312"/>
          <w:sz w:val="32"/>
          <w:szCs w:val="32"/>
          <w:lang w:val="en-US" w:eastAsia="zh-CN"/>
        </w:rPr>
        <w:t>771.08</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157.89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减少了人员经费支出。</w:t>
      </w:r>
    </w:p>
    <w:p w14:paraId="019AF12D">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40056687">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10D2C6E6">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771.08</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13.82</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157.89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减少了人员经费</w:t>
      </w:r>
      <w:r>
        <w:rPr>
          <w:rFonts w:hint="eastAsia" w:ascii="Times New Roman" w:hAnsi="Times New Roman" w:eastAsia="仿宋_GB2312"/>
          <w:sz w:val="32"/>
          <w:szCs w:val="32"/>
        </w:rPr>
        <w:t>财政拨款金额</w:t>
      </w:r>
      <w:r>
        <w:rPr>
          <w:rFonts w:hint="eastAsia" w:ascii="Times New Roman" w:hAnsi="Times New Roman" w:eastAsia="仿宋_GB2312"/>
          <w:sz w:val="32"/>
          <w:szCs w:val="32"/>
          <w:lang w:eastAsia="zh-CN"/>
        </w:rPr>
        <w:t>。</w:t>
      </w:r>
    </w:p>
    <w:p w14:paraId="4522D377">
      <w:pPr>
        <w:pStyle w:val="14"/>
        <w:keepNext w:val="0"/>
        <w:keepLines w:val="0"/>
        <w:pageBreakBefore w:val="0"/>
        <w:widowControl w:val="0"/>
        <w:kinsoku/>
        <w:wordWrap/>
        <w:overflowPunct/>
        <w:topLinePunct w:val="0"/>
        <w:bidi w:val="0"/>
        <w:snapToGrid/>
        <w:spacing w:line="56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6D574E4F">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771.08</w:t>
      </w:r>
      <w:r>
        <w:rPr>
          <w:rFonts w:hint="eastAsia" w:ascii="Times New Roman" w:hAnsi="Times New Roman" w:eastAsia="仿宋_GB2312"/>
          <w:sz w:val="32"/>
          <w:szCs w:val="32"/>
        </w:rPr>
        <w:t>万元，主要用于以下方面：一般公共服务支出</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0.64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lang w:val="en-US" w:eastAsia="zh-CN"/>
        </w:rPr>
        <w:t>711.42万元，占92.26%；</w:t>
      </w:r>
      <w:r>
        <w:rPr>
          <w:rFonts w:hint="eastAsia" w:ascii="Times New Roman" w:hAnsi="Times New Roman" w:eastAsia="仿宋_GB2312"/>
          <w:sz w:val="32"/>
          <w:szCs w:val="32"/>
        </w:rPr>
        <w:t>社会保障和就业</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lang w:val="en-US" w:eastAsia="zh-CN"/>
        </w:rPr>
        <w:t>54.76万元，占7.1%。</w:t>
      </w:r>
    </w:p>
    <w:p w14:paraId="13B26C5A">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年度财政拨款支出年初预算数为</w:t>
      </w:r>
      <w:r>
        <w:rPr>
          <w:rFonts w:hint="eastAsia" w:ascii="Times New Roman" w:hAnsi="Times New Roman" w:eastAsia="仿宋_GB2312"/>
          <w:color w:val="auto"/>
          <w:sz w:val="32"/>
          <w:szCs w:val="32"/>
          <w:lang w:val="en-US" w:eastAsia="zh-CN"/>
        </w:rPr>
        <w:t>855.83</w:t>
      </w:r>
      <w:r>
        <w:rPr>
          <w:rFonts w:hint="eastAsia" w:ascii="Times New Roman" w:hAnsi="Times New Roman" w:eastAsia="仿宋_GB2312"/>
          <w:color w:val="auto"/>
          <w:sz w:val="32"/>
          <w:szCs w:val="32"/>
        </w:rPr>
        <w:t>万元，支出决算数为</w:t>
      </w:r>
      <w:r>
        <w:rPr>
          <w:rFonts w:hint="eastAsia" w:ascii="Times New Roman" w:hAnsi="Times New Roman" w:eastAsia="仿宋_GB2312"/>
          <w:color w:val="auto"/>
          <w:sz w:val="32"/>
          <w:szCs w:val="32"/>
          <w:lang w:val="en-US" w:eastAsia="zh-CN"/>
        </w:rPr>
        <w:t>771.08</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90.1</w:t>
      </w:r>
      <w:r>
        <w:rPr>
          <w:rFonts w:hint="eastAsia" w:ascii="Times New Roman" w:hAnsi="Times New Roman" w:eastAsia="仿宋_GB2312"/>
          <w:color w:val="auto"/>
          <w:sz w:val="32"/>
          <w:szCs w:val="32"/>
        </w:rPr>
        <w:t>%，其中：</w:t>
      </w:r>
    </w:p>
    <w:p w14:paraId="6629EB3A">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rPr>
        <w:t>1、</w:t>
      </w:r>
      <w:r>
        <w:rPr>
          <w:rFonts w:hint="eastAsia" w:ascii="仿宋" w:hAnsi="仿宋" w:eastAsia="仿宋" w:cs="仿宋"/>
          <w:color w:val="auto"/>
          <w:sz w:val="32"/>
          <w:szCs w:val="32"/>
          <w:highlight w:val="none"/>
          <w:lang w:eastAsia="zh-CN"/>
        </w:rPr>
        <w:t>文化旅游体育与传媒支出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新闻出版电影</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其他新闻出版电影支出</w:t>
      </w:r>
      <w:r>
        <w:rPr>
          <w:rFonts w:hint="eastAsia" w:ascii="仿宋" w:hAnsi="仿宋" w:eastAsia="仿宋" w:cs="仿宋"/>
          <w:color w:val="auto"/>
          <w:sz w:val="32"/>
          <w:szCs w:val="32"/>
          <w:highlight w:val="none"/>
        </w:rPr>
        <w:t>（项）。</w:t>
      </w:r>
    </w:p>
    <w:p w14:paraId="1ABF4F97">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772.70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693.42</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完成年初预算的</w:t>
      </w:r>
      <w:r>
        <w:rPr>
          <w:rFonts w:hint="eastAsia" w:ascii="仿宋" w:hAnsi="仿宋" w:eastAsia="仿宋" w:cs="仿宋"/>
          <w:color w:val="auto"/>
          <w:sz w:val="32"/>
          <w:szCs w:val="32"/>
          <w:lang w:val="en-US" w:eastAsia="zh-CN"/>
        </w:rPr>
        <w:t>89.74%</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决算数小于年初预算数的主要原因是：</w:t>
      </w:r>
      <w:r>
        <w:rPr>
          <w:rFonts w:hint="eastAsia" w:ascii="仿宋" w:hAnsi="仿宋" w:eastAsia="仿宋" w:cs="仿宋"/>
          <w:color w:val="auto"/>
          <w:sz w:val="32"/>
          <w:szCs w:val="32"/>
          <w:lang w:eastAsia="zh-CN"/>
        </w:rPr>
        <w:t>决算时对该项进行了拆分，部分预算数拆分成了行政事业单位养老支出和其他文化旅游体育与传媒支出。</w:t>
      </w:r>
    </w:p>
    <w:p w14:paraId="5FB2B682">
      <w:pPr>
        <w:pStyle w:val="14"/>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highlight w:val="none"/>
          <w:lang w:eastAsia="zh-CN"/>
        </w:rPr>
        <w:t>文化旅游体育与传媒支出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新闻出版电影</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其他行政事业单位养老支出</w:t>
      </w:r>
      <w:r>
        <w:rPr>
          <w:rFonts w:hint="eastAsia" w:ascii="仿宋" w:hAnsi="仿宋" w:eastAsia="仿宋" w:cs="仿宋"/>
          <w:color w:val="auto"/>
          <w:sz w:val="32"/>
          <w:szCs w:val="32"/>
          <w:highlight w:val="none"/>
        </w:rPr>
        <w:t>（项）。</w:t>
      </w:r>
    </w:p>
    <w:p w14:paraId="76A1C25C">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54.76</w:t>
      </w:r>
      <w:r>
        <w:rPr>
          <w:rFonts w:hint="eastAsia" w:ascii="仿宋" w:hAnsi="仿宋" w:eastAsia="仿宋" w:cs="仿宋"/>
          <w:color w:val="auto"/>
          <w:sz w:val="32"/>
          <w:szCs w:val="32"/>
        </w:rPr>
        <w:t>万元，决算数大于年初预算数的主要原因是：</w:t>
      </w:r>
      <w:r>
        <w:rPr>
          <w:rFonts w:hint="eastAsia" w:ascii="仿宋" w:hAnsi="仿宋" w:eastAsia="仿宋" w:cs="仿宋"/>
          <w:color w:val="auto"/>
          <w:sz w:val="32"/>
          <w:szCs w:val="32"/>
          <w:lang w:eastAsia="zh-CN"/>
        </w:rPr>
        <w:t>预算时该项支出已做进其他新闻出版电影支出</w:t>
      </w:r>
      <w:r>
        <w:rPr>
          <w:rFonts w:hint="eastAsia" w:ascii="仿宋" w:hAnsi="仿宋" w:eastAsia="仿宋" w:cs="仿宋"/>
          <w:color w:val="auto"/>
          <w:sz w:val="32"/>
          <w:szCs w:val="32"/>
          <w:highlight w:val="none"/>
          <w:lang w:eastAsia="zh-CN"/>
        </w:rPr>
        <w:t>。</w:t>
      </w:r>
    </w:p>
    <w:p w14:paraId="3E01FE09">
      <w:pPr>
        <w:pStyle w:val="14"/>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lang w:eastAsia="zh-CN"/>
        </w:rPr>
        <w:t>文化旅游体育与传媒支出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新闻出版电影</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其他文化旅游体育与传媒支出</w:t>
      </w:r>
      <w:r>
        <w:rPr>
          <w:rFonts w:hint="eastAsia" w:ascii="仿宋" w:hAnsi="仿宋" w:eastAsia="仿宋" w:cs="仿宋"/>
          <w:color w:val="auto"/>
          <w:sz w:val="32"/>
          <w:szCs w:val="32"/>
          <w:highlight w:val="none"/>
        </w:rPr>
        <w:t>（项）。</w:t>
      </w:r>
    </w:p>
    <w:p w14:paraId="5B0B30BF">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18</w:t>
      </w:r>
      <w:r>
        <w:rPr>
          <w:rFonts w:hint="eastAsia" w:ascii="仿宋" w:hAnsi="仿宋" w:eastAsia="仿宋" w:cs="仿宋"/>
          <w:color w:val="auto"/>
          <w:sz w:val="32"/>
          <w:szCs w:val="32"/>
        </w:rPr>
        <w:t>万元，决算数大于年初预算数的主要原因是：</w:t>
      </w:r>
      <w:r>
        <w:rPr>
          <w:rFonts w:hint="eastAsia" w:ascii="仿宋" w:hAnsi="仿宋" w:eastAsia="仿宋" w:cs="仿宋"/>
          <w:color w:val="auto"/>
          <w:sz w:val="32"/>
          <w:szCs w:val="32"/>
          <w:lang w:eastAsia="zh-CN"/>
        </w:rPr>
        <w:t>预算时该项支出已做进其他新闻出版电影支出</w:t>
      </w:r>
      <w:r>
        <w:rPr>
          <w:rFonts w:hint="eastAsia" w:ascii="仿宋" w:hAnsi="仿宋" w:eastAsia="仿宋" w:cs="仿宋"/>
          <w:color w:val="auto"/>
          <w:sz w:val="32"/>
          <w:szCs w:val="32"/>
          <w:highlight w:val="none"/>
          <w:lang w:eastAsia="zh-CN"/>
        </w:rPr>
        <w:t>。</w:t>
      </w:r>
    </w:p>
    <w:p w14:paraId="5A38D7DE">
      <w:pPr>
        <w:pStyle w:val="14"/>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highlight w:val="none"/>
          <w:lang w:eastAsia="zh-CN"/>
        </w:rPr>
        <w:t>文化旅游体育与传媒支出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新闻出版电影</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人大会议</w:t>
      </w:r>
      <w:r>
        <w:rPr>
          <w:rFonts w:hint="eastAsia" w:ascii="仿宋" w:hAnsi="仿宋" w:eastAsia="仿宋" w:cs="仿宋"/>
          <w:color w:val="auto"/>
          <w:sz w:val="32"/>
          <w:szCs w:val="32"/>
          <w:highlight w:val="none"/>
        </w:rPr>
        <w:t>（项）。</w:t>
      </w:r>
    </w:p>
    <w:p w14:paraId="30BA1289">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增加了人大会议经费支出</w:t>
      </w:r>
    </w:p>
    <w:p w14:paraId="3719708D">
      <w:pPr>
        <w:pStyle w:val="14"/>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lang w:eastAsia="zh-CN"/>
        </w:rPr>
        <w:t>文化旅游体育与传媒支出</w:t>
      </w:r>
      <w:r>
        <w:rPr>
          <w:rFonts w:hint="eastAsia" w:ascii="仿宋" w:hAnsi="仿宋" w:eastAsia="仿宋" w:cs="仿宋"/>
          <w:color w:val="auto"/>
          <w:sz w:val="32"/>
          <w:szCs w:val="32"/>
          <w:highlight w:val="none"/>
        </w:rPr>
        <w:t>（类）</w:t>
      </w:r>
      <w:r>
        <w:rPr>
          <w:rFonts w:hint="eastAsia" w:ascii="仿宋" w:hAnsi="仿宋" w:eastAsia="仿宋" w:cs="仿宋"/>
          <w:color w:val="auto"/>
          <w:sz w:val="32"/>
          <w:szCs w:val="32"/>
          <w:highlight w:val="none"/>
          <w:lang w:eastAsia="zh-CN"/>
        </w:rPr>
        <w:t>新闻出版电影</w:t>
      </w:r>
      <w:r>
        <w:rPr>
          <w:rFonts w:hint="eastAsia" w:ascii="仿宋" w:hAnsi="仿宋" w:eastAsia="仿宋" w:cs="仿宋"/>
          <w:color w:val="auto"/>
          <w:sz w:val="32"/>
          <w:szCs w:val="32"/>
          <w:highlight w:val="none"/>
        </w:rPr>
        <w:t>（款）</w:t>
      </w:r>
      <w:r>
        <w:rPr>
          <w:rFonts w:hint="eastAsia" w:ascii="仿宋" w:hAnsi="仿宋" w:eastAsia="仿宋" w:cs="仿宋"/>
          <w:color w:val="auto"/>
          <w:sz w:val="32"/>
          <w:szCs w:val="32"/>
          <w:highlight w:val="none"/>
          <w:lang w:eastAsia="zh-CN"/>
        </w:rPr>
        <w:t>其他一般公共服务支出</w:t>
      </w:r>
      <w:r>
        <w:rPr>
          <w:rFonts w:hint="eastAsia" w:ascii="仿宋" w:hAnsi="仿宋" w:eastAsia="仿宋" w:cs="仿宋"/>
          <w:color w:val="auto"/>
          <w:sz w:val="32"/>
          <w:szCs w:val="32"/>
          <w:highlight w:val="none"/>
        </w:rPr>
        <w:t>（项）</w:t>
      </w:r>
      <w:r>
        <w:rPr>
          <w:rFonts w:hint="eastAsia" w:ascii="仿宋" w:hAnsi="仿宋" w:eastAsia="仿宋" w:cs="仿宋"/>
          <w:color w:val="auto"/>
          <w:sz w:val="32"/>
          <w:szCs w:val="32"/>
          <w:highlight w:val="none"/>
          <w:lang w:eastAsia="zh-CN"/>
        </w:rPr>
        <w:t>。</w:t>
      </w:r>
    </w:p>
    <w:p w14:paraId="179B977F">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年初预算为</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万元，支出决算为</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万元，决算数大于年初预算数的主要原因是：</w:t>
      </w:r>
      <w:r>
        <w:rPr>
          <w:rFonts w:hint="eastAsia" w:ascii="仿宋" w:hAnsi="仿宋" w:eastAsia="仿宋" w:cs="仿宋"/>
          <w:color w:val="auto"/>
          <w:sz w:val="32"/>
          <w:szCs w:val="32"/>
          <w:lang w:eastAsia="zh-CN"/>
        </w:rPr>
        <w:t>增加了外宣、舆情直报点等经费支出。</w:t>
      </w:r>
    </w:p>
    <w:p w14:paraId="110138F7">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1185A531">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729.58</w:t>
      </w:r>
      <w:r>
        <w:rPr>
          <w:rFonts w:hint="eastAsia" w:ascii="Times New Roman" w:hAnsi="Times New Roman" w:eastAsia="仿宋_GB2312"/>
          <w:sz w:val="32"/>
          <w:szCs w:val="32"/>
        </w:rPr>
        <w:t>万元，其中：</w:t>
      </w:r>
    </w:p>
    <w:p w14:paraId="190ECFF1">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sz w:val="32"/>
          <w:szCs w:val="32"/>
        </w:rPr>
        <w:t>人员经费</w:t>
      </w:r>
      <w:r>
        <w:rPr>
          <w:rFonts w:hint="eastAsia" w:ascii="Times New Roman" w:hAnsi="Times New Roman" w:eastAsia="仿宋_GB2312"/>
          <w:sz w:val="32"/>
          <w:szCs w:val="32"/>
          <w:lang w:val="en-US" w:eastAsia="zh-CN"/>
        </w:rPr>
        <w:t>729.58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%,主要包括基本工资、奖金、</w:t>
      </w:r>
      <w:r>
        <w:rPr>
          <w:rFonts w:hint="eastAsia" w:ascii="Times New Roman" w:hAnsi="Times New Roman" w:eastAsia="仿宋_GB2312"/>
          <w:sz w:val="32"/>
          <w:szCs w:val="32"/>
          <w:lang w:eastAsia="zh-CN"/>
        </w:rPr>
        <w:t>绩效工资、对个人和家庭补助、生活补助。</w:t>
      </w:r>
    </w:p>
    <w:p w14:paraId="20640637">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621E1E90">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4C43E0C6">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4CA3ADB0">
      <w:pPr>
        <w:pStyle w:val="14"/>
        <w:keepNext w:val="0"/>
        <w:keepLines w:val="0"/>
        <w:pageBreakBefore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本年无因公出国（境）费支出。</w:t>
      </w:r>
    </w:p>
    <w:p w14:paraId="63736631">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等于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eastAsia="zh-CN"/>
        </w:rPr>
        <w:t>本年度公务接待费在经营支出列支</w:t>
      </w:r>
      <w:r>
        <w:rPr>
          <w:rFonts w:hint="eastAsia" w:ascii="Times New Roman" w:hAnsi="Times New Roman" w:eastAsia="仿宋_GB2312"/>
          <w:sz w:val="32"/>
          <w:szCs w:val="32"/>
          <w:highlight w:val="none"/>
        </w:rPr>
        <w:t>，与上年</w:t>
      </w:r>
      <w:r>
        <w:rPr>
          <w:rFonts w:hint="eastAsia" w:ascii="Times New Roman" w:hAnsi="Times New Roman" w:eastAsia="仿宋_GB2312"/>
          <w:sz w:val="32"/>
          <w:szCs w:val="32"/>
          <w:highlight w:val="none"/>
          <w:lang w:eastAsia="zh-CN"/>
        </w:rPr>
        <w:t>持</w:t>
      </w:r>
      <w:r>
        <w:rPr>
          <w:rFonts w:hint="eastAsia" w:ascii="Times New Roman" w:hAnsi="Times New Roman" w:eastAsia="仿宋_GB2312"/>
          <w:sz w:val="32"/>
          <w:szCs w:val="32"/>
          <w:lang w:eastAsia="zh-CN"/>
        </w:rPr>
        <w:t>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本年度公务接待费在经营支出列支</w:t>
      </w:r>
      <w:r>
        <w:rPr>
          <w:rFonts w:hint="eastAsia" w:ascii="Times New Roman" w:hAnsi="Times New Roman" w:eastAsia="仿宋_GB2312"/>
          <w:sz w:val="32"/>
          <w:szCs w:val="32"/>
        </w:rPr>
        <w:t>。</w:t>
      </w:r>
    </w:p>
    <w:p w14:paraId="0A6A215C">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决</w:t>
      </w:r>
      <w:r>
        <w:rPr>
          <w:rFonts w:hint="eastAsia" w:ascii="Times New Roman" w:hAnsi="Times New Roman" w:eastAsia="仿宋_GB2312"/>
          <w:sz w:val="32"/>
          <w:szCs w:val="32"/>
          <w:highlight w:val="none"/>
        </w:rPr>
        <w:t>算数</w:t>
      </w:r>
      <w:r>
        <w:rPr>
          <w:rFonts w:hint="eastAsia" w:ascii="Times New Roman" w:hAnsi="Times New Roman" w:eastAsia="仿宋_GB2312"/>
          <w:sz w:val="32"/>
          <w:szCs w:val="32"/>
          <w:highlight w:val="none"/>
          <w:lang w:eastAsia="zh-CN"/>
        </w:rPr>
        <w:t>等于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eastAsia="zh-CN"/>
        </w:rPr>
        <w:t>本年度公务用车购置费在经营支出列支</w:t>
      </w:r>
      <w:r>
        <w:rPr>
          <w:rFonts w:hint="eastAsia" w:ascii="Times New Roman" w:hAnsi="Times New Roman" w:eastAsia="仿宋_GB2312"/>
          <w:sz w:val="32"/>
          <w:szCs w:val="32"/>
          <w:highlight w:val="none"/>
        </w:rPr>
        <w:t>，与上年</w:t>
      </w:r>
      <w:r>
        <w:rPr>
          <w:rFonts w:hint="eastAsia" w:ascii="Times New Roman" w:hAnsi="Times New Roman" w:eastAsia="仿宋_GB2312"/>
          <w:sz w:val="32"/>
          <w:szCs w:val="32"/>
          <w:highlight w:val="none"/>
          <w:lang w:eastAsia="zh-CN"/>
        </w:rPr>
        <w:t>持</w:t>
      </w:r>
      <w:r>
        <w:rPr>
          <w:rFonts w:hint="eastAsia" w:ascii="Times New Roman" w:hAnsi="Times New Roman" w:eastAsia="仿宋_GB2312"/>
          <w:sz w:val="32"/>
          <w:szCs w:val="32"/>
          <w:lang w:eastAsia="zh-CN"/>
        </w:rPr>
        <w:t>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本年度</w:t>
      </w:r>
      <w:r>
        <w:rPr>
          <w:rFonts w:hint="eastAsia" w:ascii="Times New Roman" w:hAnsi="Times New Roman" w:eastAsia="仿宋_GB2312"/>
          <w:sz w:val="32"/>
          <w:szCs w:val="32"/>
          <w:highlight w:val="none"/>
          <w:lang w:eastAsia="zh-CN"/>
        </w:rPr>
        <w:t>公务用车购置费</w:t>
      </w:r>
      <w:r>
        <w:rPr>
          <w:rFonts w:hint="eastAsia" w:ascii="Times New Roman" w:hAnsi="Times New Roman" w:eastAsia="仿宋_GB2312"/>
          <w:sz w:val="32"/>
          <w:szCs w:val="32"/>
          <w:lang w:eastAsia="zh-CN"/>
        </w:rPr>
        <w:t>在经营支出列支</w:t>
      </w:r>
      <w:r>
        <w:rPr>
          <w:rFonts w:hint="eastAsia" w:ascii="Times New Roman" w:hAnsi="Times New Roman" w:eastAsia="仿宋_GB2312"/>
          <w:sz w:val="32"/>
          <w:szCs w:val="32"/>
        </w:rPr>
        <w:t>。</w:t>
      </w:r>
    </w:p>
    <w:p w14:paraId="2DE1FA8F">
      <w:pPr>
        <w:pStyle w:val="14"/>
        <w:keepNext w:val="0"/>
        <w:keepLines w:val="0"/>
        <w:pageBreakBefore w:val="0"/>
        <w:widowControl w:val="0"/>
        <w:kinsoku/>
        <w:wordWrap/>
        <w:overflowPunct/>
        <w:topLinePunct w:val="0"/>
        <w:bidi w:val="0"/>
        <w:snapToGrid/>
        <w:spacing w:line="56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等于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eastAsia="zh-CN"/>
        </w:rPr>
        <w:t>本年度公务用车运行维护费在经营支出列支</w:t>
      </w:r>
      <w:r>
        <w:rPr>
          <w:rFonts w:hint="eastAsia" w:ascii="Times New Roman" w:hAnsi="Times New Roman" w:eastAsia="仿宋_GB2312"/>
          <w:sz w:val="32"/>
          <w:szCs w:val="32"/>
          <w:highlight w:val="none"/>
        </w:rPr>
        <w:t>，与上年</w:t>
      </w:r>
      <w:r>
        <w:rPr>
          <w:rFonts w:hint="eastAsia" w:ascii="Times New Roman" w:hAnsi="Times New Roman" w:eastAsia="仿宋_GB2312"/>
          <w:sz w:val="32"/>
          <w:szCs w:val="32"/>
          <w:highlight w:val="none"/>
          <w:lang w:eastAsia="zh-CN"/>
        </w:rPr>
        <w:t>持平</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本年度公务用车运行维护费</w:t>
      </w:r>
      <w:r>
        <w:rPr>
          <w:rFonts w:hint="eastAsia" w:ascii="Times New Roman" w:hAnsi="Times New Roman" w:eastAsia="仿宋_GB2312"/>
          <w:sz w:val="32"/>
          <w:szCs w:val="32"/>
          <w:lang w:eastAsia="zh-CN"/>
        </w:rPr>
        <w:t>在经营支出列支</w:t>
      </w:r>
      <w:r>
        <w:rPr>
          <w:rFonts w:hint="eastAsia" w:ascii="Times New Roman" w:hAnsi="Times New Roman" w:eastAsia="仿宋_GB2312"/>
          <w:sz w:val="32"/>
          <w:szCs w:val="32"/>
        </w:rPr>
        <w:t>。</w:t>
      </w:r>
    </w:p>
    <w:p w14:paraId="50676FAF">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2F582B39">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3ACAB911">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2BC43FCE">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4932D878">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公务用车购置费及运行维护费支出决算为0万元，其中：公务用车购置费0万元。公务用车运行维护费0万元，本年度公务接待费和公务用车购置费及运行维护费在经营支出列支。截止2023年12月31日，我单位开支财政拨款的公务用车保有量为0辆。</w:t>
      </w:r>
    </w:p>
    <w:p w14:paraId="69AE846D">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640CBBC">
      <w:pPr>
        <w:pStyle w:val="14"/>
        <w:keepNext w:val="0"/>
        <w:keepLines w:val="0"/>
        <w:pageBreakBefore w:val="0"/>
        <w:widowControl w:val="0"/>
        <w:kinsoku/>
        <w:wordWrap/>
        <w:overflowPunct/>
        <w:topLinePunct w:val="0"/>
        <w:bidi w:val="0"/>
        <w:snapToGrid/>
        <w:spacing w:line="560" w:lineRule="exact"/>
        <w:ind w:firstLine="64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2023年度本单位无政府性基金收入，无政府性基金支出。</w:t>
      </w:r>
    </w:p>
    <w:p w14:paraId="7B5FF3EF">
      <w:pPr>
        <w:pStyle w:val="14"/>
        <w:keepNext w:val="0"/>
        <w:keepLines w:val="0"/>
        <w:pageBreakBefore w:val="0"/>
        <w:widowControl w:val="0"/>
        <w:kinsoku/>
        <w:wordWrap/>
        <w:overflowPunct/>
        <w:topLinePunct w:val="0"/>
        <w:bidi w:val="0"/>
        <w:snapToGrid/>
        <w:spacing w:line="560" w:lineRule="exact"/>
        <w:ind w:firstLine="64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九、国有资本经营预算财政拨款</w:t>
      </w:r>
      <w:r>
        <w:rPr>
          <w:rFonts w:hint="eastAsia" w:hAnsi="黑体" w:cs="黑体"/>
          <w:b w:val="0"/>
          <w:bCs/>
          <w:sz w:val="32"/>
          <w:szCs w:val="32"/>
          <w:lang w:eastAsia="zh-CN"/>
        </w:rPr>
        <w:t>收入</w:t>
      </w:r>
      <w:r>
        <w:rPr>
          <w:rFonts w:hint="eastAsia" w:ascii="黑体" w:hAnsi="黑体" w:eastAsia="黑体" w:cs="黑体"/>
          <w:b w:val="0"/>
          <w:bCs/>
          <w:sz w:val="32"/>
          <w:szCs w:val="32"/>
          <w:lang w:eastAsia="zh-CN"/>
        </w:rPr>
        <w:t>支出决算情况说明</w:t>
      </w:r>
    </w:p>
    <w:p w14:paraId="6102149A">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2023年度本单位无国有资本经营预算财政拨款收入，无国有资本经营预算财政拨款支出。</w:t>
      </w:r>
    </w:p>
    <w:p w14:paraId="29820EBE">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十</w:t>
      </w:r>
      <w:r>
        <w:rPr>
          <w:rFonts w:hint="eastAsia" w:ascii="黑体" w:hAnsi="黑体" w:eastAsia="黑体" w:cs="黑体"/>
          <w:b w:val="0"/>
          <w:bCs/>
          <w:sz w:val="32"/>
          <w:szCs w:val="32"/>
        </w:rPr>
        <w:t>、关于机关运行经费支出说明</w:t>
      </w:r>
    </w:p>
    <w:p w14:paraId="77F5857F">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2023年度本单位无机关运行经费支出。</w:t>
      </w:r>
    </w:p>
    <w:p w14:paraId="2D3B2CEE">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23040420">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202.年度本单位无一般性支出</w:t>
      </w:r>
    </w:p>
    <w:p w14:paraId="74A21436">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746E7443">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AA9B47C">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14:paraId="03573AF1">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val="en-US" w:eastAsia="zh-CN"/>
        </w:rPr>
        <w:t>一般公务用车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台</w:t>
      </w:r>
      <w:r>
        <w:rPr>
          <w:rFonts w:hint="eastAsia" w:ascii="Times New Roman" w:hAnsi="Times New Roman" w:eastAsia="仿宋_GB2312"/>
          <w:sz w:val="32"/>
          <w:szCs w:val="32"/>
        </w:rPr>
        <w:t>（套）；单位价值100万元以上专用设备</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台</w:t>
      </w:r>
      <w:r>
        <w:rPr>
          <w:rFonts w:hint="eastAsia" w:ascii="Times New Roman" w:hAnsi="Times New Roman" w:eastAsia="仿宋_GB2312"/>
          <w:sz w:val="32"/>
          <w:szCs w:val="32"/>
        </w:rPr>
        <w:t>（套）。</w:t>
      </w:r>
    </w:p>
    <w:p w14:paraId="118E394A">
      <w:pPr>
        <w:pStyle w:val="14"/>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黑体" w:hAnsi="黑体" w:eastAsia="黑体" w:cs="黑体"/>
          <w:b w:val="0"/>
          <w:bCs/>
          <w:sz w:val="32"/>
          <w:szCs w:val="32"/>
        </w:rPr>
        <w:t>年度预算绩效情况的说明</w:t>
      </w:r>
    </w:p>
    <w:p w14:paraId="751881E7">
      <w:pPr>
        <w:pStyle w:val="4"/>
        <w:keepNext w:val="0"/>
        <w:keepLines w:val="0"/>
        <w:pageBreakBefore w:val="0"/>
        <w:numPr>
          <w:ilvl w:val="0"/>
          <w:numId w:val="0"/>
        </w:numPr>
        <w:kinsoku/>
        <w:wordWrap/>
        <w:overflowPunct/>
        <w:topLinePunct w:val="0"/>
        <w:bidi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年，报社以习近平新时代中国特色社会主义思想为指引，忠诚拥护“两个确立”，坚决做到“两个维护”，切实履行政治领导责任，紧紧围绕学习宣传贯彻党的二十大精神，</w:t>
      </w:r>
      <w:r>
        <w:rPr>
          <w:rFonts w:hint="eastAsia" w:ascii="仿宋" w:hAnsi="仿宋" w:eastAsia="仿宋" w:cs="仿宋"/>
          <w:sz w:val="32"/>
          <w:szCs w:val="32"/>
          <w:lang w:eastAsia="zh-CN"/>
        </w:rPr>
        <w:t>深入贯彻落实“五新四城”战略，聚焦年初制定的大学习、大宣传、大融合、大改革、大整顿、大提升“六大行动”，</w:t>
      </w:r>
      <w:r>
        <w:rPr>
          <w:rFonts w:hint="eastAsia" w:ascii="仿宋" w:hAnsi="仿宋" w:eastAsia="仿宋" w:cs="仿宋"/>
          <w:sz w:val="32"/>
          <w:szCs w:val="32"/>
        </w:rPr>
        <w:t>围绕中心服务大局，</w:t>
      </w:r>
      <w:r>
        <w:rPr>
          <w:rFonts w:hint="eastAsia" w:ascii="仿宋" w:hAnsi="仿宋" w:eastAsia="仿宋" w:cs="仿宋"/>
          <w:sz w:val="32"/>
          <w:szCs w:val="32"/>
          <w:lang w:eastAsia="zh-CN"/>
        </w:rPr>
        <w:t>推动自身改革发展，较好地完成了各项工作任务</w:t>
      </w:r>
      <w:r>
        <w:rPr>
          <w:rFonts w:hint="eastAsia" w:ascii="仿宋_GB2312" w:hAnsi="仿宋_GB2312" w:eastAsia="仿宋_GB2312" w:cs="仿宋_GB2312"/>
          <w:color w:val="auto"/>
          <w:sz w:val="32"/>
          <w:szCs w:val="32"/>
          <w:lang w:val="en-US" w:eastAsia="zh-CN"/>
        </w:rPr>
        <w:t>。</w:t>
      </w:r>
    </w:p>
    <w:p w14:paraId="220C0B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sz w:val="32"/>
          <w:szCs w:val="32"/>
          <w:lang w:val="en-US" w:eastAsia="zh-CN"/>
        </w:rPr>
      </w:pPr>
      <w:r>
        <w:rPr>
          <w:rFonts w:hint="eastAsia" w:ascii="楷体" w:hAnsi="楷体" w:eastAsia="楷体" w:cs="楷体"/>
          <w:b/>
          <w:bCs/>
          <w:sz w:val="32"/>
          <w:szCs w:val="32"/>
          <w:lang w:val="en-US" w:eastAsia="zh-CN"/>
        </w:rPr>
        <w:t>（一）</w:t>
      </w:r>
      <w:r>
        <w:rPr>
          <w:rFonts w:hint="eastAsia" w:ascii="楷体" w:hAnsi="楷体" w:eastAsia="楷体" w:cs="楷体"/>
          <w:b/>
          <w:bCs/>
          <w:w w:val="100"/>
          <w:sz w:val="32"/>
          <w:szCs w:val="32"/>
          <w:lang w:eastAsia="zh-CN"/>
        </w:rPr>
        <w:t>深入开展“大学习”，不断强化思想政治建设。</w:t>
      </w:r>
      <w:r>
        <w:rPr>
          <w:rFonts w:hint="eastAsia" w:ascii="仿宋" w:hAnsi="仿宋" w:eastAsia="仿宋" w:cs="仿宋"/>
          <w:w w:val="100"/>
          <w:sz w:val="32"/>
          <w:szCs w:val="32"/>
          <w:lang w:val="en-US" w:eastAsia="zh-CN"/>
        </w:rPr>
        <w:t>1、</w:t>
      </w:r>
      <w:r>
        <w:rPr>
          <w:rFonts w:hint="eastAsia" w:ascii="仿宋" w:hAnsi="仿宋" w:eastAsia="仿宋" w:cs="仿宋"/>
          <w:b/>
          <w:bCs/>
          <w:sz w:val="32"/>
          <w:szCs w:val="32"/>
          <w:lang w:val="en-US" w:eastAsia="zh-CN"/>
        </w:rPr>
        <w:t>严格落实“第一议题”制度</w:t>
      </w:r>
      <w:r>
        <w:rPr>
          <w:rFonts w:hint="eastAsia" w:ascii="楷体" w:hAnsi="楷体" w:eastAsia="楷体" w:cs="楷体"/>
          <w:b/>
          <w:bCs/>
          <w:sz w:val="32"/>
          <w:szCs w:val="32"/>
          <w:lang w:val="en-US" w:eastAsia="zh-CN"/>
        </w:rPr>
        <w:t>。</w:t>
      </w:r>
      <w:r>
        <w:rPr>
          <w:rFonts w:hint="eastAsia" w:ascii="仿宋" w:hAnsi="仿宋" w:eastAsia="仿宋" w:cs="仿宋"/>
          <w:color w:val="333333"/>
          <w:w w:val="98"/>
          <w:sz w:val="32"/>
          <w:szCs w:val="32"/>
          <w:shd w:val="clear" w:color="auto" w:fill="FFFFFF"/>
          <w:lang w:eastAsia="zh-CN"/>
        </w:rPr>
        <w:t>全年在</w:t>
      </w:r>
      <w:r>
        <w:rPr>
          <w:rFonts w:hint="eastAsia" w:ascii="仿宋" w:hAnsi="仿宋" w:eastAsia="仿宋" w:cs="仿宋"/>
          <w:color w:val="333333"/>
          <w:w w:val="98"/>
          <w:sz w:val="32"/>
          <w:szCs w:val="32"/>
          <w:shd w:val="clear" w:color="auto" w:fill="FFFFFF"/>
          <w:lang w:val="en-US" w:eastAsia="zh-CN"/>
        </w:rPr>
        <w:t>90余次各类会议上</w:t>
      </w:r>
      <w:r>
        <w:rPr>
          <w:rFonts w:hint="eastAsia" w:ascii="仿宋" w:hAnsi="仿宋" w:eastAsia="仿宋" w:cs="仿宋"/>
          <w:color w:val="333333"/>
          <w:w w:val="98"/>
          <w:sz w:val="32"/>
          <w:szCs w:val="32"/>
          <w:shd w:val="clear" w:color="auto" w:fill="FFFFFF"/>
          <w:lang w:eastAsia="zh-CN"/>
        </w:rPr>
        <w:t>进行</w:t>
      </w:r>
      <w:r>
        <w:rPr>
          <w:rFonts w:hint="eastAsia" w:ascii="仿宋" w:hAnsi="仿宋" w:eastAsia="仿宋" w:cs="仿宋"/>
          <w:color w:val="333333"/>
          <w:w w:val="98"/>
          <w:sz w:val="32"/>
          <w:szCs w:val="32"/>
          <w:shd w:val="clear" w:color="auto" w:fill="FFFFFF"/>
        </w:rPr>
        <w:t>“第一议题”学习</w:t>
      </w:r>
      <w:r>
        <w:rPr>
          <w:rFonts w:hint="eastAsia" w:ascii="仿宋" w:hAnsi="仿宋" w:eastAsia="仿宋" w:cs="仿宋"/>
          <w:color w:val="333333"/>
          <w:w w:val="98"/>
          <w:sz w:val="32"/>
          <w:szCs w:val="32"/>
          <w:shd w:val="clear" w:color="auto" w:fill="FFFFFF"/>
          <w:lang w:eastAsia="zh-CN"/>
        </w:rPr>
        <w:t>，</w:t>
      </w:r>
      <w:r>
        <w:rPr>
          <w:rFonts w:hint="eastAsia" w:ascii="仿宋" w:hAnsi="仿宋" w:eastAsia="仿宋" w:cs="仿宋"/>
          <w:color w:val="333333"/>
          <w:w w:val="98"/>
          <w:sz w:val="32"/>
          <w:szCs w:val="32"/>
          <w:shd w:val="clear" w:color="auto" w:fill="FFFFFF"/>
        </w:rPr>
        <w:t>积极引导干部职工</w:t>
      </w:r>
      <w:r>
        <w:rPr>
          <w:rFonts w:hint="eastAsia" w:ascii="仿宋" w:hAnsi="仿宋" w:eastAsia="仿宋" w:cs="仿宋"/>
          <w:color w:val="333333"/>
          <w:w w:val="98"/>
          <w:sz w:val="32"/>
          <w:szCs w:val="32"/>
          <w:shd w:val="clear" w:color="auto" w:fill="FFFFFF"/>
          <w:lang w:eastAsia="zh-CN"/>
        </w:rPr>
        <w:t>坚持学思用贯通，知信行统一，用党的创新理论指导工作实践，</w:t>
      </w:r>
      <w:r>
        <w:rPr>
          <w:rFonts w:hint="eastAsia" w:ascii="仿宋" w:hAnsi="仿宋" w:eastAsia="仿宋" w:cs="仿宋"/>
          <w:color w:val="333333"/>
          <w:w w:val="98"/>
          <w:sz w:val="32"/>
          <w:szCs w:val="32"/>
          <w:shd w:val="clear" w:color="auto" w:fill="FFFFFF"/>
        </w:rPr>
        <w:t>不断提高政治判断力、政治领悟力和政治执行力</w:t>
      </w:r>
      <w:r>
        <w:rPr>
          <w:rFonts w:hint="eastAsia" w:ascii="仿宋" w:hAnsi="仿宋" w:eastAsia="仿宋" w:cs="仿宋"/>
          <w:color w:val="333333"/>
          <w:w w:val="98"/>
          <w:sz w:val="32"/>
          <w:szCs w:val="32"/>
          <w:shd w:val="clear" w:color="auto" w:fill="FFFFFF"/>
          <w:lang w:eastAsia="zh-CN"/>
        </w:rPr>
        <w:t>。</w:t>
      </w:r>
      <w:r>
        <w:rPr>
          <w:rFonts w:hint="eastAsia" w:ascii="仿宋" w:hAnsi="仿宋" w:eastAsia="仿宋" w:cs="仿宋"/>
          <w:b/>
          <w:bCs/>
          <w:color w:val="333333"/>
          <w:w w:val="98"/>
          <w:sz w:val="32"/>
          <w:szCs w:val="32"/>
          <w:shd w:val="clear" w:color="auto" w:fill="FFFFFF"/>
          <w:lang w:val="en-US" w:eastAsia="zh-CN"/>
        </w:rPr>
        <w:t>2、</w:t>
      </w:r>
      <w:r>
        <w:rPr>
          <w:rFonts w:hint="eastAsia" w:ascii="仿宋" w:hAnsi="仿宋" w:eastAsia="仿宋" w:cs="仿宋"/>
          <w:b/>
          <w:bCs/>
          <w:sz w:val="32"/>
          <w:szCs w:val="32"/>
          <w:lang w:val="en-US" w:eastAsia="zh-CN"/>
        </w:rPr>
        <w:t>从严从细管党治党。</w:t>
      </w:r>
      <w:r>
        <w:rPr>
          <w:rFonts w:hint="eastAsia" w:ascii="仿宋_GB2312" w:hAnsi="仿宋_GB2312" w:eastAsia="仿宋_GB2312" w:cs="仿宋_GB2312"/>
          <w:sz w:val="32"/>
          <w:szCs w:val="32"/>
          <w:lang w:val="en-US" w:eastAsia="zh-CN"/>
        </w:rPr>
        <w:t>全年专题研究党建工作5次，机关党委研究部署党建工作12次。明确全年党建工作思路和重点，制定下发《2023年怀化日报社机关党的建设工作要点》《2023年怀化日报社机关纪检监察工作要点》。</w:t>
      </w:r>
      <w:r>
        <w:rPr>
          <w:rFonts w:hint="eastAsia" w:ascii="仿宋" w:hAnsi="仿宋" w:eastAsia="仿宋" w:cs="仿宋"/>
          <w:b/>
          <w:bCs/>
          <w:color w:val="333333"/>
          <w:w w:val="98"/>
          <w:sz w:val="32"/>
          <w:szCs w:val="32"/>
          <w:shd w:val="clear" w:color="auto" w:fill="FFFFFF"/>
          <w:lang w:val="en-US" w:eastAsia="zh-CN"/>
        </w:rPr>
        <w:t>3、扎实推进主题教育。</w:t>
      </w:r>
      <w:r>
        <w:rPr>
          <w:rFonts w:hint="eastAsia" w:ascii="仿宋" w:hAnsi="仿宋" w:eastAsia="仿宋" w:cs="仿宋"/>
          <w:color w:val="333333"/>
          <w:kern w:val="2"/>
          <w:sz w:val="32"/>
          <w:szCs w:val="32"/>
          <w:shd w:val="clear" w:color="auto" w:fill="FFFFFF"/>
          <w:lang w:val="en-US" w:eastAsia="zh-CN" w:bidi="ar-SA"/>
        </w:rPr>
        <w:t>先后召开主题教育工作推进会议6次，举办主题教育读书班1期，专题研讨6次、专题党课4次。运用“走找想促”调研问题信息报送系统收集和办理意见建议33个，办结率100%</w:t>
      </w:r>
      <w:r>
        <w:rPr>
          <w:rFonts w:hint="eastAsia" w:ascii="仿宋_GB2312" w:hAnsi="仿宋_GB2312" w:eastAsia="仿宋_GB2312" w:cs="仿宋_GB2312"/>
          <w:color w:val="auto"/>
          <w:sz w:val="32"/>
          <w:szCs w:val="32"/>
          <w:lang w:eastAsia="zh-CN"/>
        </w:rPr>
        <w:t>。</w:t>
      </w:r>
    </w:p>
    <w:p w14:paraId="68D6E49C">
      <w:pPr>
        <w:keepNext w:val="0"/>
        <w:keepLines w:val="0"/>
        <w:pageBreakBefore w:val="0"/>
        <w:kinsoku/>
        <w:wordWrap/>
        <w:overflowPunct/>
        <w:topLinePunct w:val="0"/>
        <w:bidi w:val="0"/>
        <w:snapToGrid/>
        <w:spacing w:line="560" w:lineRule="exact"/>
        <w:ind w:firstLine="608" w:firstLineChars="200"/>
        <w:textAlignment w:val="auto"/>
        <w:rPr>
          <w:rFonts w:hint="eastAsia" w:ascii="仿宋" w:hAnsi="仿宋" w:eastAsia="仿宋" w:cs="仿宋"/>
          <w:sz w:val="32"/>
          <w:szCs w:val="32"/>
        </w:rPr>
      </w:pPr>
      <w:r>
        <w:rPr>
          <w:rFonts w:hint="eastAsia" w:ascii="楷体" w:hAnsi="楷体" w:eastAsia="楷体" w:cs="楷体"/>
          <w:b/>
          <w:bCs/>
          <w:w w:val="95"/>
          <w:sz w:val="32"/>
          <w:szCs w:val="32"/>
          <w:shd w:val="clear" w:color="auto" w:fill="auto"/>
          <w:lang w:val="en-US" w:eastAsia="zh-CN"/>
        </w:rPr>
        <w:t>（二）全力进行“大宣传”，持续壮大高质量发展主流舆论。</w:t>
      </w:r>
      <w:r>
        <w:rPr>
          <w:rFonts w:hint="eastAsia" w:ascii="仿宋" w:hAnsi="仿宋" w:eastAsia="仿宋" w:cs="仿宋"/>
          <w:b/>
          <w:bCs/>
          <w:sz w:val="32"/>
          <w:szCs w:val="32"/>
          <w:shd w:val="clear" w:color="auto" w:fill="auto"/>
          <w:lang w:val="en-US" w:eastAsia="zh-CN"/>
        </w:rPr>
        <w:t>1、理论引领，切实做好中央省市重大决策宣传。</w:t>
      </w:r>
      <w:r>
        <w:rPr>
          <w:rFonts w:hint="eastAsia" w:ascii="仿宋" w:hAnsi="仿宋" w:eastAsia="仿宋" w:cs="仿宋"/>
          <w:sz w:val="32"/>
          <w:szCs w:val="32"/>
          <w:shd w:val="clear" w:color="auto" w:fill="auto"/>
          <w:lang w:eastAsia="zh-CN"/>
        </w:rPr>
        <w:t>全年共</w:t>
      </w:r>
      <w:r>
        <w:rPr>
          <w:rFonts w:hint="eastAsia" w:ascii="仿宋" w:hAnsi="仿宋" w:eastAsia="仿宋" w:cs="仿宋"/>
          <w:sz w:val="32"/>
          <w:szCs w:val="32"/>
        </w:rPr>
        <w:t>推出22期理论专版、110篇理论文章，50余篇时评和评论员文章。</w:t>
      </w:r>
      <w:r>
        <w:rPr>
          <w:rFonts w:hint="eastAsia" w:ascii="仿宋" w:hAnsi="仿宋" w:eastAsia="仿宋" w:cs="仿宋"/>
          <w:w w:val="99"/>
          <w:sz w:val="32"/>
          <w:szCs w:val="32"/>
        </w:rPr>
        <w:t>“锚定‘三高四新’美好蓝图、深入实施“‘五新四城’战略”系列评论作为2023年度全市创新理论宣传成效写进六届市委常委会工作报告，并</w:t>
      </w:r>
      <w:r>
        <w:rPr>
          <w:rFonts w:hint="eastAsia" w:ascii="仿宋" w:hAnsi="仿宋" w:eastAsia="仿宋" w:cs="仿宋"/>
          <w:w w:val="99"/>
          <w:sz w:val="32"/>
          <w:szCs w:val="32"/>
          <w:lang w:eastAsia="zh-CN"/>
        </w:rPr>
        <w:t>列为全市党员干部学习资料</w:t>
      </w:r>
      <w:r>
        <w:rPr>
          <w:rFonts w:hint="eastAsia" w:ascii="仿宋" w:hAnsi="仿宋" w:eastAsia="仿宋" w:cs="仿宋"/>
          <w:w w:val="99"/>
          <w:sz w:val="32"/>
          <w:szCs w:val="32"/>
        </w:rPr>
        <w:t>。</w:t>
      </w:r>
      <w:r>
        <w:rPr>
          <w:rFonts w:hint="eastAsia" w:ascii="仿宋" w:hAnsi="仿宋" w:eastAsia="仿宋" w:cs="仿宋"/>
          <w:b/>
          <w:bCs/>
          <w:sz w:val="32"/>
          <w:szCs w:val="32"/>
          <w:lang w:val="en-US" w:eastAsia="zh-CN"/>
        </w:rPr>
        <w:t>2、策划先行，全面加强重大主题报道。</w:t>
      </w:r>
      <w:r>
        <w:rPr>
          <w:rFonts w:hint="eastAsia" w:ascii="仿宋" w:hAnsi="仿宋" w:eastAsia="仿宋" w:cs="仿宋"/>
          <w:sz w:val="32"/>
          <w:szCs w:val="40"/>
        </w:rPr>
        <w:t>2023年成立全媒体重大精品策划报道组，围绕五新四城、国际陆港、鹤中一体化等设专栏、发系列，推出《怀化问稻》等重大主题策划报道300余篇</w:t>
      </w:r>
      <w:r>
        <w:rPr>
          <w:rFonts w:hint="eastAsia" w:ascii="仿宋" w:hAnsi="仿宋" w:eastAsia="仿宋" w:cs="仿宋"/>
          <w:sz w:val="32"/>
          <w:szCs w:val="40"/>
          <w:lang w:eastAsia="zh-CN"/>
        </w:rPr>
        <w:t>，</w:t>
      </w:r>
      <w:r>
        <w:rPr>
          <w:rFonts w:hint="eastAsia" w:ascii="仿宋" w:hAnsi="仿宋" w:eastAsia="仿宋" w:cs="仿宋"/>
          <w:sz w:val="32"/>
          <w:szCs w:val="32"/>
        </w:rPr>
        <w:t>全网点击量超1亿次</w:t>
      </w:r>
      <w:r>
        <w:rPr>
          <w:rFonts w:hint="eastAsia" w:ascii="仿宋" w:hAnsi="仿宋" w:eastAsia="仿宋" w:cs="仿宋"/>
          <w:sz w:val="32"/>
          <w:szCs w:val="32"/>
          <w:lang w:eastAsia="zh-CN"/>
        </w:rPr>
        <w:t>，</w:t>
      </w:r>
      <w:r>
        <w:rPr>
          <w:rFonts w:hint="eastAsia" w:ascii="仿宋" w:hAnsi="仿宋" w:eastAsia="仿宋" w:cs="仿宋"/>
          <w:sz w:val="32"/>
          <w:szCs w:val="40"/>
        </w:rPr>
        <w:t>各平台刊发“一迎三创”和民族团结工作稿件4000多篇次。</w:t>
      </w:r>
      <w:r>
        <w:rPr>
          <w:rFonts w:hint="eastAsia" w:ascii="仿宋" w:hAnsi="仿宋" w:eastAsia="仿宋" w:cs="仿宋"/>
          <w:b/>
          <w:bCs/>
          <w:sz w:val="32"/>
          <w:szCs w:val="40"/>
          <w:lang w:val="en-US" w:eastAsia="zh-CN"/>
        </w:rPr>
        <w:t>3、</w:t>
      </w:r>
      <w:r>
        <w:rPr>
          <w:rFonts w:hint="eastAsia" w:ascii="仿宋" w:hAnsi="仿宋" w:eastAsia="仿宋" w:cs="仿宋"/>
          <w:b/>
          <w:bCs/>
          <w:sz w:val="32"/>
          <w:szCs w:val="32"/>
          <w:lang w:val="en-US" w:eastAsia="zh-CN"/>
        </w:rPr>
        <w:t>出新出彩，匠心打造特色品牌栏目。</w:t>
      </w:r>
      <w:r>
        <w:rPr>
          <w:rFonts w:hint="eastAsia" w:ascii="仿宋" w:hAnsi="仿宋" w:eastAsia="仿宋" w:cs="仿宋"/>
          <w:w w:val="100"/>
          <w:sz w:val="32"/>
          <w:szCs w:val="32"/>
          <w:lang w:val="en-US" w:eastAsia="zh-CN"/>
        </w:rPr>
        <w:t>持续巩固“深入实施五新四城战略 奋力建设现代化新怀化”“一粒种子 改变世界”“怀景怀乡怀味”等重点栏目；创新推出“陆港之歌”“总编辑访谈”“大兴调查研究之风˙记者日记”等全新栏目。</w:t>
      </w:r>
    </w:p>
    <w:p w14:paraId="7AD836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 w:hAnsi="仿宋" w:eastAsia="仿宋" w:cs="仿宋"/>
          <w:sz w:val="32"/>
          <w:szCs w:val="32"/>
          <w:lang w:val="en-US" w:eastAsia="zh-CN"/>
        </w:rPr>
      </w:pPr>
      <w:r>
        <w:rPr>
          <w:rFonts w:hint="eastAsia" w:ascii="楷体" w:hAnsi="楷体" w:eastAsia="楷体" w:cs="楷体"/>
          <w:b/>
          <w:bCs/>
          <w:w w:val="99"/>
          <w:sz w:val="32"/>
          <w:szCs w:val="32"/>
          <w:lang w:val="en-US" w:eastAsia="zh-CN"/>
        </w:rPr>
        <w:t>（三）加速推进“大融合”，鼎力打造“四力”俱全主流媒体。</w:t>
      </w:r>
      <w:r>
        <w:rPr>
          <w:rFonts w:hint="eastAsia" w:ascii="仿宋" w:hAnsi="仿宋" w:eastAsia="仿宋" w:cs="仿宋"/>
          <w:b/>
          <w:bCs/>
          <w:w w:val="99"/>
          <w:sz w:val="32"/>
          <w:szCs w:val="32"/>
          <w:lang w:val="en-US" w:eastAsia="zh-CN"/>
        </w:rPr>
        <w:t>1、</w:t>
      </w:r>
      <w:r>
        <w:rPr>
          <w:rFonts w:hint="eastAsia" w:ascii="仿宋" w:hAnsi="仿宋" w:eastAsia="仿宋" w:cs="仿宋"/>
          <w:b/>
          <w:bCs/>
          <w:kern w:val="2"/>
          <w:sz w:val="32"/>
          <w:szCs w:val="32"/>
          <w:lang w:val="en-US" w:eastAsia="zh-CN" w:bidi="ar-SA"/>
        </w:rPr>
        <w:t>平台建设卓有成效。</w:t>
      </w:r>
      <w:r>
        <w:rPr>
          <w:rFonts w:hint="eastAsia" w:ascii="仿宋" w:hAnsi="仿宋" w:eastAsia="仿宋" w:cs="仿宋"/>
          <w:b w:val="0"/>
          <w:bCs w:val="0"/>
          <w:sz w:val="32"/>
          <w:szCs w:val="32"/>
        </w:rPr>
        <w:t>《怀化日报》</w:t>
      </w:r>
      <w:r>
        <w:rPr>
          <w:rFonts w:hint="eastAsia" w:ascii="仿宋" w:hAnsi="仿宋" w:eastAsia="仿宋" w:cs="仿宋"/>
          <w:sz w:val="32"/>
          <w:szCs w:val="32"/>
        </w:rPr>
        <w:t>对外公开发行总量超4万份。</w:t>
      </w:r>
      <w:r>
        <w:rPr>
          <w:rFonts w:hint="eastAsia" w:ascii="仿宋" w:hAnsi="仿宋" w:eastAsia="仿宋" w:cs="仿宋"/>
          <w:b w:val="0"/>
          <w:bCs w:val="0"/>
          <w:sz w:val="32"/>
          <w:szCs w:val="32"/>
        </w:rPr>
        <w:t>掌上怀化APP</w:t>
      </w:r>
      <w:r>
        <w:rPr>
          <w:rFonts w:hint="eastAsia" w:ascii="仿宋" w:hAnsi="仿宋" w:eastAsia="仿宋" w:cs="仿宋"/>
          <w:sz w:val="32"/>
          <w:szCs w:val="32"/>
        </w:rPr>
        <w:t>装机量已突破130万，注册用户超过45万户，注册量、装机量在全省市州党报手机客户端中长期处于领先位置</w:t>
      </w:r>
      <w:r>
        <w:rPr>
          <w:rFonts w:hint="eastAsia" w:ascii="仿宋" w:hAnsi="仿宋" w:eastAsia="仿宋" w:cs="仿宋"/>
          <w:sz w:val="32"/>
          <w:szCs w:val="32"/>
          <w:lang w:eastAsia="zh-CN"/>
        </w:rPr>
        <w:t>。</w:t>
      </w:r>
      <w:r>
        <w:rPr>
          <w:rFonts w:hint="eastAsia" w:ascii="仿宋" w:hAnsi="仿宋" w:eastAsia="仿宋" w:cs="仿宋"/>
          <w:b w:val="0"/>
          <w:bCs w:val="0"/>
          <w:sz w:val="32"/>
          <w:szCs w:val="32"/>
          <w:lang w:val="en-US" w:eastAsia="zh-CN"/>
        </w:rPr>
        <w:t>怀化新闻网位</w:t>
      </w:r>
      <w:r>
        <w:rPr>
          <w:rFonts w:hint="eastAsia" w:ascii="仿宋" w:hAnsi="仿宋" w:eastAsia="仿宋" w:cs="仿宋"/>
          <w:sz w:val="32"/>
          <w:szCs w:val="32"/>
          <w:lang w:val="en-US" w:eastAsia="zh-CN"/>
        </w:rPr>
        <w:t>列全国百强新闻门户网站，是国家、省内外媒体抓取怀化本地新闻的最大新闻源。</w:t>
      </w:r>
      <w:r>
        <w:rPr>
          <w:rFonts w:hint="eastAsia" w:ascii="仿宋" w:hAnsi="仿宋" w:eastAsia="仿宋" w:cs="仿宋"/>
          <w:b w:val="0"/>
          <w:bCs w:val="0"/>
          <w:sz w:val="32"/>
          <w:szCs w:val="32"/>
        </w:rPr>
        <w:t>怀化日报抖音号</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年总浏览量达</w:t>
      </w:r>
      <w:r>
        <w:rPr>
          <w:rFonts w:hint="eastAsia" w:ascii="仿宋" w:hAnsi="仿宋" w:eastAsia="仿宋" w:cs="仿宋"/>
          <w:sz w:val="32"/>
          <w:szCs w:val="32"/>
          <w:lang w:val="en-US" w:eastAsia="zh-CN"/>
        </w:rPr>
        <w:t>3.5</w:t>
      </w:r>
      <w:r>
        <w:rPr>
          <w:rFonts w:hint="eastAsia" w:ascii="仿宋" w:hAnsi="仿宋" w:eastAsia="仿宋" w:cs="仿宋"/>
          <w:sz w:val="32"/>
          <w:szCs w:val="32"/>
        </w:rPr>
        <w:t>亿次，粉丝量增长到2</w:t>
      </w:r>
      <w:r>
        <w:rPr>
          <w:rFonts w:hint="eastAsia" w:ascii="仿宋" w:hAnsi="仿宋" w:eastAsia="仿宋" w:cs="仿宋"/>
          <w:sz w:val="32"/>
          <w:szCs w:val="32"/>
          <w:lang w:val="en-US" w:eastAsia="zh-CN"/>
        </w:rPr>
        <w:t>5.7</w:t>
      </w:r>
      <w:r>
        <w:rPr>
          <w:rFonts w:hint="eastAsia" w:ascii="仿宋" w:hAnsi="仿宋" w:eastAsia="仿宋" w:cs="仿宋"/>
          <w:sz w:val="32"/>
          <w:szCs w:val="32"/>
        </w:rPr>
        <w:t>万</w:t>
      </w:r>
      <w:r>
        <w:rPr>
          <w:rFonts w:hint="eastAsia" w:ascii="仿宋" w:hAnsi="仿宋" w:eastAsia="仿宋" w:cs="仿宋"/>
          <w:sz w:val="32"/>
          <w:szCs w:val="32"/>
          <w:lang w:eastAsia="zh-CN"/>
        </w:rPr>
        <w:t>，浏览量</w:t>
      </w:r>
      <w:r>
        <w:rPr>
          <w:rFonts w:hint="eastAsia" w:ascii="仿宋" w:hAnsi="仿宋" w:eastAsia="仿宋" w:cs="仿宋"/>
          <w:sz w:val="32"/>
          <w:szCs w:val="32"/>
          <w:lang w:val="en-US" w:eastAsia="zh-CN"/>
        </w:rPr>
        <w:t>10万+短视频作品102件。</w:t>
      </w:r>
      <w:r>
        <w:rPr>
          <w:rFonts w:hint="eastAsia" w:ascii="仿宋" w:hAnsi="仿宋" w:eastAsia="仿宋" w:cs="仿宋"/>
          <w:b/>
          <w:bCs/>
          <w:sz w:val="32"/>
          <w:szCs w:val="32"/>
          <w:lang w:val="en-US" w:eastAsia="zh-CN"/>
        </w:rPr>
        <w:t>2、</w:t>
      </w:r>
      <w:r>
        <w:rPr>
          <w:rFonts w:hint="eastAsia" w:ascii="仿宋" w:hAnsi="仿宋" w:eastAsia="仿宋" w:cs="仿宋"/>
          <w:b/>
          <w:bCs/>
          <w:kern w:val="2"/>
          <w:sz w:val="32"/>
          <w:szCs w:val="32"/>
          <w:lang w:val="en-US" w:eastAsia="zh-CN" w:bidi="ar-SA"/>
        </w:rPr>
        <w:t>深度融合加速推进。</w:t>
      </w:r>
      <w:r>
        <w:rPr>
          <w:rFonts w:hint="eastAsia" w:ascii="仿宋_GB2312" w:hAnsi="仿宋_GB2312" w:eastAsia="仿宋_GB2312" w:cs="仿宋_GB2312"/>
          <w:sz w:val="32"/>
          <w:szCs w:val="32"/>
          <w:lang w:val="en-US" w:eastAsia="zh-CN"/>
        </w:rPr>
        <w:t>2023年，</w:t>
      </w:r>
      <w:r>
        <w:rPr>
          <w:rFonts w:hint="eastAsia" w:ascii="仿宋" w:hAnsi="仿宋" w:eastAsia="仿宋" w:cs="仿宋"/>
          <w:sz w:val="32"/>
          <w:szCs w:val="32"/>
          <w:lang w:eastAsia="zh-CN"/>
        </w:rPr>
        <w:t>报社新媒体全年共</w:t>
      </w:r>
      <w:r>
        <w:rPr>
          <w:rFonts w:hint="eastAsia" w:ascii="仿宋" w:hAnsi="仿宋" w:eastAsia="仿宋" w:cs="仿宋"/>
          <w:sz w:val="32"/>
          <w:szCs w:val="32"/>
        </w:rPr>
        <w:t>发布各类原创视频1200条，总浏览量</w:t>
      </w:r>
      <w:r>
        <w:rPr>
          <w:rFonts w:hint="eastAsia" w:ascii="仿宋" w:hAnsi="仿宋" w:eastAsia="仿宋" w:cs="仿宋"/>
          <w:sz w:val="32"/>
          <w:szCs w:val="32"/>
          <w:lang w:eastAsia="zh-CN"/>
        </w:rPr>
        <w:t>超</w:t>
      </w:r>
      <w:r>
        <w:rPr>
          <w:rFonts w:hint="eastAsia" w:ascii="仿宋" w:hAnsi="仿宋" w:eastAsia="仿宋" w:cs="仿宋"/>
          <w:sz w:val="32"/>
          <w:szCs w:val="32"/>
        </w:rPr>
        <w:t>2亿。</w:t>
      </w:r>
      <w:r>
        <w:rPr>
          <w:rFonts w:hint="eastAsia" w:ascii="仿宋_GB2312" w:hAnsi="仿宋_GB2312" w:eastAsia="仿宋_GB2312" w:cs="仿宋_GB2312"/>
          <w:sz w:val="32"/>
          <w:szCs w:val="32"/>
        </w:rPr>
        <w:t>此外，为党网集群平台怀化人社新媒体定制推出的《怀小稻人社微课》</w:t>
      </w:r>
      <w:r>
        <w:rPr>
          <w:rFonts w:hint="eastAsia" w:ascii="仿宋_GB2312" w:hAnsi="仿宋_GB2312" w:eastAsia="仿宋_GB2312" w:cs="仿宋_GB2312"/>
          <w:sz w:val="32"/>
          <w:szCs w:val="32"/>
          <w:lang w:eastAsia="zh-CN"/>
        </w:rPr>
        <w:t>已刊发</w:t>
      </w:r>
      <w:r>
        <w:rPr>
          <w:rFonts w:hint="eastAsia" w:ascii="仿宋_GB2312" w:hAnsi="仿宋_GB2312" w:eastAsia="仿宋_GB2312" w:cs="仿宋_GB2312"/>
          <w:sz w:val="32"/>
          <w:szCs w:val="32"/>
          <w:lang w:val="en-US" w:eastAsia="zh-CN"/>
        </w:rPr>
        <w:t>200期</w:t>
      </w:r>
      <w:r>
        <w:rPr>
          <w:rFonts w:hint="eastAsia" w:ascii="仿宋_GB2312" w:hAnsi="仿宋_GB2312" w:eastAsia="仿宋_GB2312" w:cs="仿宋_GB2312"/>
          <w:sz w:val="32"/>
          <w:szCs w:val="32"/>
        </w:rPr>
        <w:t>，深受社会各界肯定。</w:t>
      </w:r>
      <w:r>
        <w:rPr>
          <w:rFonts w:hint="eastAsia" w:ascii="仿宋" w:hAnsi="仿宋" w:eastAsia="仿宋" w:cs="仿宋"/>
          <w:sz w:val="32"/>
          <w:szCs w:val="32"/>
          <w:lang w:val="en-US" w:eastAsia="zh-CN"/>
        </w:rPr>
        <w:t>掌上怀化新系统与8月投入使用。</w:t>
      </w:r>
      <w:r>
        <w:rPr>
          <w:rFonts w:hint="eastAsia" w:ascii="仿宋_GB2312" w:hAnsi="仿宋_GB2312" w:eastAsia="仿宋_GB2312" w:cs="仿宋_GB2312"/>
          <w:sz w:val="32"/>
          <w:szCs w:val="32"/>
          <w:lang w:eastAsia="zh-CN"/>
        </w:rPr>
        <w:t>融媒体</w:t>
      </w:r>
      <w:r>
        <w:rPr>
          <w:rFonts w:hint="eastAsia" w:ascii="仿宋" w:hAnsi="仿宋" w:eastAsia="仿宋" w:cs="仿宋"/>
          <w:sz w:val="32"/>
          <w:szCs w:val="32"/>
          <w:lang w:val="en-US" w:eastAsia="zh-CN"/>
        </w:rPr>
        <w:t>新系统加速开发调试，并于11月1日起试行。</w:t>
      </w:r>
    </w:p>
    <w:p w14:paraId="65D559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 w:hAnsi="仿宋" w:eastAsia="仿宋" w:cs="仿宋"/>
          <w:b/>
          <w:bCs/>
          <w:color w:val="C0504D"/>
          <w:sz w:val="32"/>
          <w:szCs w:val="32"/>
          <w:shd w:val="clear" w:color="auto" w:fill="auto"/>
          <w:lang w:val="en-US" w:eastAsia="zh-CN"/>
        </w:rPr>
      </w:pPr>
      <w:r>
        <w:rPr>
          <w:rFonts w:hint="eastAsia" w:ascii="楷体" w:hAnsi="楷体" w:eastAsia="楷体" w:cs="楷体"/>
          <w:b/>
          <w:bCs/>
          <w:w w:val="99"/>
          <w:sz w:val="32"/>
          <w:szCs w:val="32"/>
          <w:lang w:val="en-US" w:eastAsia="zh-CN"/>
        </w:rPr>
        <w:t>（四）着力实施“大改革”，致力理顺融合发展体制机制。</w:t>
      </w:r>
      <w:r>
        <w:rPr>
          <w:rFonts w:hint="eastAsia" w:ascii="仿宋" w:hAnsi="仿宋" w:eastAsia="仿宋" w:cs="仿宋"/>
          <w:b/>
          <w:bCs/>
          <w:w w:val="99"/>
          <w:sz w:val="32"/>
          <w:szCs w:val="32"/>
          <w:lang w:val="en-US" w:eastAsia="zh-CN"/>
        </w:rPr>
        <w:t>1、</w:t>
      </w:r>
      <w:r>
        <w:rPr>
          <w:rFonts w:hint="eastAsia" w:ascii="仿宋" w:hAnsi="仿宋" w:eastAsia="仿宋" w:cs="仿宋"/>
          <w:b/>
          <w:bCs/>
          <w:kern w:val="2"/>
          <w:sz w:val="32"/>
          <w:szCs w:val="32"/>
          <w:lang w:val="en-US" w:eastAsia="zh-CN" w:bidi="ar-SA"/>
        </w:rPr>
        <w:t>改革组织机构，优化干部结构。</w:t>
      </w:r>
      <w:r>
        <w:rPr>
          <w:rFonts w:hint="eastAsia" w:ascii="仿宋" w:hAnsi="仿宋" w:eastAsia="仿宋" w:cs="仿宋"/>
          <w:sz w:val="32"/>
          <w:szCs w:val="32"/>
          <w:lang w:val="en-US" w:eastAsia="zh-CN"/>
        </w:rPr>
        <w:t>大力推进组织机构改革，</w:t>
      </w:r>
      <w:r>
        <w:rPr>
          <w:rFonts w:hint="eastAsia" w:ascii="仿宋" w:hAnsi="仿宋" w:eastAsia="仿宋" w:cs="仿宋"/>
          <w:sz w:val="32"/>
          <w:szCs w:val="32"/>
          <w:lang w:eastAsia="zh-CN"/>
        </w:rPr>
        <w:t>对内设机构正、副职实行竞聘上岗，</w:t>
      </w:r>
      <w:r>
        <w:rPr>
          <w:rFonts w:hint="eastAsia" w:ascii="仿宋_GB2312" w:hAnsi="仿宋_GB2312" w:eastAsia="仿宋_GB2312" w:cs="仿宋_GB2312"/>
          <w:sz w:val="32"/>
          <w:szCs w:val="32"/>
          <w:lang w:val="en-US" w:eastAsia="zh-CN"/>
        </w:rPr>
        <w:t>提拔使用20名正副科级干部，其中70后干部1名，80后干部14名，90后年轻干部5名，女性干部10名，党外干部9名，少数民族干部14名</w:t>
      </w:r>
      <w:r>
        <w:rPr>
          <w:rFonts w:hint="eastAsia" w:ascii="仿宋" w:hAnsi="仿宋" w:eastAsia="仿宋" w:cs="仿宋"/>
          <w:sz w:val="32"/>
          <w:szCs w:val="32"/>
          <w:lang w:val="en-US" w:eastAsia="zh-CN"/>
        </w:rPr>
        <w:t>。</w:t>
      </w:r>
      <w:r>
        <w:rPr>
          <w:rFonts w:hint="eastAsia" w:ascii="仿宋" w:hAnsi="仿宋" w:eastAsia="仿宋" w:cs="仿宋"/>
          <w:b/>
          <w:bCs/>
          <w:sz w:val="32"/>
          <w:szCs w:val="32"/>
          <w:lang w:val="en-US" w:eastAsia="zh-CN"/>
        </w:rPr>
        <w:t>2、</w:t>
      </w:r>
      <w:r>
        <w:rPr>
          <w:rFonts w:hint="eastAsia" w:ascii="仿宋" w:hAnsi="仿宋" w:eastAsia="仿宋" w:cs="仿宋"/>
          <w:b/>
          <w:bCs/>
          <w:kern w:val="2"/>
          <w:sz w:val="32"/>
          <w:szCs w:val="32"/>
          <w:lang w:val="en-US" w:eastAsia="zh-CN" w:bidi="ar-SA"/>
        </w:rPr>
        <w:t>改革采编流程，打破部门壁垒。</w:t>
      </w:r>
      <w:r>
        <w:rPr>
          <w:rFonts w:hint="eastAsia" w:ascii="仿宋" w:hAnsi="仿宋" w:eastAsia="仿宋" w:cs="仿宋"/>
          <w:b w:val="0"/>
          <w:bCs w:val="0"/>
          <w:i w:val="0"/>
          <w:iCs w:val="0"/>
          <w:caps w:val="0"/>
          <w:color w:val="auto"/>
          <w:spacing w:val="0"/>
          <w:sz w:val="32"/>
          <w:szCs w:val="32"/>
          <w:shd w:val="clear" w:color="auto" w:fill="auto"/>
        </w:rPr>
        <w:t>按照媒体融合发展的管理模式与思维，重组传统主流媒体的组织结构，形成一次采集、多种生成、多渠道融合、多平台互动的新型媒体运作模式。</w:t>
      </w:r>
    </w:p>
    <w:p w14:paraId="59BFD2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color w:val="auto"/>
          <w:spacing w:val="-2"/>
          <w:sz w:val="32"/>
          <w:szCs w:val="32"/>
          <w:highlight w:val="none"/>
          <w:shd w:val="clear" w:color="auto" w:fill="auto"/>
          <w:lang w:eastAsia="zh-CN"/>
        </w:rPr>
      </w:pPr>
      <w:r>
        <w:rPr>
          <w:rFonts w:hint="eastAsia" w:ascii="楷体" w:hAnsi="楷体" w:eastAsia="楷体" w:cs="楷体"/>
          <w:b/>
          <w:bCs/>
          <w:sz w:val="32"/>
          <w:szCs w:val="32"/>
          <w:lang w:val="en-US" w:eastAsia="zh-CN"/>
        </w:rPr>
        <w:t>（五）</w:t>
      </w:r>
      <w:r>
        <w:rPr>
          <w:rFonts w:hint="eastAsia" w:ascii="楷体" w:hAnsi="楷体" w:eastAsia="楷体" w:cs="楷体"/>
          <w:b/>
          <w:bCs/>
          <w:w w:val="99"/>
          <w:sz w:val="32"/>
          <w:szCs w:val="32"/>
          <w:lang w:val="en-US" w:eastAsia="zh-CN"/>
        </w:rPr>
        <w:t>奋力推动“大提升”，确保实现重点工作提质增效。</w:t>
      </w:r>
      <w:r>
        <w:rPr>
          <w:rFonts w:hint="eastAsia" w:ascii="仿宋" w:hAnsi="仿宋" w:eastAsia="仿宋" w:cs="仿宋"/>
          <w:b/>
          <w:bCs/>
          <w:sz w:val="32"/>
          <w:szCs w:val="32"/>
          <w:lang w:val="en-US" w:eastAsia="zh-CN"/>
        </w:rPr>
        <w:t>1、向上对外报道显著提升。</w:t>
      </w:r>
      <w:r>
        <w:rPr>
          <w:rFonts w:hint="eastAsia" w:ascii="仿宋" w:hAnsi="仿宋" w:eastAsia="仿宋" w:cs="仿宋"/>
          <w:sz w:val="32"/>
          <w:szCs w:val="32"/>
        </w:rPr>
        <w:t>积极贯彻落实市委关于大力加强向上对外宣传报道的工作要求，全面激活外宣动能，讲好怀化故事，唱响怀化声音。2023年在中央、省级主流媒体刊发68篇，在人民网、新湖南、学习强国等主流新媒体平台刊发604篇，在今日头条、抖音、微博、人民号等各类平台宣推5000余条，全网浏览量超10亿，有力提升了怀化主流新闻舆论的传播力、引导力、影响力、公信力。</w:t>
      </w:r>
      <w:r>
        <w:rPr>
          <w:rFonts w:hint="eastAsia" w:ascii="仿宋" w:hAnsi="仿宋" w:eastAsia="仿宋" w:cs="仿宋"/>
          <w:b/>
          <w:bCs/>
          <w:sz w:val="32"/>
          <w:szCs w:val="32"/>
          <w:lang w:val="en-US" w:eastAsia="zh-CN"/>
        </w:rPr>
        <w:t>2、报业传媒大楼续建取得突破性进展。</w:t>
      </w:r>
      <w:r>
        <w:rPr>
          <w:rFonts w:hint="eastAsia" w:ascii="仿宋" w:hAnsi="仿宋" w:eastAsia="仿宋" w:cs="仿宋"/>
          <w:spacing w:val="4"/>
          <w:sz w:val="32"/>
          <w:szCs w:val="32"/>
          <w:lang w:val="en-US" w:eastAsia="zh-CN" w:bidi="zh-CN"/>
        </w:rPr>
        <w:t>2023年，建设14年、停工10年的报业大楼处遗项目取得突破性进展</w:t>
      </w:r>
      <w:r>
        <w:rPr>
          <w:rFonts w:hint="eastAsia" w:ascii="仿宋" w:hAnsi="仿宋" w:eastAsia="仿宋" w:cs="仿宋"/>
          <w:color w:val="auto"/>
          <w:kern w:val="2"/>
          <w:sz w:val="32"/>
          <w:szCs w:val="32"/>
          <w:lang w:val="en-US" w:eastAsia="zh-CN" w:bidi="ar-SA"/>
        </w:rPr>
        <w:t>，先后解决了项目产权归属、破产项目结案、债权债务处理、质量安全评估、</w:t>
      </w:r>
      <w:r>
        <w:rPr>
          <w:rFonts w:hint="eastAsia" w:ascii="仿宋" w:hAnsi="仿宋" w:eastAsia="仿宋" w:cs="仿宋_GB2312"/>
          <w:color w:val="000000"/>
          <w:kern w:val="2"/>
          <w:sz w:val="32"/>
          <w:szCs w:val="32"/>
          <w:lang w:val="en-US" w:eastAsia="zh-CN" w:bidi="ar-SA"/>
        </w:rPr>
        <w:t>合作单位敲定</w:t>
      </w:r>
      <w:r>
        <w:rPr>
          <w:rFonts w:hint="eastAsia" w:ascii="仿宋" w:hAnsi="仿宋" w:eastAsia="仿宋" w:cs="仿宋"/>
          <w:color w:val="auto"/>
          <w:kern w:val="2"/>
          <w:sz w:val="32"/>
          <w:szCs w:val="32"/>
          <w:lang w:val="en-US" w:eastAsia="zh-CN" w:bidi="ar-SA"/>
        </w:rPr>
        <w:t>、主体工程加固等处遗项目中存在的一揽子焦点问题。报社的工作得到省委、市委市政府及市委主题教育办的充分肯定，并被中新社等央媒、省媒宣传推介。沈晓明书记在全省“走找想促”活动第六次调研情况交流会上点名肯定怀化报业大楼续建成效。</w:t>
      </w:r>
    </w:p>
    <w:p w14:paraId="67817F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val="en-US" w:eastAsia="zh-CN"/>
        </w:rPr>
        <w:t>（五）存在的问题及原因分析。</w:t>
      </w:r>
      <w:r>
        <w:rPr>
          <w:rFonts w:hint="eastAsia" w:ascii="仿宋" w:hAnsi="仿宋" w:eastAsia="仿宋" w:cs="仿宋"/>
          <w:sz w:val="32"/>
          <w:szCs w:val="32"/>
        </w:rPr>
        <w:t>目前我</w:t>
      </w:r>
      <w:r>
        <w:rPr>
          <w:rFonts w:hint="eastAsia" w:ascii="仿宋" w:hAnsi="仿宋" w:eastAsia="仿宋" w:cs="仿宋"/>
          <w:sz w:val="32"/>
          <w:szCs w:val="32"/>
          <w:lang w:eastAsia="zh-CN"/>
        </w:rPr>
        <w:t>社</w:t>
      </w:r>
      <w:r>
        <w:rPr>
          <w:rFonts w:hint="eastAsia" w:ascii="仿宋" w:hAnsi="仿宋" w:eastAsia="仿宋" w:cs="仿宋"/>
          <w:sz w:val="32"/>
          <w:szCs w:val="32"/>
        </w:rPr>
        <w:t>在项目绩效目标设定、预算执行、资金使用等方面，不同程度地存在一些操作不够规范、跟踪不够及时、衔接不够充分、监督不到位等问题。</w:t>
      </w:r>
      <w:r>
        <w:rPr>
          <w:rFonts w:hint="eastAsia" w:ascii="仿宋" w:hAnsi="仿宋" w:eastAsia="仿宋" w:cs="仿宋"/>
          <w:sz w:val="32"/>
          <w:szCs w:val="32"/>
          <w:lang w:eastAsia="zh-CN"/>
        </w:rPr>
        <w:t>分析原因：</w:t>
      </w:r>
      <w:r>
        <w:rPr>
          <w:rFonts w:hint="eastAsia" w:ascii="仿宋_GB2312" w:hAnsi="仿宋_GB2312" w:eastAsia="仿宋_GB2312" w:cs="仿宋_GB2312"/>
          <w:b w:val="0"/>
          <w:i w:val="0"/>
          <w:iCs w:val="0"/>
          <w:caps w:val="0"/>
          <w:color w:val="000000"/>
          <w:spacing w:val="0"/>
          <w:w w:val="100"/>
          <w:sz w:val="32"/>
          <w:szCs w:val="32"/>
          <w:shd w:val="clear" w:color="auto" w:fill="FFFFFF"/>
          <w:lang w:val="en-US" w:eastAsia="zh-CN"/>
        </w:rPr>
        <w:t>一是对预算绩效管理工作重视不够，缺乏制度性的约束，在执行过程中难免出现散漫、敷衍、不重内容，偏于形式等问题。二是</w:t>
      </w:r>
      <w:r>
        <w:rPr>
          <w:rFonts w:hint="eastAsia" w:ascii="仿宋" w:hAnsi="仿宋" w:eastAsia="仿宋" w:cs="仿宋"/>
          <w:sz w:val="32"/>
          <w:szCs w:val="32"/>
          <w:lang w:eastAsia="zh-CN"/>
        </w:rPr>
        <w:t>缺乏全面掌握预算绩效管理涉及到的项目业务、财务、效益等方面知识，特别是能对效益方面进行较好评价的专业人才。三是预算绩效管理制度体系不够完善，指标体系和评价方法不够完善。</w:t>
      </w:r>
    </w:p>
    <w:p w14:paraId="6E7A7675">
      <w:pPr>
        <w:keepNext w:val="0"/>
        <w:keepLines w:val="0"/>
        <w:pageBreakBefore w:val="0"/>
        <w:widowControl/>
        <w:shd w:val="clear" w:color="auto" w:fill="FFFFFF"/>
        <w:kinsoku/>
        <w:wordWrap/>
        <w:overflowPunct/>
        <w:topLinePunct w:val="0"/>
        <w:bidi w:val="0"/>
        <w:snapToGrid/>
        <w:spacing w:line="560" w:lineRule="exact"/>
        <w:ind w:firstLine="632" w:firstLineChars="200"/>
        <w:textAlignment w:val="auto"/>
        <w:rPr>
          <w:rFonts w:hint="eastAsia" w:ascii="仿宋" w:hAnsi="仿宋" w:eastAsia="仿宋" w:cs="仿宋"/>
          <w:sz w:val="32"/>
          <w:szCs w:val="32"/>
        </w:rPr>
      </w:pPr>
      <w:r>
        <w:rPr>
          <w:rFonts w:hint="eastAsia" w:ascii="楷体" w:hAnsi="楷体" w:eastAsia="楷体" w:cs="楷体"/>
          <w:b/>
          <w:bCs w:val="0"/>
          <w:color w:val="auto"/>
          <w:spacing w:val="-2"/>
          <w:sz w:val="32"/>
          <w:szCs w:val="32"/>
          <w:shd w:val="clear" w:color="auto" w:fill="auto"/>
          <w:lang w:eastAsia="zh-CN"/>
        </w:rPr>
        <w:t>（六）下一步改进措施。</w:t>
      </w:r>
      <w:r>
        <w:rPr>
          <w:rFonts w:hint="eastAsia" w:ascii="仿宋" w:hAnsi="仿宋" w:eastAsia="仿宋" w:cs="仿宋"/>
          <w:b w:val="0"/>
          <w:bCs/>
          <w:color w:val="auto"/>
          <w:spacing w:val="-2"/>
          <w:sz w:val="32"/>
          <w:szCs w:val="32"/>
          <w:shd w:val="clear" w:color="auto" w:fill="auto"/>
          <w:lang w:eastAsia="zh-CN"/>
        </w:rPr>
        <w:t>一是</w:t>
      </w:r>
      <w:r>
        <w:rPr>
          <w:rFonts w:hint="eastAsia" w:ascii="仿宋" w:hAnsi="仿宋" w:eastAsia="仿宋" w:cs="仿宋"/>
          <w:sz w:val="32"/>
          <w:szCs w:val="32"/>
        </w:rPr>
        <w:t>立足实际，坚持推行精细化管理，强化预算绩效目标管理、细化绩效目标，并将绩效目标细化分解为具体工作计划，同时，计划应明确规定在一定时间内完成的目标、任务和和应达到的要求，任务和要求应具体明确任务数量、质量。</w:t>
      </w:r>
      <w:r>
        <w:rPr>
          <w:rFonts w:hint="eastAsia" w:ascii="仿宋" w:hAnsi="仿宋" w:eastAsia="仿宋" w:cs="仿宋"/>
          <w:sz w:val="32"/>
          <w:szCs w:val="32"/>
          <w:lang w:eastAsia="zh-CN"/>
        </w:rPr>
        <w:t>二是</w:t>
      </w:r>
      <w:r>
        <w:rPr>
          <w:rFonts w:hint="eastAsia" w:ascii="仿宋" w:hAnsi="仿宋" w:eastAsia="仿宋" w:cs="仿宋"/>
          <w:sz w:val="32"/>
          <w:szCs w:val="32"/>
        </w:rPr>
        <w:t>建立健全财政各项资金管理制度，严格执行财务管理制度，做到了财务处理及时，会计核算规范，严格按照计划进度支付。</w:t>
      </w:r>
      <w:r>
        <w:rPr>
          <w:rFonts w:hint="eastAsia" w:ascii="仿宋" w:hAnsi="仿宋" w:eastAsia="仿宋" w:cs="仿宋"/>
          <w:sz w:val="32"/>
          <w:szCs w:val="32"/>
          <w:lang w:eastAsia="zh-CN"/>
        </w:rPr>
        <w:t>三是</w:t>
      </w:r>
      <w:r>
        <w:rPr>
          <w:rFonts w:hint="eastAsia" w:ascii="仿宋" w:hAnsi="仿宋" w:eastAsia="仿宋" w:cs="仿宋"/>
          <w:sz w:val="32"/>
          <w:szCs w:val="32"/>
          <w:lang w:val="en-US" w:eastAsia="zh-CN"/>
        </w:rPr>
        <w:t>对</w:t>
      </w:r>
      <w:r>
        <w:rPr>
          <w:rFonts w:hint="eastAsia" w:ascii="仿宋" w:hAnsi="仿宋" w:eastAsia="仿宋" w:cs="仿宋"/>
          <w:sz w:val="32"/>
          <w:szCs w:val="32"/>
        </w:rPr>
        <w:t>各项目资金严格实行专款专用，保证更规范严要求使用资金。在下年度的预算编制工作中，我们会时刻跟踪项目的进度，更好地完成预算资金，做好绩效评价工作。</w:t>
      </w:r>
    </w:p>
    <w:p w14:paraId="46E265CF">
      <w:pPr>
        <w:pStyle w:val="14"/>
        <w:jc w:val="center"/>
        <w:rPr>
          <w:sz w:val="72"/>
          <w:szCs w:val="72"/>
        </w:rPr>
      </w:pPr>
    </w:p>
    <w:p w14:paraId="0B237227">
      <w:pPr>
        <w:pStyle w:val="14"/>
        <w:jc w:val="center"/>
        <w:rPr>
          <w:sz w:val="72"/>
          <w:szCs w:val="72"/>
        </w:rPr>
      </w:pPr>
    </w:p>
    <w:p w14:paraId="408B3574">
      <w:pPr>
        <w:pStyle w:val="14"/>
        <w:jc w:val="center"/>
        <w:rPr>
          <w:sz w:val="72"/>
          <w:szCs w:val="72"/>
        </w:rPr>
      </w:pPr>
    </w:p>
    <w:p w14:paraId="4166F17D">
      <w:pPr>
        <w:pStyle w:val="14"/>
        <w:jc w:val="both"/>
        <w:rPr>
          <w:rFonts w:hint="eastAsia" w:ascii="方正小标宋_GBK" w:hAnsi="方正小标宋_GBK" w:eastAsia="方正小标宋_GBK" w:cs="方正小标宋_GBK"/>
          <w:sz w:val="72"/>
          <w:szCs w:val="72"/>
        </w:rPr>
      </w:pPr>
    </w:p>
    <w:p w14:paraId="0D7910E6">
      <w:pPr>
        <w:pStyle w:val="14"/>
        <w:jc w:val="center"/>
        <w:rPr>
          <w:rFonts w:hint="eastAsia" w:ascii="方正小标宋_GBK" w:hAnsi="方正小标宋_GBK" w:eastAsia="方正小标宋_GBK" w:cs="方正小标宋_GBK"/>
          <w:sz w:val="72"/>
          <w:szCs w:val="72"/>
        </w:rPr>
      </w:pPr>
    </w:p>
    <w:p w14:paraId="6D248838">
      <w:pPr>
        <w:pStyle w:val="14"/>
        <w:jc w:val="center"/>
        <w:rPr>
          <w:rFonts w:hint="eastAsia" w:ascii="方正小标宋_GBK" w:hAnsi="方正小标宋_GBK" w:eastAsia="方正小标宋_GBK" w:cs="方正小标宋_GBK"/>
          <w:sz w:val="72"/>
          <w:szCs w:val="72"/>
        </w:rPr>
      </w:pPr>
    </w:p>
    <w:p w14:paraId="79D1F794">
      <w:pPr>
        <w:pStyle w:val="14"/>
        <w:jc w:val="center"/>
        <w:rPr>
          <w:rFonts w:hint="eastAsia" w:ascii="方正小标宋_GBK" w:hAnsi="方正小标宋_GBK" w:eastAsia="方正小标宋_GBK" w:cs="方正小标宋_GBK"/>
          <w:sz w:val="72"/>
          <w:szCs w:val="72"/>
        </w:rPr>
      </w:pPr>
    </w:p>
    <w:p w14:paraId="25F71F63">
      <w:pPr>
        <w:pStyle w:val="14"/>
        <w:jc w:val="center"/>
        <w:rPr>
          <w:rFonts w:hint="eastAsia" w:ascii="方正小标宋_GBK" w:hAnsi="方正小标宋_GBK" w:eastAsia="方正小标宋_GBK" w:cs="方正小标宋_GBK"/>
          <w:sz w:val="72"/>
          <w:szCs w:val="72"/>
        </w:rPr>
      </w:pPr>
    </w:p>
    <w:p w14:paraId="2F619CDB">
      <w:pPr>
        <w:pStyle w:val="14"/>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sz w:val="72"/>
          <w:szCs w:val="72"/>
        </w:rPr>
        <w:t>第四部分</w:t>
      </w:r>
    </w:p>
    <w:p w14:paraId="0AF7E602">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681067E2">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59E6E110">
      <w:pPr>
        <w:pStyle w:val="9"/>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一、机关运行经费：</w:t>
      </w:r>
    </w:p>
    <w:p w14:paraId="68C3C5C5">
      <w:pPr>
        <w:pStyle w:val="9"/>
        <w:widowControl/>
        <w:spacing w:line="510" w:lineRule="atLeast"/>
        <w:ind w:firstLine="640" w:firstLineChars="200"/>
        <w:jc w:val="both"/>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4D3E7DD6">
      <w:pPr>
        <w:pStyle w:val="9"/>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二、“三公”经费：</w:t>
      </w:r>
    </w:p>
    <w:p w14:paraId="7507C390">
      <w:pPr>
        <w:pStyle w:val="9"/>
        <w:keepNext w:val="0"/>
        <w:keepLines w:val="0"/>
        <w:pageBreakBefore w:val="0"/>
        <w:widowControl/>
        <w:kinsoku/>
        <w:wordWrap/>
        <w:overflowPunct/>
        <w:topLinePunct w:val="0"/>
        <w:autoSpaceDE/>
        <w:autoSpaceDN/>
        <w:bidi w:val="0"/>
        <w:adjustRightInd/>
        <w:snapToGrid/>
        <w:spacing w:line="560" w:lineRule="atLeast"/>
        <w:ind w:firstLine="640" w:firstLineChars="200"/>
        <w:jc w:val="both"/>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纳入财政预算管理的“三公</w:t>
      </w:r>
      <w:r>
        <w:rPr>
          <w:rFonts w:hint="default" w:ascii="仿宋" w:hAnsi="仿宋" w:eastAsia="仿宋" w:cs="仿宋"/>
          <w:color w:val="000000"/>
          <w:kern w:val="0"/>
          <w:sz w:val="32"/>
          <w:szCs w:val="32"/>
          <w:lang w:val="en-US" w:eastAsia="zh-CN"/>
        </w:rPr>
        <w:t>”</w:t>
      </w:r>
      <w:r>
        <w:rPr>
          <w:rFonts w:hint="eastAsia" w:ascii="仿宋" w:hAnsi="仿宋" w:eastAsia="仿宋" w:cs="仿宋"/>
          <w:color w:val="000000"/>
          <w:kern w:val="0"/>
          <w:sz w:val="32"/>
          <w:szCs w:val="32"/>
        </w:rPr>
        <w:t>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6B541A7">
      <w:pPr>
        <w:pStyle w:val="14"/>
        <w:jc w:val="center"/>
        <w:rPr>
          <w:sz w:val="72"/>
          <w:szCs w:val="72"/>
        </w:rPr>
      </w:pPr>
    </w:p>
    <w:p w14:paraId="0F7D75A2">
      <w:pPr>
        <w:pStyle w:val="14"/>
        <w:jc w:val="center"/>
        <w:rPr>
          <w:sz w:val="72"/>
          <w:szCs w:val="72"/>
        </w:rPr>
      </w:pPr>
    </w:p>
    <w:p w14:paraId="366A069A">
      <w:pPr>
        <w:pStyle w:val="14"/>
        <w:jc w:val="center"/>
        <w:rPr>
          <w:sz w:val="72"/>
          <w:szCs w:val="72"/>
        </w:rPr>
      </w:pPr>
    </w:p>
    <w:p w14:paraId="0AA30CD6">
      <w:pPr>
        <w:pStyle w:val="14"/>
        <w:jc w:val="center"/>
        <w:rPr>
          <w:sz w:val="72"/>
          <w:szCs w:val="72"/>
        </w:rPr>
      </w:pPr>
    </w:p>
    <w:p w14:paraId="31AEEFEB">
      <w:pPr>
        <w:pStyle w:val="14"/>
        <w:jc w:val="center"/>
        <w:rPr>
          <w:sz w:val="72"/>
          <w:szCs w:val="72"/>
        </w:rPr>
      </w:pPr>
    </w:p>
    <w:p w14:paraId="0256A028">
      <w:pPr>
        <w:pStyle w:val="14"/>
        <w:jc w:val="center"/>
        <w:rPr>
          <w:sz w:val="72"/>
          <w:szCs w:val="72"/>
        </w:rPr>
      </w:pPr>
    </w:p>
    <w:p w14:paraId="554E2E0E">
      <w:pPr>
        <w:pStyle w:val="14"/>
        <w:jc w:val="center"/>
        <w:rPr>
          <w:rFonts w:hint="eastAsia" w:ascii="方正小标宋_GBK" w:hAnsi="方正小标宋_GBK" w:eastAsia="方正小标宋_GBK" w:cs="方正小标宋_GBK"/>
          <w:sz w:val="72"/>
          <w:szCs w:val="72"/>
        </w:rPr>
      </w:pPr>
    </w:p>
    <w:p w14:paraId="3AAD8E4F">
      <w:pPr>
        <w:pStyle w:val="14"/>
        <w:jc w:val="both"/>
        <w:rPr>
          <w:rFonts w:hint="eastAsia" w:ascii="方正小标宋_GBK" w:hAnsi="方正小标宋_GBK" w:eastAsia="方正小标宋_GBK" w:cs="方正小标宋_GBK"/>
          <w:sz w:val="72"/>
          <w:szCs w:val="72"/>
        </w:rPr>
      </w:pPr>
    </w:p>
    <w:p w14:paraId="491E49D6">
      <w:pPr>
        <w:pStyle w:val="14"/>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A2956F4">
      <w:pPr>
        <w:widowControl/>
        <w:jc w:val="center"/>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lang w:eastAsia="zh-CN"/>
        </w:rPr>
        <w:t>附件</w:t>
      </w:r>
      <w:r>
        <w:rPr>
          <w:rFonts w:hint="eastAsia" w:ascii="方正小标宋_GBK" w:hAnsi="方正小标宋_GBK" w:eastAsia="方正小标宋_GBK" w:cs="方正小标宋_GBK"/>
          <w:color w:val="000000"/>
          <w:kern w:val="0"/>
          <w:sz w:val="70"/>
          <w:szCs w:val="70"/>
        </w:rPr>
        <w:br w:type="page"/>
      </w:r>
    </w:p>
    <w:p w14:paraId="4927653B">
      <w:pPr>
        <w:pStyle w:val="14"/>
        <w:numPr>
          <w:ilvl w:val="0"/>
          <w:numId w:val="4"/>
        </w:numPr>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怀化日报社（本级）</w:t>
      </w:r>
      <w:r>
        <w:rPr>
          <w:rFonts w:hint="eastAsia" w:ascii="仿宋" w:hAnsi="仿宋" w:eastAsia="仿宋" w:cs="仿宋"/>
          <w:sz w:val="32"/>
          <w:szCs w:val="32"/>
          <w:lang w:val="en-US" w:eastAsia="zh-CN"/>
        </w:rPr>
        <w:t>2023年度</w:t>
      </w:r>
      <w:r>
        <w:rPr>
          <w:rFonts w:hint="eastAsia" w:ascii="仿宋" w:hAnsi="仿宋" w:eastAsia="仿宋" w:cs="仿宋"/>
          <w:sz w:val="32"/>
          <w:szCs w:val="32"/>
          <w:lang w:eastAsia="zh-CN"/>
        </w:rPr>
        <w:t>部门决算表</w:t>
      </w:r>
    </w:p>
    <w:p w14:paraId="038E1159">
      <w:pPr>
        <w:pStyle w:val="14"/>
        <w:jc w:val="center"/>
        <w:rPr>
          <w:sz w:val="72"/>
          <w:szCs w:val="72"/>
        </w:rPr>
      </w:pPr>
    </w:p>
    <w:p w14:paraId="7A78E6D9">
      <w:pPr>
        <w:pStyle w:val="14"/>
        <w:jc w:val="center"/>
        <w:rPr>
          <w:sz w:val="72"/>
          <w:szCs w:val="72"/>
        </w:rPr>
      </w:pPr>
    </w:p>
    <w:p w14:paraId="6B43CD32">
      <w:pPr>
        <w:pStyle w:val="14"/>
        <w:jc w:val="center"/>
        <w:rPr>
          <w:sz w:val="72"/>
          <w:szCs w:val="72"/>
        </w:rPr>
      </w:pPr>
      <w:bookmarkStart w:id="1" w:name="_GoBack"/>
      <w:bookmarkEnd w:id="1"/>
    </w:p>
    <w:p w14:paraId="7CC2177C">
      <w:pPr>
        <w:pStyle w:val="14"/>
        <w:jc w:val="center"/>
        <w:rPr>
          <w:sz w:val="72"/>
          <w:szCs w:val="72"/>
        </w:rPr>
      </w:pPr>
    </w:p>
    <w:sectPr>
      <w:pgSz w:w="11906" w:h="16838"/>
      <w:pgMar w:top="2098" w:right="1361" w:bottom="1701" w:left="1531"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DD772E"/>
    <w:multiLevelType w:val="singleLevel"/>
    <w:tmpl w:val="91DD772E"/>
    <w:lvl w:ilvl="0" w:tentative="0">
      <w:start w:val="1"/>
      <w:numFmt w:val="chineseCounting"/>
      <w:suff w:val="nothing"/>
      <w:lvlText w:val="（%1）"/>
      <w:lvlJc w:val="left"/>
      <w:pPr>
        <w:ind w:left="-10"/>
      </w:pPr>
      <w:rPr>
        <w:rFonts w:hint="eastAsia"/>
      </w:rPr>
    </w:lvl>
  </w:abstractNum>
  <w:abstractNum w:abstractNumId="1">
    <w:nsid w:val="216534C1"/>
    <w:multiLevelType w:val="singleLevel"/>
    <w:tmpl w:val="216534C1"/>
    <w:lvl w:ilvl="0" w:tentative="0">
      <w:start w:val="1"/>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C527C02"/>
    <w:multiLevelType w:val="singleLevel"/>
    <w:tmpl w:val="5C527C02"/>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wM2U2ODJlMmI0ZWUyMDU0N2ViODJhYTU1YjQ5Mz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EB2EE9"/>
    <w:rsid w:val="022C7410"/>
    <w:rsid w:val="047D6CD7"/>
    <w:rsid w:val="07BC1C31"/>
    <w:rsid w:val="080F222E"/>
    <w:rsid w:val="09E925A9"/>
    <w:rsid w:val="138D30AA"/>
    <w:rsid w:val="18B82335"/>
    <w:rsid w:val="19031590"/>
    <w:rsid w:val="190A6160"/>
    <w:rsid w:val="1BFF45E4"/>
    <w:rsid w:val="1DA53386"/>
    <w:rsid w:val="25827544"/>
    <w:rsid w:val="27633D4F"/>
    <w:rsid w:val="2A0F41D7"/>
    <w:rsid w:val="2B0C7B9C"/>
    <w:rsid w:val="2D004701"/>
    <w:rsid w:val="2F223BD8"/>
    <w:rsid w:val="319C4297"/>
    <w:rsid w:val="34D81ECE"/>
    <w:rsid w:val="35140ED9"/>
    <w:rsid w:val="38A06FB6"/>
    <w:rsid w:val="39171A74"/>
    <w:rsid w:val="39D60486"/>
    <w:rsid w:val="3C294EAB"/>
    <w:rsid w:val="41A64AE0"/>
    <w:rsid w:val="429834F3"/>
    <w:rsid w:val="488475F4"/>
    <w:rsid w:val="491839CC"/>
    <w:rsid w:val="4CAB7D08"/>
    <w:rsid w:val="517B1A44"/>
    <w:rsid w:val="52FB12B1"/>
    <w:rsid w:val="55E0332C"/>
    <w:rsid w:val="569D0B8E"/>
    <w:rsid w:val="5777D4F5"/>
    <w:rsid w:val="5A026F22"/>
    <w:rsid w:val="5B4B66A7"/>
    <w:rsid w:val="5FC6BB1E"/>
    <w:rsid w:val="5FF720F1"/>
    <w:rsid w:val="651A39E8"/>
    <w:rsid w:val="668345EE"/>
    <w:rsid w:val="670C7632"/>
    <w:rsid w:val="67982C74"/>
    <w:rsid w:val="6929076A"/>
    <w:rsid w:val="6B454EC0"/>
    <w:rsid w:val="6D9B5DFC"/>
    <w:rsid w:val="737D59BA"/>
    <w:rsid w:val="747A3AAC"/>
    <w:rsid w:val="761D66D3"/>
    <w:rsid w:val="77C37683"/>
    <w:rsid w:val="79FF515B"/>
    <w:rsid w:val="7B971768"/>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lock Text"/>
    <w:basedOn w:val="1"/>
    <w:unhideWhenUsed/>
    <w:qFormat/>
    <w:uiPriority w:val="99"/>
    <w:pPr>
      <w:ind w:firstLine="64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3"/>
    <w:semiHidden/>
    <w:qFormat/>
    <w:uiPriority w:val="0"/>
    <w:pPr>
      <w:snapToGrid w:val="0"/>
      <w:jc w:val="left"/>
    </w:pPr>
    <w:rPr>
      <w:sz w:val="18"/>
      <w:szCs w:val="18"/>
    </w:rPr>
  </w:style>
  <w:style w:type="paragraph" w:styleId="9">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19</Pages>
  <Words>5721</Words>
  <Characters>6100</Characters>
  <Lines>63</Lines>
  <Paragraphs>18</Paragraphs>
  <TotalTime>1</TotalTime>
  <ScaleCrop>false</ScaleCrop>
  <LinksUpToDate>false</LinksUpToDate>
  <CharactersWithSpaces>6111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Administrator</cp:lastModifiedBy>
  <cp:lastPrinted>2024-09-23T03:41:00Z</cp:lastPrinted>
  <dcterms:modified xsi:type="dcterms:W3CDTF">2024-09-23T09:28:49Z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7DD529CE88DE4B32B2E14BEC2D69B72D_12</vt:lpwstr>
  </property>
</Properties>
</file>