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AA38E">
      <w:pPr>
        <w:pStyle w:val="12"/>
        <w:jc w:val="both"/>
        <w:rPr>
          <w:rFonts w:hAnsi="黑体"/>
          <w:sz w:val="36"/>
          <w:szCs w:val="36"/>
        </w:rPr>
      </w:pPr>
      <w:r>
        <w:rPr>
          <w:rFonts w:hint="eastAsia" w:hAnsi="黑体"/>
          <w:sz w:val="36"/>
          <w:szCs w:val="36"/>
        </w:rPr>
        <w:t>附件1</w:t>
      </w:r>
    </w:p>
    <w:p w14:paraId="777FC2D6">
      <w:pPr>
        <w:pStyle w:val="12"/>
        <w:jc w:val="center"/>
        <w:rPr>
          <w:rFonts w:ascii="Times New Roman" w:hAnsi="Times New Roman" w:cs="Times New Roman"/>
          <w:sz w:val="56"/>
          <w:szCs w:val="56"/>
        </w:rPr>
      </w:pPr>
    </w:p>
    <w:p w14:paraId="09AE473A">
      <w:pPr>
        <w:pStyle w:val="12"/>
        <w:jc w:val="center"/>
        <w:rPr>
          <w:rFonts w:ascii="Times New Roman" w:hAnsi="Times New Roman" w:cs="Times New Roman"/>
          <w:sz w:val="84"/>
          <w:szCs w:val="84"/>
        </w:rPr>
      </w:pPr>
    </w:p>
    <w:p w14:paraId="25D1834D">
      <w:pPr>
        <w:pStyle w:val="12"/>
        <w:jc w:val="center"/>
        <w:rPr>
          <w:rFonts w:ascii="Times New Roman" w:hAnsi="Times New Roman" w:cs="Times New Roman"/>
          <w:sz w:val="84"/>
          <w:szCs w:val="84"/>
        </w:rPr>
      </w:pPr>
    </w:p>
    <w:p w14:paraId="30E1BB49">
      <w:pPr>
        <w:pStyle w:val="12"/>
        <w:jc w:val="center"/>
        <w:rPr>
          <w:rFonts w:ascii="Times New Roman" w:hAnsi="Times New Roman" w:eastAsia="方正小标宋简体" w:cs="Times New Roman"/>
          <w:sz w:val="72"/>
          <w:szCs w:val="72"/>
          <w:highlight w:val="none"/>
        </w:rPr>
      </w:pPr>
      <w:r>
        <w:rPr>
          <w:rFonts w:ascii="Times New Roman" w:hAnsi="Times New Roman" w:eastAsia="方正小标宋简体" w:cs="Times New Roman"/>
          <w:sz w:val="72"/>
          <w:szCs w:val="72"/>
          <w:highlight w:val="none"/>
        </w:rPr>
        <w:t>2024年度</w:t>
      </w:r>
    </w:p>
    <w:p w14:paraId="2F935E10">
      <w:pPr>
        <w:pStyle w:val="12"/>
        <w:jc w:val="center"/>
        <w:rPr>
          <w:rFonts w:ascii="Times New Roman" w:hAnsi="Times New Roman" w:eastAsia="方正小标宋简体" w:cs="Times New Roman"/>
          <w:sz w:val="72"/>
          <w:szCs w:val="72"/>
          <w:highlight w:val="none"/>
        </w:rPr>
      </w:pPr>
      <w:r>
        <w:rPr>
          <w:rFonts w:hint="eastAsia" w:ascii="Times New Roman" w:hAnsi="Times New Roman" w:eastAsia="方正小标宋简体" w:cs="Times New Roman"/>
          <w:sz w:val="72"/>
          <w:szCs w:val="72"/>
          <w:highlight w:val="none"/>
          <w:lang w:eastAsia="zh-CN"/>
        </w:rPr>
        <w:t>怀化日报社部门</w:t>
      </w:r>
      <w:r>
        <w:rPr>
          <w:rFonts w:ascii="Times New Roman" w:hAnsi="Times New Roman" w:eastAsia="方正小标宋简体" w:cs="Times New Roman"/>
          <w:sz w:val="72"/>
          <w:szCs w:val="72"/>
          <w:highlight w:val="none"/>
        </w:rPr>
        <w:t>决算</w:t>
      </w:r>
    </w:p>
    <w:p w14:paraId="54A6AAD1">
      <w:pPr>
        <w:pStyle w:val="12"/>
        <w:jc w:val="center"/>
        <w:rPr>
          <w:rFonts w:ascii="Times New Roman" w:hAnsi="Times New Roman" w:eastAsia="方正小标宋_GBK" w:cs="Times New Roman"/>
          <w:sz w:val="56"/>
          <w:szCs w:val="56"/>
        </w:rPr>
      </w:pPr>
    </w:p>
    <w:p w14:paraId="10DEFBA3">
      <w:pPr>
        <w:pStyle w:val="12"/>
        <w:jc w:val="center"/>
        <w:rPr>
          <w:rFonts w:ascii="Times New Roman" w:hAnsi="Times New Roman" w:cs="Times New Roman"/>
          <w:sz w:val="56"/>
          <w:szCs w:val="56"/>
        </w:rPr>
      </w:pPr>
    </w:p>
    <w:p w14:paraId="06257E3D">
      <w:pPr>
        <w:pStyle w:val="12"/>
        <w:rPr>
          <w:rFonts w:ascii="Times New Roman" w:hAnsi="Times New Roman" w:cs="Times New Roman"/>
          <w:sz w:val="56"/>
          <w:szCs w:val="56"/>
        </w:rPr>
      </w:pPr>
    </w:p>
    <w:p w14:paraId="13ABF529">
      <w:pPr>
        <w:pStyle w:val="12"/>
        <w:jc w:val="center"/>
        <w:rPr>
          <w:rFonts w:ascii="Times New Roman" w:hAnsi="Times New Roman" w:cs="Times New Roman"/>
          <w:sz w:val="32"/>
          <w:szCs w:val="32"/>
        </w:rPr>
      </w:pPr>
    </w:p>
    <w:p w14:paraId="1628F181">
      <w:pPr>
        <w:pStyle w:val="12"/>
        <w:jc w:val="center"/>
        <w:rPr>
          <w:rFonts w:ascii="Times New Roman" w:hAnsi="Times New Roman" w:cs="Times New Roman"/>
          <w:sz w:val="32"/>
          <w:szCs w:val="32"/>
        </w:rPr>
      </w:pPr>
    </w:p>
    <w:p w14:paraId="4CD4D73E">
      <w:pPr>
        <w:pStyle w:val="12"/>
        <w:jc w:val="center"/>
        <w:rPr>
          <w:rFonts w:ascii="Times New Roman" w:hAnsi="Times New Roman" w:cs="Times New Roman"/>
          <w:sz w:val="32"/>
          <w:szCs w:val="32"/>
        </w:rPr>
      </w:pPr>
    </w:p>
    <w:p w14:paraId="65C445F1">
      <w:pPr>
        <w:pStyle w:val="12"/>
        <w:jc w:val="center"/>
        <w:rPr>
          <w:rFonts w:ascii="Times New Roman" w:hAnsi="Times New Roman" w:cs="Times New Roman"/>
          <w:sz w:val="32"/>
          <w:szCs w:val="32"/>
        </w:rPr>
      </w:pPr>
    </w:p>
    <w:p w14:paraId="71AAC5B0">
      <w:pPr>
        <w:pStyle w:val="12"/>
        <w:jc w:val="center"/>
        <w:rPr>
          <w:rFonts w:ascii="Times New Roman" w:hAnsi="Times New Roman" w:cs="Times New Roman"/>
          <w:sz w:val="32"/>
          <w:szCs w:val="32"/>
        </w:rPr>
      </w:pPr>
    </w:p>
    <w:p w14:paraId="05337F40">
      <w:pPr>
        <w:pStyle w:val="12"/>
        <w:jc w:val="center"/>
        <w:rPr>
          <w:rFonts w:ascii="Times New Roman" w:hAnsi="Times New Roman" w:cs="Times New Roman"/>
          <w:sz w:val="32"/>
          <w:szCs w:val="32"/>
        </w:rPr>
      </w:pPr>
    </w:p>
    <w:p w14:paraId="70933F55">
      <w:pPr>
        <w:pStyle w:val="12"/>
        <w:spacing w:line="540" w:lineRule="exact"/>
        <w:jc w:val="center"/>
        <w:rPr>
          <w:rFonts w:ascii="Times New Roman" w:hAnsi="Times New Roman" w:cs="Times New Roman"/>
          <w:sz w:val="56"/>
          <w:szCs w:val="56"/>
        </w:rPr>
      </w:pPr>
    </w:p>
    <w:p w14:paraId="0D06BBC9">
      <w:pPr>
        <w:rPr>
          <w:rFonts w:ascii="Times New Roman" w:hAnsi="Times New Roman" w:cs="Times New Roman"/>
          <w:b/>
          <w:sz w:val="36"/>
          <w:szCs w:val="28"/>
        </w:rPr>
        <w:sectPr>
          <w:pgSz w:w="11906" w:h="16838"/>
          <w:pgMar w:top="1417" w:right="1588" w:bottom="1417" w:left="1588" w:header="851" w:footer="992" w:gutter="0"/>
          <w:cols w:space="425" w:num="1"/>
          <w:docGrid w:type="lines" w:linePitch="312" w:charSpace="0"/>
        </w:sectPr>
      </w:pPr>
    </w:p>
    <w:p w14:paraId="7C9449E5">
      <w:pPr>
        <w:pStyle w:val="12"/>
        <w:spacing w:line="600" w:lineRule="exact"/>
        <w:jc w:val="both"/>
        <w:rPr>
          <w:rFonts w:ascii="Times New Roman" w:hAnsi="Times New Roman" w:cs="Times New Roman"/>
          <w:b/>
          <w:sz w:val="36"/>
          <w:szCs w:val="28"/>
        </w:rPr>
        <w:sectPr>
          <w:footerReference r:id="rId3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0AABBEB6">
      <w:pPr>
        <w:pStyle w:val="12"/>
        <w:spacing w:line="600" w:lineRule="exact"/>
        <w:jc w:val="both"/>
        <w:rPr>
          <w:rFonts w:ascii="Times New Roman" w:hAnsi="Times New Roman" w:cs="Times New Roman"/>
          <w:b/>
          <w:sz w:val="36"/>
          <w:szCs w:val="28"/>
        </w:rPr>
      </w:pPr>
    </w:p>
    <w:p w14:paraId="05AB15AB">
      <w:pPr>
        <w:pStyle w:val="12"/>
        <w:spacing w:line="600" w:lineRule="exact"/>
        <w:jc w:val="center"/>
        <w:rPr>
          <w:rFonts w:ascii="Times New Roman" w:hAnsi="Times New Roman" w:cs="Times New Roman"/>
          <w:bCs/>
          <w:sz w:val="36"/>
          <w:szCs w:val="28"/>
        </w:rPr>
      </w:pPr>
      <w:r>
        <w:rPr>
          <w:rFonts w:ascii="Times New Roman" w:hAnsi="Times New Roman" w:cs="Times New Roman"/>
          <w:bCs/>
          <w:sz w:val="36"/>
          <w:szCs w:val="28"/>
        </w:rPr>
        <w:t>目  录</w:t>
      </w:r>
    </w:p>
    <w:p w14:paraId="123C5660">
      <w:pPr>
        <w:pStyle w:val="12"/>
        <w:spacing w:line="600" w:lineRule="exact"/>
        <w:jc w:val="center"/>
        <w:rPr>
          <w:rFonts w:ascii="Times New Roman" w:hAnsi="Times New Roman" w:cs="Times New Roman"/>
          <w:b/>
          <w:sz w:val="36"/>
          <w:szCs w:val="28"/>
        </w:rPr>
      </w:pPr>
    </w:p>
    <w:p w14:paraId="7761912C">
      <w:pPr>
        <w:pStyle w:val="12"/>
        <w:spacing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第一部分 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怀化日报社</w:t>
      </w:r>
      <w:r>
        <w:rPr>
          <w:rFonts w:ascii="Times New Roman" w:hAnsi="Times New Roman" w:cs="Times New Roman"/>
          <w:bCs/>
          <w:sz w:val="32"/>
          <w:szCs w:val="32"/>
        </w:rPr>
        <w:t>概况</w:t>
      </w:r>
    </w:p>
    <w:p w14:paraId="7F146F6D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一、部门职责</w:t>
      </w:r>
    </w:p>
    <w:p w14:paraId="1A7BF920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二、机构设置及决算单位构成</w:t>
      </w:r>
    </w:p>
    <w:p w14:paraId="1733DE81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第二部分 部门决算表</w:t>
      </w:r>
    </w:p>
    <w:p w14:paraId="323BF72D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一、收入支出决算总表</w:t>
      </w:r>
    </w:p>
    <w:p w14:paraId="7DEE7E6D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二、收入决算表</w:t>
      </w:r>
    </w:p>
    <w:p w14:paraId="18E5E559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三、支出决算表</w:t>
      </w:r>
    </w:p>
    <w:p w14:paraId="1976C320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四、财政拨款收入支出决算总表</w:t>
      </w:r>
    </w:p>
    <w:p w14:paraId="52168B3E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五、一般公共预算财政拨款支出决算表</w:t>
      </w:r>
    </w:p>
    <w:p w14:paraId="6849B8DF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六、一般公共预算财政拨款基本支出决算明细表</w:t>
      </w:r>
    </w:p>
    <w:p w14:paraId="481352E4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七、政府性基金预算财政拨款收入支出决算表</w:t>
      </w:r>
    </w:p>
    <w:p w14:paraId="083C8BA2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八、国有资本经营预算财政拨款支出决算表</w:t>
      </w:r>
    </w:p>
    <w:p w14:paraId="710A3157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九、财政拨款“三公”经费支出决算表</w:t>
      </w:r>
    </w:p>
    <w:p w14:paraId="35D9ED99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第三部分 部门决算情况说明</w:t>
      </w:r>
    </w:p>
    <w:p w14:paraId="6BFAF470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一、收入支出决算总体情况说明</w:t>
      </w:r>
    </w:p>
    <w:p w14:paraId="3506CE5C">
      <w:pPr>
        <w:spacing w:line="60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二、收入决算情况说明</w:t>
      </w:r>
    </w:p>
    <w:p w14:paraId="54B38134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三、支出决算情况说明</w:t>
      </w:r>
    </w:p>
    <w:p w14:paraId="1E39DD2C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四、财政拨款收入支出决算总体情况说明</w:t>
      </w:r>
    </w:p>
    <w:p w14:paraId="3EDF08B2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五、一般公共预算财政拨款支出决算情况说明</w:t>
      </w:r>
    </w:p>
    <w:p w14:paraId="76AA4D78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sectPr>
          <w:footerReference r:id="rId4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0C0EE1BF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六、一般公共预算财政拨款基本支出决算情况说明</w:t>
      </w:r>
    </w:p>
    <w:p w14:paraId="7C9B2482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七、财政拨款“三公”经费支出决算情况说明</w:t>
      </w:r>
    </w:p>
    <w:p w14:paraId="1B49101F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八、政府性基金预算收入支出决算情况</w:t>
      </w:r>
    </w:p>
    <w:p w14:paraId="432D6F89">
      <w:pPr>
        <w:autoSpaceDE w:val="0"/>
        <w:autoSpaceDN w:val="0"/>
        <w:adjustRightInd w:val="0"/>
        <w:spacing w:line="600" w:lineRule="exact"/>
        <w:jc w:val="left"/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九、国有资本经营预算财政拨款收入支出决算情况说明</w:t>
      </w:r>
    </w:p>
    <w:p w14:paraId="77FA2DF2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十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、关于机关运行经费支出说明</w:t>
      </w:r>
    </w:p>
    <w:p w14:paraId="6C3C3F47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一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、一般性支出情况说明</w:t>
      </w:r>
    </w:p>
    <w:p w14:paraId="5FBC17BC">
      <w:pPr>
        <w:autoSpaceDE w:val="0"/>
        <w:autoSpaceDN w:val="0"/>
        <w:adjustRightInd w:val="0"/>
        <w:spacing w:line="60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eastAsia="zh-CN"/>
        </w:rPr>
        <w:t>二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、关于政府采购支出说明</w:t>
      </w:r>
    </w:p>
    <w:p w14:paraId="192490FA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</w:rPr>
        <w:t>、关于国有资产占用情况说明</w:t>
      </w:r>
    </w:p>
    <w:p w14:paraId="20E0DB9E">
      <w:pPr>
        <w:pStyle w:val="12"/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四</w:t>
      </w:r>
      <w:r>
        <w:rPr>
          <w:rFonts w:ascii="Times New Roman" w:hAnsi="Times New Roman" w:eastAsia="仿宋_GB2312" w:cs="Times New Roman"/>
          <w:sz w:val="32"/>
          <w:szCs w:val="32"/>
        </w:rPr>
        <w:t>、关于2024年度预算绩效管理情况的说明</w:t>
      </w:r>
    </w:p>
    <w:p w14:paraId="2167515F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第四部分 名词解释</w:t>
      </w:r>
    </w:p>
    <w:p w14:paraId="57DA3DF5">
      <w:pPr>
        <w:pStyle w:val="12"/>
        <w:spacing w:before="156" w:beforeLines="50" w:after="156" w:afterLines="50" w:line="600" w:lineRule="exac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第五部分 附件</w:t>
      </w:r>
    </w:p>
    <w:p w14:paraId="5ED34514">
      <w:pPr>
        <w:pStyle w:val="12"/>
        <w:spacing w:line="600" w:lineRule="exact"/>
        <w:rPr>
          <w:rFonts w:ascii="Times New Roman" w:hAnsi="Times New Roman" w:cs="Times New Roman"/>
          <w:bCs/>
          <w:sz w:val="28"/>
          <w:szCs w:val="28"/>
        </w:rPr>
      </w:pPr>
    </w:p>
    <w:p w14:paraId="515C9E41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A02FBFE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C01033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36E92C4">
      <w:pPr>
        <w:pStyle w:val="7"/>
        <w:rPr>
          <w:rFonts w:ascii="Times New Roman" w:hAnsi="Times New Roman" w:cs="Times New Roman"/>
        </w:rPr>
        <w:sectPr>
          <w:footerReference r:id="rId5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7DC3AC72">
      <w:pPr>
        <w:rPr>
          <w:rFonts w:ascii="Times New Roman" w:hAnsi="Times New Roman" w:eastAsia="方正小标宋_GBK" w:cs="Times New Roman"/>
          <w:sz w:val="72"/>
          <w:szCs w:val="72"/>
        </w:rPr>
      </w:pPr>
    </w:p>
    <w:p w14:paraId="0617D5A7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第一部分</w:t>
      </w:r>
    </w:p>
    <w:p w14:paraId="37CDFF4F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hint="eastAsia" w:ascii="Times New Roman" w:hAnsi="Times New Roman" w:eastAsia="方正小标宋_GBK" w:cs="Times New Roman"/>
          <w:sz w:val="52"/>
          <w:szCs w:val="52"/>
          <w:lang w:eastAsia="zh-CN"/>
        </w:rPr>
        <w:t>怀化日报社</w:t>
      </w:r>
      <w:r>
        <w:rPr>
          <w:rFonts w:ascii="Times New Roman" w:hAnsi="Times New Roman" w:eastAsia="方正小标宋_GBK" w:cs="Times New Roman"/>
          <w:sz w:val="52"/>
          <w:szCs w:val="52"/>
        </w:rPr>
        <w:t>概况</w:t>
      </w:r>
    </w:p>
    <w:p w14:paraId="5BB56526">
      <w:pPr>
        <w:pStyle w:val="3"/>
        <w:ind w:left="0" w:leftChars="0" w:firstLine="0" w:firstLineChars="0"/>
        <w:rPr>
          <w:rFonts w:ascii="Times New Roman" w:hAnsi="Times New Roman" w:cs="Times New Roman"/>
        </w:rPr>
      </w:pPr>
    </w:p>
    <w:p w14:paraId="15924473">
      <w:pPr>
        <w:pStyle w:val="13"/>
        <w:spacing w:line="600" w:lineRule="exact"/>
        <w:ind w:firstLine="0" w:firstLineChars="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</w:t>
      </w:r>
      <w:r>
        <w:rPr>
          <w:rFonts w:ascii="Times New Roman" w:hAnsi="Times New Roman" w:eastAsia="黑体" w:cs="Times New Roman"/>
          <w:sz w:val="32"/>
          <w:szCs w:val="32"/>
        </w:rPr>
        <w:t>部门职责</w:t>
      </w:r>
    </w:p>
    <w:p w14:paraId="46DBD808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</w:rPr>
        <w:t>传播湖南省怀化市新闻和其他信息，促进地方社会经济文化发展</w:t>
      </w: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lang w:eastAsia="zh-CN"/>
        </w:rPr>
        <w:t>。</w:t>
      </w:r>
    </w:p>
    <w:p w14:paraId="6D8882C6">
      <w:pPr>
        <w:widowControl/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 w:cs="仿宋"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bCs/>
          <w:color w:val="auto"/>
          <w:kern w:val="0"/>
          <w:sz w:val="32"/>
          <w:szCs w:val="32"/>
        </w:rPr>
        <w:t>主报出版、本报发行、广告、新闻研究、新闻培训、印刷、制版、装订、新闻业务交流及相关社会服务。</w:t>
      </w:r>
    </w:p>
    <w:p w14:paraId="54ED7B07">
      <w:pPr>
        <w:widowControl/>
        <w:spacing w:line="600" w:lineRule="exac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>二、机构设置及决算单位构成</w:t>
      </w:r>
    </w:p>
    <w:p w14:paraId="3AE1E736">
      <w:pPr>
        <w:widowControl/>
        <w:spacing w:line="600" w:lineRule="exact"/>
        <w:ind w:firstLine="640" w:firstLineChars="200"/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 w:bidi="ar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（一）内设机构设置。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怀化日报社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内设机构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包括：办公室、党群工作部、人力资源部、财务部、总编室、纸媒编辑部、怀化新闻网编辑部、掌上怀化编辑部、创意产品部、时政要闻部、理论评论部、综合新闻部、视觉新闻部、专刊策划部、广告经营部、营销拓展部、印刷出版部、技术运营部。</w:t>
      </w:r>
    </w:p>
    <w:p w14:paraId="2004020A">
      <w:pPr>
        <w:widowControl/>
        <w:spacing w:line="600" w:lineRule="exact"/>
        <w:ind w:firstLine="640" w:firstLineChars="200"/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（二）决算单位构成。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  <w:t>怀化日报社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年部门决算汇总公开单位构成包括：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  <w:t>怀化日报社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本级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  <w:t>。</w:t>
      </w:r>
    </w:p>
    <w:p w14:paraId="0AD94B30"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03E155FE">
      <w:pPr>
        <w:widowControl/>
        <w:spacing w:line="600" w:lineRule="exact"/>
        <w:rPr>
          <w:rFonts w:ascii="Times New Roman" w:hAnsi="Times New Roman" w:eastAsia="仿宋_GB2312" w:cs="Times New Roman"/>
          <w:bCs/>
          <w:kern w:val="0"/>
          <w:sz w:val="32"/>
          <w:szCs w:val="32"/>
        </w:rPr>
      </w:pPr>
    </w:p>
    <w:p w14:paraId="60652AE1">
      <w:pPr>
        <w:jc w:val="left"/>
        <w:rPr>
          <w:rFonts w:ascii="Times New Roman" w:hAnsi="Times New Roman" w:eastAsia="仿宋_GB2312" w:cs="Times New Roman"/>
          <w:sz w:val="28"/>
          <w:szCs w:val="32"/>
        </w:rPr>
      </w:pPr>
    </w:p>
    <w:p w14:paraId="35B49ECC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264C3A6A">
      <w:pPr>
        <w:jc w:val="center"/>
        <w:rPr>
          <w:rFonts w:ascii="Times New Roman" w:hAnsi="Times New Roman" w:eastAsia="黑体" w:cs="Times New Roman"/>
          <w:sz w:val="28"/>
          <w:szCs w:val="28"/>
        </w:rPr>
      </w:pPr>
    </w:p>
    <w:p w14:paraId="00E056D0">
      <w:pPr>
        <w:pStyle w:val="7"/>
        <w:rPr>
          <w:rFonts w:ascii="Times New Roman" w:hAnsi="Times New Roman" w:cs="Times New Roman"/>
        </w:rPr>
        <w:sectPr>
          <w:footerReference r:id="rId6" w:type="default"/>
          <w:pgSz w:w="11906" w:h="16838"/>
          <w:pgMar w:top="1417" w:right="1588" w:bottom="1417" w:left="1588" w:header="851" w:footer="992" w:gutter="0"/>
          <w:pgNumType w:start="1"/>
          <w:cols w:space="425" w:num="1"/>
          <w:docGrid w:type="lines" w:linePitch="312" w:charSpace="0"/>
        </w:sectPr>
      </w:pPr>
    </w:p>
    <w:p w14:paraId="18F7BC9C">
      <w:pPr>
        <w:pStyle w:val="12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32F4E20E">
      <w:pPr>
        <w:pStyle w:val="12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0847C5D5">
      <w:pPr>
        <w:pStyle w:val="12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58D3FDB6">
      <w:pPr>
        <w:pStyle w:val="12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第二部分    部门决算表</w:t>
      </w:r>
    </w:p>
    <w:p w14:paraId="727A567C">
      <w:pPr>
        <w:pStyle w:val="12"/>
        <w:rPr>
          <w:rFonts w:ascii="Times New Roman" w:hAnsi="Times New Roman" w:cs="Times New Roman"/>
          <w:sz w:val="72"/>
          <w:szCs w:val="72"/>
        </w:rPr>
      </w:pPr>
    </w:p>
    <w:p w14:paraId="2ABBCAE3">
      <w:pPr>
        <w:pStyle w:val="12"/>
        <w:jc w:val="center"/>
        <w:rPr>
          <w:rFonts w:hint="eastAsia" w:ascii="Times New Roman" w:hAnsi="Times New Roman" w:eastAsia="黑体" w:cs="Times New Roman"/>
          <w:sz w:val="72"/>
          <w:szCs w:val="72"/>
          <w:lang w:eastAsia="zh-CN"/>
        </w:rPr>
      </w:pPr>
      <w:r>
        <w:rPr>
          <w:rFonts w:hint="eastAsia" w:ascii="Times New Roman" w:hAnsi="Times New Roman" w:cs="Times New Roman"/>
          <w:sz w:val="72"/>
          <w:szCs w:val="72"/>
          <w:lang w:eastAsia="zh-CN"/>
        </w:rPr>
        <w:t>（见附件）</w:t>
      </w:r>
    </w:p>
    <w:p w14:paraId="100EFDCE">
      <w:pPr>
        <w:pStyle w:val="12"/>
        <w:rPr>
          <w:rFonts w:ascii="Times New Roman" w:hAnsi="Times New Roman" w:cs="Times New Roman"/>
          <w:sz w:val="72"/>
          <w:szCs w:val="72"/>
        </w:rPr>
      </w:pPr>
    </w:p>
    <w:p w14:paraId="4CC7CA7A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5F4AD231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24487DE3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2360C241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767A4AFC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2BA961C5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62062317">
      <w:pPr>
        <w:pStyle w:val="12"/>
        <w:jc w:val="both"/>
        <w:rPr>
          <w:rFonts w:ascii="Times New Roman" w:hAnsi="Times New Roman" w:cs="Times New Roman"/>
          <w:sz w:val="72"/>
          <w:szCs w:val="72"/>
        </w:rPr>
      </w:pPr>
    </w:p>
    <w:p w14:paraId="20946330">
      <w:pPr>
        <w:pStyle w:val="12"/>
        <w:jc w:val="both"/>
        <w:rPr>
          <w:rFonts w:ascii="Times New Roman" w:hAnsi="Times New Roman" w:cs="Times New Roman"/>
          <w:sz w:val="72"/>
          <w:szCs w:val="72"/>
        </w:rPr>
      </w:pPr>
    </w:p>
    <w:p w14:paraId="4681DEF3">
      <w:pPr>
        <w:pStyle w:val="12"/>
        <w:jc w:val="center"/>
        <w:rPr>
          <w:rFonts w:ascii="Times New Roman" w:hAnsi="Times New Roman" w:eastAsia="方正小标宋_GBK" w:cs="Times New Roman"/>
          <w:sz w:val="72"/>
          <w:szCs w:val="72"/>
        </w:rPr>
      </w:pPr>
    </w:p>
    <w:p w14:paraId="2DDE7530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4A070926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4EDABCCF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</w:p>
    <w:p w14:paraId="26E9C801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第三部分</w:t>
      </w:r>
    </w:p>
    <w:p w14:paraId="3D3557B6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2024年度部门决算情况说明</w:t>
      </w:r>
    </w:p>
    <w:p w14:paraId="07B0CEBD">
      <w:pPr>
        <w:widowControl/>
        <w:jc w:val="lef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eastAsia="方正小标宋_GBK" w:cs="Times New Roman"/>
          <w:sz w:val="70"/>
          <w:szCs w:val="70"/>
        </w:rPr>
        <w:br w:type="page"/>
      </w:r>
    </w:p>
    <w:p w14:paraId="099C3C80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一、收入支出决算总体情况说明</w:t>
      </w:r>
    </w:p>
    <w:p w14:paraId="52F0B24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入总</w:t>
      </w:r>
      <w:r>
        <w:rPr>
          <w:rFonts w:ascii="Times New Roman" w:hAnsi="Times New Roman" w:eastAsia="仿宋_GB2312" w:cs="Times New Roman"/>
          <w:sz w:val="32"/>
          <w:szCs w:val="32"/>
        </w:rPr>
        <w:t>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3957.2</w:t>
      </w:r>
      <w:r>
        <w:rPr>
          <w:rFonts w:ascii="Times New Roman" w:hAnsi="Times New Roman" w:eastAsia="仿宋_GB2312" w:cs="Times New Roman"/>
          <w:sz w:val="32"/>
          <w:szCs w:val="32"/>
        </w:rPr>
        <w:t>万元。与上年相比，减少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1621.32</w:t>
      </w:r>
      <w:r>
        <w:rPr>
          <w:rFonts w:ascii="Times New Roman" w:hAnsi="Times New Roman" w:eastAsia="仿宋_GB2312" w:cs="Times New Roman"/>
          <w:sz w:val="32"/>
          <w:szCs w:val="32"/>
        </w:rPr>
        <w:t>万元，降低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29.06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，主要是减少了报刊发行收入。</w:t>
      </w:r>
    </w:p>
    <w:p w14:paraId="72FCD31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出</w:t>
      </w:r>
      <w:r>
        <w:rPr>
          <w:rFonts w:ascii="Times New Roman" w:hAnsi="Times New Roman" w:eastAsia="仿宋_GB2312" w:cs="Times New Roman"/>
          <w:sz w:val="32"/>
          <w:szCs w:val="32"/>
        </w:rPr>
        <w:t>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3957.2</w:t>
      </w:r>
      <w:r>
        <w:rPr>
          <w:rFonts w:ascii="Times New Roman" w:hAnsi="Times New Roman" w:eastAsia="仿宋_GB2312" w:cs="Times New Roman"/>
          <w:sz w:val="32"/>
          <w:szCs w:val="32"/>
        </w:rPr>
        <w:t>万元。与上年相比，减少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1621.32</w:t>
      </w:r>
      <w:r>
        <w:rPr>
          <w:rFonts w:ascii="Times New Roman" w:hAnsi="Times New Roman" w:eastAsia="仿宋_GB2312" w:cs="Times New Roman"/>
          <w:sz w:val="32"/>
          <w:szCs w:val="32"/>
        </w:rPr>
        <w:t>万元，降低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29.06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，主要是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收入下降制约，压减非刚性开支。</w:t>
      </w:r>
    </w:p>
    <w:p w14:paraId="4527912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  <w:highlight w:val="none"/>
        </w:rPr>
      </w:pPr>
      <w:r>
        <w:rPr>
          <w:rFonts w:ascii="Times New Roman" w:hAnsi="Times New Roman" w:cs="Times New Roman"/>
          <w:bCs/>
          <w:sz w:val="32"/>
          <w:szCs w:val="32"/>
          <w:highlight w:val="none"/>
        </w:rPr>
        <w:t>二、收入决算情况说明</w:t>
      </w:r>
    </w:p>
    <w:p w14:paraId="712CA124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2024年度收入合计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3957.2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万元，其中：财政拨款收入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898.35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22.7</w:t>
      </w:r>
      <w:r>
        <w:rPr>
          <w:rFonts w:ascii="Times New Roman" w:hAnsi="Times New Roman" w:eastAsia="仿宋_GB2312" w:cs="Times New Roman"/>
          <w:sz w:val="32"/>
          <w:szCs w:val="32"/>
        </w:rPr>
        <w:t>%；上级补助收入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%；事业收入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3058.85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77.3</w:t>
      </w:r>
      <w:r>
        <w:rPr>
          <w:rFonts w:ascii="Times New Roman" w:hAnsi="Times New Roman" w:eastAsia="仿宋_GB2312" w:cs="Times New Roman"/>
          <w:sz w:val="32"/>
          <w:szCs w:val="32"/>
        </w:rPr>
        <w:t>%；经营收入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%；附属单位上缴收入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%；其他收入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%。</w:t>
      </w:r>
    </w:p>
    <w:p w14:paraId="3E0C26D4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三、支出决算情况说明</w:t>
      </w:r>
    </w:p>
    <w:p w14:paraId="7D38717E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2024年度支出合计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3957.2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万元，其中：基本支出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3691.75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93.29</w:t>
      </w:r>
      <w:r>
        <w:rPr>
          <w:rFonts w:ascii="Times New Roman" w:hAnsi="Times New Roman" w:eastAsia="仿宋_GB2312" w:cs="Times New Roman"/>
          <w:sz w:val="32"/>
          <w:szCs w:val="32"/>
        </w:rPr>
        <w:t>%；项目支出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265.45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6.71</w:t>
      </w:r>
      <w:r>
        <w:rPr>
          <w:rFonts w:ascii="Times New Roman" w:hAnsi="Times New Roman" w:eastAsia="仿宋_GB2312" w:cs="Times New Roman"/>
          <w:sz w:val="32"/>
          <w:szCs w:val="32"/>
        </w:rPr>
        <w:t>%；上缴上级支出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%；经营支出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%；对附属单位补助支出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%。</w:t>
      </w:r>
    </w:p>
    <w:p w14:paraId="298EA80E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四、财政拨款收入支出决算总体情况说明</w:t>
      </w:r>
    </w:p>
    <w:p w14:paraId="16AFD21F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入</w:t>
      </w:r>
      <w:r>
        <w:rPr>
          <w:rFonts w:ascii="Times New Roman" w:hAnsi="Times New Roman" w:eastAsia="仿宋_GB2312" w:cs="Times New Roman"/>
          <w:sz w:val="32"/>
          <w:szCs w:val="32"/>
        </w:rPr>
        <w:t>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898.35</w:t>
      </w:r>
      <w:r>
        <w:rPr>
          <w:rFonts w:ascii="Times New Roman" w:hAnsi="Times New Roman" w:eastAsia="仿宋_GB2312" w:cs="Times New Roman"/>
          <w:sz w:val="32"/>
          <w:szCs w:val="32"/>
        </w:rPr>
        <w:t>万元，与上年相比，增加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127.27</w:t>
      </w:r>
      <w:r>
        <w:rPr>
          <w:rFonts w:ascii="Times New Roman" w:hAnsi="Times New Roman" w:eastAsia="仿宋_GB2312" w:cs="Times New Roman"/>
          <w:sz w:val="32"/>
          <w:szCs w:val="32"/>
        </w:rPr>
        <w:t>万元,增长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16.51</w:t>
      </w:r>
      <w:r>
        <w:rPr>
          <w:rFonts w:ascii="Times New Roman" w:hAnsi="Times New Roman" w:eastAsia="仿宋_GB2312" w:cs="Times New Roman"/>
          <w:sz w:val="32"/>
          <w:szCs w:val="32"/>
        </w:rPr>
        <w:t>%，主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要是因为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增加了项目资金收入。</w:t>
      </w:r>
    </w:p>
    <w:p w14:paraId="72F0C1BB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出</w:t>
      </w:r>
      <w:r>
        <w:rPr>
          <w:rFonts w:ascii="Times New Roman" w:hAnsi="Times New Roman" w:eastAsia="仿宋_GB2312" w:cs="Times New Roman"/>
          <w:sz w:val="32"/>
          <w:szCs w:val="32"/>
        </w:rPr>
        <w:t>总计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898.35</w:t>
      </w:r>
      <w:r>
        <w:rPr>
          <w:rFonts w:ascii="Times New Roman" w:hAnsi="Times New Roman" w:eastAsia="仿宋_GB2312" w:cs="Times New Roman"/>
          <w:sz w:val="32"/>
          <w:szCs w:val="32"/>
        </w:rPr>
        <w:t>万元，与上年相比，增加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127.27</w:t>
      </w:r>
      <w:r>
        <w:rPr>
          <w:rFonts w:ascii="Times New Roman" w:hAnsi="Times New Roman" w:eastAsia="仿宋_GB2312" w:cs="Times New Roman"/>
          <w:sz w:val="32"/>
          <w:szCs w:val="32"/>
        </w:rPr>
        <w:t>万元,增长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16.51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，主要是因为增加了项目资金支出。</w:t>
      </w:r>
    </w:p>
    <w:p w14:paraId="6D8F210D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五、一般公共预算财政拨款支出决算情况说明</w:t>
      </w:r>
    </w:p>
    <w:p w14:paraId="477D19A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（一）一般公共预算财政拨款支出决算总体情况</w:t>
      </w:r>
    </w:p>
    <w:p w14:paraId="516243E4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898.35</w:t>
      </w:r>
      <w:r>
        <w:rPr>
          <w:rFonts w:ascii="Times New Roman" w:hAnsi="Times New Roman" w:eastAsia="仿宋_GB2312" w:cs="Times New Roman"/>
          <w:sz w:val="32"/>
          <w:szCs w:val="32"/>
        </w:rPr>
        <w:t>万元，占本年支出合计的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22.7</w:t>
      </w:r>
      <w:r>
        <w:rPr>
          <w:rFonts w:ascii="Times New Roman" w:hAnsi="Times New Roman" w:eastAsia="仿宋_GB2312" w:cs="Times New Roman"/>
          <w:sz w:val="32"/>
          <w:szCs w:val="32"/>
        </w:rPr>
        <w:t>%，与上年相比，财政拨款支出增加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127.27</w:t>
      </w:r>
      <w:r>
        <w:rPr>
          <w:rFonts w:ascii="Times New Roman" w:hAnsi="Times New Roman" w:eastAsia="仿宋_GB2312" w:cs="Times New Roman"/>
          <w:sz w:val="32"/>
          <w:szCs w:val="32"/>
        </w:rPr>
        <w:t>万元，增长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16.51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，主要是因为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增加了项目资金支出。</w:t>
      </w:r>
    </w:p>
    <w:p w14:paraId="235E987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（二）一般公共预算财政拨款支出决算结构情况</w:t>
      </w:r>
    </w:p>
    <w:p w14:paraId="7A0C6CE5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898.35</w:t>
      </w:r>
      <w:r>
        <w:rPr>
          <w:rFonts w:ascii="Times New Roman" w:hAnsi="Times New Roman" w:eastAsia="仿宋_GB2312" w:cs="Times New Roman"/>
          <w:sz w:val="32"/>
          <w:szCs w:val="32"/>
        </w:rPr>
        <w:t>万元，主要用于以下方面：一般公共服务（类）支出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0.22</w:t>
      </w:r>
      <w:r>
        <w:rPr>
          <w:rFonts w:ascii="Times New Roman" w:hAnsi="Times New Roman" w:eastAsia="仿宋_GB2312" w:cs="Times New Roman"/>
          <w:sz w:val="32"/>
          <w:szCs w:val="32"/>
        </w:rPr>
        <w:t>%；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文化旅游体育与传媒</w:t>
      </w:r>
      <w:r>
        <w:rPr>
          <w:rFonts w:ascii="Times New Roman" w:hAnsi="Times New Roman" w:eastAsia="仿宋_GB2312" w:cs="Times New Roman"/>
          <w:sz w:val="32"/>
          <w:szCs w:val="32"/>
        </w:rPr>
        <w:t>（类）支出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817.63</w:t>
      </w:r>
      <w:r>
        <w:rPr>
          <w:rFonts w:ascii="Times New Roman" w:hAnsi="Times New Roman" w:eastAsia="仿宋_GB2312" w:cs="Times New Roman"/>
          <w:sz w:val="32"/>
          <w:szCs w:val="32"/>
        </w:rPr>
        <w:t>万元，占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91.01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；住房保障（类）支出78.73万元，占8.76%。</w:t>
      </w:r>
    </w:p>
    <w:p w14:paraId="5EC7085F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（三）一般公共预算财政拨款支出决算具体情况</w:t>
      </w:r>
    </w:p>
    <w:p w14:paraId="05E2EA9D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2024年度财政拨款支出年初预算数为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832.35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万元，支出决算数为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898.35</w:t>
      </w:r>
      <w:r>
        <w:rPr>
          <w:rFonts w:ascii="Times New Roman" w:hAnsi="Times New Roman" w:eastAsia="仿宋_GB2312" w:cs="Times New Roman"/>
          <w:sz w:val="32"/>
          <w:szCs w:val="32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107.93</w:t>
      </w:r>
      <w:r>
        <w:rPr>
          <w:rFonts w:ascii="Times New Roman" w:hAnsi="Times New Roman" w:eastAsia="仿宋_GB2312" w:cs="Times New Roman"/>
          <w:sz w:val="32"/>
          <w:szCs w:val="32"/>
        </w:rPr>
        <w:t>%，其中：</w:t>
      </w:r>
    </w:p>
    <w:p w14:paraId="5347881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1、一般公共服务（类）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政协事务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其他政协事务支出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4A271B15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万元，决算数大于年初预算数的主要原因是：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年中增加政协工作室建设和运行经费。</w:t>
      </w:r>
    </w:p>
    <w:p w14:paraId="3CE5A6B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新闻出版电影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其他新闻出版电影支出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5A57429E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753.62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753.62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6C4BD7EF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其他文化旅游体育与传媒支出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其他文化旅游体育与传媒支出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51A70BFB">
      <w:pPr>
        <w:overflowPunct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64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万元，决算数大</w:t>
      </w:r>
      <w:r>
        <w:rPr>
          <w:rFonts w:ascii="Times New Roman" w:hAnsi="Times New Roman" w:eastAsia="仿宋_GB2312" w:cs="Times New Roman"/>
          <w:sz w:val="32"/>
          <w:szCs w:val="32"/>
        </w:rPr>
        <w:t>于年初预算数的主要原因是：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年中增加了掌上怀化宣传经费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2万；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新闻外宣工作经费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_GB2312" w:cs="Times New Roman"/>
          <w:sz w:val="32"/>
          <w:szCs w:val="32"/>
        </w:rPr>
        <w:t>万元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；对上宣传报道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30万、舆情直报点5万、学习强国平台建设15万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866D6DF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住房保障支出</w:t>
      </w:r>
      <w:r>
        <w:rPr>
          <w:rFonts w:ascii="Times New Roman" w:hAnsi="Times New Roman" w:eastAsia="仿宋_GB2312" w:cs="Times New Roman"/>
          <w:sz w:val="32"/>
          <w:szCs w:val="32"/>
        </w:rPr>
        <w:t>（类）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住房改革支出</w:t>
      </w:r>
      <w:r>
        <w:rPr>
          <w:rFonts w:ascii="Times New Roman" w:hAnsi="Times New Roman" w:eastAsia="仿宋_GB2312" w:cs="Times New Roman"/>
          <w:sz w:val="32"/>
          <w:szCs w:val="32"/>
        </w:rPr>
        <w:t>（款）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住房公积金</w:t>
      </w:r>
      <w:r>
        <w:rPr>
          <w:rFonts w:ascii="Times New Roman" w:hAnsi="Times New Roman" w:eastAsia="仿宋_GB2312" w:cs="Times New Roman"/>
          <w:sz w:val="32"/>
          <w:szCs w:val="32"/>
        </w:rPr>
        <w:t>（项）。</w:t>
      </w:r>
    </w:p>
    <w:p w14:paraId="5A90DDD4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年初预算为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78.73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78.73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万元，完成年初预算的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。</w:t>
      </w:r>
    </w:p>
    <w:p w14:paraId="1EBF9C88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六、一般公共预算财政拨款基本支出决算情况说明</w:t>
      </w:r>
    </w:p>
    <w:p w14:paraId="757BEDCE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2024年度一般公共预算财政拨款基本支出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790.85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</w:t>
      </w:r>
      <w:r>
        <w:rPr>
          <w:rFonts w:ascii="Times New Roman" w:hAnsi="Times New Roman" w:eastAsia="仿宋_GB2312" w:cs="Times New Roman"/>
          <w:b/>
          <w:bCs/>
          <w:sz w:val="32"/>
          <w:szCs w:val="32"/>
          <w:highlight w:val="none"/>
        </w:rPr>
        <w:t>人员经费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790.85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万元，占基本支出的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%,主要包括基本工资、奖金、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住房公积金、生活补助。</w:t>
      </w:r>
    </w:p>
    <w:p w14:paraId="628D94E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七、财政拨款“三公”经费支出决算情况说明</w:t>
      </w:r>
    </w:p>
    <w:p w14:paraId="560FFB6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（一）“三公”经费财政拨款支出决算总体情况说明</w:t>
      </w:r>
    </w:p>
    <w:p w14:paraId="5DE4DDDD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yellow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2024年度“三公”经费财政拨款支出预算为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695288F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_GB2312" w:cs="Times New Roman"/>
          <w:b/>
          <w:sz w:val="32"/>
          <w:szCs w:val="32"/>
        </w:rPr>
      </w:pPr>
      <w:r>
        <w:rPr>
          <w:rFonts w:ascii="Times New Roman" w:hAnsi="Times New Roman" w:eastAsia="楷体_GB2312" w:cs="Times New Roman"/>
          <w:b/>
          <w:sz w:val="32"/>
          <w:szCs w:val="32"/>
        </w:rPr>
        <w:t>（二）“三公”经费财政拨款支出决算具体情况说明</w:t>
      </w:r>
    </w:p>
    <w:p w14:paraId="00D19BBD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" w:cs="Times New Roman"/>
          <w:b/>
          <w:bCs/>
          <w:i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1.因公出国（境）费支出预算为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%。</w:t>
      </w:r>
    </w:p>
    <w:p w14:paraId="453A9BD0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2.公务用车购置费及运行维护费支出预算为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%；其中：</w:t>
      </w:r>
    </w:p>
    <w:p w14:paraId="149BB8A3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公务用车购置费支出预算为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%；单位本级更新公务用车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15C9D741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楷体" w:cs="Times New Roman"/>
          <w:b/>
          <w:bCs/>
          <w:i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公务用车运行维护费支出预算为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本年度公务用车运行维护费在非财政拨款列支</w:t>
      </w:r>
      <w:r>
        <w:rPr>
          <w:rFonts w:ascii="Times New Roman" w:hAnsi="Times New Roman" w:eastAsia="仿宋_GB2312" w:cs="Times New Roman"/>
          <w:sz w:val="32"/>
          <w:szCs w:val="32"/>
        </w:rPr>
        <w:t>。截止2024年12月31日，我单位开支财政拨款的公务用车保有量为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辆。</w:t>
      </w:r>
    </w:p>
    <w:p w14:paraId="60144D97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ascii="Times New Roman" w:hAnsi="Times New Roman" w:eastAsia="仿宋_GB2312" w:cs="Times New Roman"/>
          <w:sz w:val="32"/>
          <w:szCs w:val="32"/>
        </w:rPr>
        <w:t>公务接待费支出预算为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万元，支出决算为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本年度公务接待费在非财政拨款列支。</w:t>
      </w:r>
    </w:p>
    <w:p w14:paraId="42FE6CAA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八、政府性基金预算收入支出决算情况</w:t>
      </w:r>
    </w:p>
    <w:p w14:paraId="659AF4D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2024年度本单位无政府性基金收入，无政府性基金支出。</w:t>
      </w:r>
    </w:p>
    <w:p w14:paraId="7B5FF3E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九、国有资本经营预算财政拨款</w:t>
      </w:r>
      <w:r>
        <w:rPr>
          <w:rFonts w:hint="eastAsia" w:hAnsi="黑体" w:cs="黑体"/>
          <w:b w:val="0"/>
          <w:bCs/>
          <w:sz w:val="32"/>
          <w:szCs w:val="32"/>
          <w:lang w:eastAsia="zh-CN"/>
        </w:rPr>
        <w:t>收入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支出决算情况说明</w:t>
      </w:r>
    </w:p>
    <w:p w14:paraId="19ED712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2024年度本单位无国有资本经营预算财政拨款收入，无国有资本经营预算财政拨款支出。</w:t>
      </w:r>
    </w:p>
    <w:p w14:paraId="596097D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十</w:t>
      </w:r>
      <w:r>
        <w:rPr>
          <w:rFonts w:ascii="Times New Roman" w:hAnsi="Times New Roman" w:cs="Times New Roman"/>
          <w:bCs/>
          <w:sz w:val="32"/>
          <w:szCs w:val="32"/>
        </w:rPr>
        <w:t>、关于机关运行经费支出说明</w:t>
      </w:r>
    </w:p>
    <w:p w14:paraId="46EF78AF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2024年度本单位无机关运行经费支出。</w:t>
      </w:r>
    </w:p>
    <w:p w14:paraId="059E0B9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十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一</w:t>
      </w:r>
      <w:r>
        <w:rPr>
          <w:rFonts w:ascii="Times New Roman" w:hAnsi="Times New Roman" w:cs="Times New Roman"/>
          <w:bCs/>
          <w:sz w:val="32"/>
          <w:szCs w:val="32"/>
        </w:rPr>
        <w:t>、一般性支出情况说明</w:t>
      </w:r>
    </w:p>
    <w:p w14:paraId="23040420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黑体"/>
          <w:color w:val="000000"/>
          <w:kern w:val="0"/>
          <w:sz w:val="32"/>
          <w:szCs w:val="32"/>
          <w:lang w:val="en-US" w:eastAsia="zh-CN" w:bidi="ar-SA"/>
        </w:rPr>
        <w:t>2024年度本单位无一般性支出</w:t>
      </w:r>
    </w:p>
    <w:p w14:paraId="1E59B41D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十</w:t>
      </w:r>
      <w:r>
        <w:rPr>
          <w:rFonts w:hint="eastAsia" w:ascii="Times New Roman" w:hAnsi="Times New Roman" w:cs="Times New Roman"/>
          <w:bCs/>
          <w:sz w:val="32"/>
          <w:szCs w:val="32"/>
          <w:lang w:eastAsia="zh-CN"/>
        </w:rPr>
        <w:t>二</w:t>
      </w:r>
      <w:r>
        <w:rPr>
          <w:rFonts w:ascii="Times New Roman" w:hAnsi="Times New Roman" w:cs="Times New Roman"/>
          <w:bCs/>
          <w:sz w:val="32"/>
          <w:szCs w:val="32"/>
        </w:rPr>
        <w:t>、关于政府采购支出说明</w:t>
      </w:r>
    </w:p>
    <w:p w14:paraId="4136B710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本部门2024年度政府采购支出总额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万元，其中：政府采购货物支出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万元、政府采购工程支出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万元、政府采购服务支出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万元。授予中小企业合同金额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万元，占政府采购支出总额的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%，其中：授予小微企业合同金额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sz w:val="32"/>
          <w:szCs w:val="32"/>
        </w:rPr>
        <w:t>万元，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占授予中小企业合同金额的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%。货物采购授予中小企业合同金额占货物支出金额的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%，工程采购授予中小企业合同金额占工程支出金额的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%，服务采购授予中小企业合同金额占服务支出金额的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%。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十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eastAsia="zh-CN"/>
        </w:rPr>
        <w:t>三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、关于国有资产占用情况说明</w:t>
      </w:r>
    </w:p>
    <w:p w14:paraId="135D0BB2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截至2024年12月31日，部门（单位）共有车辆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辆，其中，副部（省）级及以上领导用车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辆、主要负责人用车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辆、机要通信用车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辆、应急保障用车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辆、执法执勤用车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辆、特种专业技术用车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辆、离退休干部服务用车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辆、其他用车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辆，其他用车主要是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一般公务用车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；单位价值100万元以上设备（不含车辆）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台（套）。</w:t>
      </w:r>
    </w:p>
    <w:p w14:paraId="279CC98C">
      <w:pPr>
        <w:pStyle w:val="12"/>
        <w:overflowPunct w:val="0"/>
        <w:autoSpaceDE/>
        <w:autoSpaceDN/>
        <w:spacing w:line="600" w:lineRule="exact"/>
        <w:ind w:firstLine="640" w:firstLineChars="200"/>
        <w:jc w:val="both"/>
        <w:rPr>
          <w:rFonts w:ascii="Times New Roman" w:hAnsi="Times New Roman" w:cs="Times New Roman"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Cs/>
          <w:color w:val="auto"/>
          <w:sz w:val="32"/>
          <w:szCs w:val="32"/>
        </w:rPr>
        <w:t>十</w:t>
      </w:r>
      <w:r>
        <w:rPr>
          <w:rFonts w:hint="eastAsia" w:ascii="Times New Roman" w:hAnsi="Times New Roman" w:cs="Times New Roman"/>
          <w:bCs/>
          <w:color w:val="auto"/>
          <w:sz w:val="32"/>
          <w:szCs w:val="32"/>
          <w:lang w:eastAsia="zh-CN"/>
        </w:rPr>
        <w:t>四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、关于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2024</w:t>
      </w:r>
      <w:r>
        <w:rPr>
          <w:rFonts w:ascii="Times New Roman" w:hAnsi="Times New Roman" w:cs="Times New Roman"/>
          <w:bCs/>
          <w:color w:val="auto"/>
          <w:sz w:val="32"/>
          <w:szCs w:val="32"/>
        </w:rPr>
        <w:t>年度预算绩效情况的说明</w:t>
      </w:r>
    </w:p>
    <w:p w14:paraId="0F5987AB">
      <w:pPr>
        <w:overflowPunct w:val="0"/>
        <w:spacing w:line="600" w:lineRule="exact"/>
        <w:ind w:firstLine="640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（一）绩效评价工作开展情况。</w:t>
      </w:r>
    </w:p>
    <w:p w14:paraId="2B941A80"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一是绩效自评开展情况。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组织对2024年度本单位整体支出开展绩效自评，涉及项目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个，共涉及资金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107.5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万元。其中，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一般公共预算项目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107.5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 xml:space="preserve"> 万元，占一般公共预算支出总额的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%；政府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性基金预算项目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万元，占政府性基金预算支出总额的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%；国有资本经营预算项目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万元，占国有资本经营预算支出总额的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%；社会保险基金预算项目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个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万元，占社会保险基金预算支出总额的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%。</w:t>
      </w:r>
    </w:p>
    <w:p w14:paraId="7675867C"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二是部门评价开展情况。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组织对所属单位2024年度“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新华社新闻供稿经费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、“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新闻网运行经费”、“掌上怀化宣传经费”、“新闻外宣工作经费”、“对上宣传报道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30万、舆情直报点5万、学习强国平台建设15万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”、“委员工作室建设和运行经费”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项目开展了部门评价，涉及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一般公共预算支出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107.5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万元，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政府性基金预算支出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万元，国有资本经营预算支出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万元，社会保险基金预算支出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万元。</w:t>
      </w:r>
    </w:p>
    <w:p w14:paraId="1371F388">
      <w:pPr>
        <w:overflowPunct w:val="0"/>
        <w:spacing w:line="600" w:lineRule="exact"/>
        <w:ind w:firstLine="640" w:firstLineChars="200"/>
        <w:rPr>
          <w:rFonts w:ascii="Times New Roman" w:hAnsi="Times New Roman" w:eastAsia="楷体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三是事前绩效评估开展情况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组织对2024年度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个重大项目开展事前绩效评估，共涉及资金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val="en-US" w:eastAsia="zh-CN"/>
        </w:rPr>
        <w:t>21.5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万元。</w:t>
      </w:r>
    </w:p>
    <w:p w14:paraId="1E34D705">
      <w:pPr>
        <w:numPr>
          <w:ilvl w:val="0"/>
          <w:numId w:val="1"/>
        </w:numPr>
        <w:overflowPunct w:val="0"/>
        <w:spacing w:line="600" w:lineRule="exact"/>
        <w:ind w:firstLine="640" w:firstLineChars="200"/>
        <w:rPr>
          <w:rFonts w:ascii="Times New Roman" w:hAnsi="Times New Roman" w:eastAsia="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sz w:val="32"/>
          <w:szCs w:val="32"/>
        </w:rPr>
        <w:t>绩效评价结果。</w:t>
      </w:r>
    </w:p>
    <w:p w14:paraId="6721F97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  <w:highlight w:val="none"/>
        </w:rPr>
        <w:t>绩效自评结果。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24年度本单位整体支出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全年预算数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3957.2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万元，执行数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3957.2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，绩效自评得分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分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，评价等级为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优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”。</w:t>
      </w:r>
    </w:p>
    <w:p w14:paraId="720380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绩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目标完成情况：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一是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社会成本指标方面，社会成本节约率0%，完成全年目标100%。二是数量指标方面，向上对外报道稿件数大于490条，当年完成稿数500余条，完成全年目标100 %。三是质量指标方面，确保重点工作提质增效90%，完成全年目标100%。四是时效指标方面，及时完成情况，2024年12月31日之前全部完成，完成全年目标100%。五是社会效益指标方面，怀化日报社给社会增加的正面影响方面效果明显。六是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可持续发展能力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方面，促进全媒体持续发展效果明显。七是服务对象满意度方面，使用人员满意度90%以上。</w:t>
      </w:r>
    </w:p>
    <w:p w14:paraId="392948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发现的主要问题及原因：</w:t>
      </w:r>
      <w:r>
        <w:rPr>
          <w:rFonts w:hint="eastAsia" w:ascii="仿宋_GB2312" w:hAnsi="仿宋_GB2312" w:eastAsia="仿宋_GB2312" w:cs="仿宋_GB2312"/>
          <w:b w:val="0"/>
          <w:i w:val="0"/>
          <w:iCs w:val="0"/>
          <w:caps w:val="0"/>
          <w:color w:val="000000"/>
          <w:spacing w:val="0"/>
          <w:w w:val="100"/>
          <w:sz w:val="32"/>
          <w:szCs w:val="32"/>
          <w:highlight w:val="none"/>
          <w:shd w:val="clear" w:color="auto" w:fill="FFFFFF"/>
          <w:lang w:val="en-US" w:eastAsia="zh-CN"/>
        </w:rPr>
        <w:t>一是对预算绩效管理工作重视不够，缺乏制度性的约束，在执行过程中难免出现散漫、敷衍、不重内容，偏于形式等问题。二是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缺乏全面掌握预算绩效管理涉及到的项目业务、财务、效益等方面知识，特别是能对效益方面进行较好评价的专业人才。三是预算绩效管理制度体系不够完善，指标体系和评价方法不够完善。</w:t>
      </w:r>
    </w:p>
    <w:p w14:paraId="399484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下一步改进措施：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一是</w:t>
      </w:r>
      <w:r>
        <w:rPr>
          <w:rFonts w:hint="eastAsia" w:ascii="仿宋" w:hAnsi="仿宋" w:eastAsia="仿宋" w:cs="仿宋"/>
          <w:sz w:val="32"/>
          <w:szCs w:val="32"/>
        </w:rPr>
        <w:t>立足实际，坚持推行精细化管理，强化预算绩效目标管理、细化绩效目标，并将绩效目标细化分解为具体工作计划，同时，计划应明确规定在一定时间内完成的目标、任务和和应达到的要求，任务和要求应具体明确任务数量、质量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二是</w:t>
      </w:r>
      <w:r>
        <w:rPr>
          <w:rFonts w:hint="eastAsia" w:ascii="仿宋" w:hAnsi="仿宋" w:eastAsia="仿宋" w:cs="仿宋"/>
          <w:sz w:val="32"/>
          <w:szCs w:val="32"/>
        </w:rPr>
        <w:t>建立健全财政各项资金管理制度，严格执行财务管理制度，做到了财务处理及时，会计核算规范，严格按照计划进度支付。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三是对</w:t>
      </w:r>
      <w:r>
        <w:rPr>
          <w:rFonts w:hint="eastAsia" w:ascii="仿宋" w:hAnsi="仿宋" w:eastAsia="仿宋" w:cs="仿宋"/>
          <w:sz w:val="32"/>
          <w:szCs w:val="32"/>
        </w:rPr>
        <w:t>各项目资金严格实行专款专用，保证更规范严要求使用资金。在下年度的预算编制工作中，我们会时刻跟踪项目的进度，更好地完成预算资金，做好绩效评价工作。</w:t>
      </w:r>
    </w:p>
    <w:p w14:paraId="4084214D">
      <w:pPr>
        <w:overflowPunct w:val="0"/>
        <w:spacing w:line="600" w:lineRule="exact"/>
        <w:ind w:firstLine="640" w:firstLineChars="200"/>
        <w:rPr>
          <w:rFonts w:ascii="Times New Roman" w:hAnsi="Times New Roman" w:eastAsia="仿宋_GB2312" w:cs="Times New Roman"/>
          <w:b/>
          <w:bCs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  <w:t>2、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  <w:highlight w:val="none"/>
        </w:rPr>
        <w:t>部门评价结果。</w:t>
      </w:r>
    </w:p>
    <w:p w14:paraId="3DDD5FCC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）新华社新闻供稿经费</w:t>
      </w:r>
      <w:r>
        <w:rPr>
          <w:rFonts w:ascii="Times New Roman" w:hAnsi="Times New Roman" w:eastAsia="仿宋_GB2312" w:cs="Times New Roman"/>
          <w:sz w:val="32"/>
          <w:szCs w:val="32"/>
        </w:rPr>
        <w:t>项目全年预算数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21.5</w:t>
      </w:r>
      <w:r>
        <w:rPr>
          <w:rFonts w:ascii="Times New Roman" w:hAnsi="Times New Roman" w:eastAsia="仿宋_GB2312" w:cs="Times New Roman"/>
          <w:sz w:val="32"/>
          <w:szCs w:val="32"/>
        </w:rPr>
        <w:t>万元，执行数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21.5</w:t>
      </w:r>
      <w:r>
        <w:rPr>
          <w:rFonts w:ascii="Times New Roman" w:hAnsi="Times New Roman" w:eastAsia="仿宋_GB2312" w:cs="Times New Roman"/>
          <w:sz w:val="32"/>
          <w:szCs w:val="32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%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部门评价得分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</w:rPr>
        <w:t>分，评价等级为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优</w:t>
      </w:r>
      <w:r>
        <w:rPr>
          <w:rFonts w:ascii="Times New Roman" w:hAnsi="Times New Roman" w:eastAsia="仿宋_GB2312" w:cs="Times New Roman"/>
          <w:sz w:val="32"/>
          <w:szCs w:val="32"/>
        </w:rPr>
        <w:t>”。</w:t>
      </w:r>
    </w:p>
    <w:p w14:paraId="1B2B7215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发现的主要问题及原因：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对于绩效评价的认识不够深入，预算绩效简单等同于工作目标、工作考核和业务管理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。二是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绩效目标和指标往往根据项目实际完成情况制定，对项目执行过程有效约束不够，存在一定的偏差。</w:t>
      </w:r>
    </w:p>
    <w:p w14:paraId="5DACEE76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下一步改进措施：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进一步深化、完善绩效管理机制，促进绩效管理工作向广度和深度延伸。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进一步加强会计核算，强化预算管理意识，严格执行预算管理制度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做到不在预算内坚决不支付。</w:t>
      </w:r>
    </w:p>
    <w:p w14:paraId="4CCE31B5">
      <w:pPr>
        <w:numPr>
          <w:ilvl w:val="0"/>
          <w:numId w:val="3"/>
        </w:numPr>
        <w:overflowPunct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新闻网运行经费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项目全年预算数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万元，执行数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部门评价得分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分，评价等级为“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优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37A3ACAF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发现的主要问题及原因：一是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对于绩效评价的认识不够深入，预算绩效简单等同于工作目标、工作考核和业务管理。二是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绩效目标和指标往往根据项目实际完成情况制定，对项目执行过程有效约束不够，存在一定的偏差。</w:t>
      </w:r>
    </w:p>
    <w:p w14:paraId="77EA3118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下一步改进措施：一是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进一步深化、完善绩效管理机制，促进绩效管理工作向广度和深度延伸。二是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进一步加强会计核算，强化预算管理意识，严格执行预算管理制度，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做到不在预算内坚决不支付。</w:t>
      </w:r>
    </w:p>
    <w:p w14:paraId="1030D79F">
      <w:pPr>
        <w:numPr>
          <w:ilvl w:val="0"/>
          <w:numId w:val="3"/>
        </w:numPr>
        <w:overflowPunct w:val="0"/>
        <w:spacing w:line="600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掌上怀化宣传经费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项目全年预算数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万元，执行数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部门评价得分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分，评价等级为“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优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2B9EF881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发现的主要问题及原因：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对于绩效评价的认识不够深入，预算绩效简单等同于工作目标、工作考核和业务管理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。二是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绩效目标和指标往往根据项目实际完成情况制定，对项目执行过程有效约束不够，存在一定的偏差。</w:t>
      </w:r>
    </w:p>
    <w:p w14:paraId="461D128A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下一步改进措施：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进一步深化、完善绩效管理机制，促进绩效管理工作向广度和深度延伸。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进一步加强会计核算，强化预算管理意识，严格执行预算管理制度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做到不在预算内坚决不支付。</w:t>
      </w:r>
    </w:p>
    <w:p w14:paraId="2716214A">
      <w:pPr>
        <w:numPr>
          <w:ilvl w:val="0"/>
          <w:numId w:val="3"/>
        </w:numPr>
        <w:overflowPunct w:val="0"/>
        <w:spacing w:line="600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新闻外宣工作经费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项目全年预算数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万元，执行数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部门评价得分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分，评价等级为“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优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7518F0CA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发现的主要问题及原因：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对于绩效评价的认识不够深入，预算绩效简单等同于工作目标、工作考核和业务管理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。二是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绩效目标和指标往往根据项目实际完成情况制定，对项目执行过程有效约束不够，存在一定的偏差。</w:t>
      </w:r>
    </w:p>
    <w:p w14:paraId="4EB530F3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下一步改进措施：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进一步深化、完善绩效管理机制，促进绩效管理工作向广度和深度延伸。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进一步加强会计核算，强化预算管理意识，严格执行预算管理制度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做到不在预算内坚决不支付。</w:t>
      </w:r>
    </w:p>
    <w:p w14:paraId="7DF536AC">
      <w:pPr>
        <w:numPr>
          <w:ilvl w:val="0"/>
          <w:numId w:val="3"/>
        </w:numPr>
        <w:overflowPunct w:val="0"/>
        <w:spacing w:line="600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对上宣传报道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30万、舆情直报点5万、学习强国平台建设15万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项目全年预算数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万元，执行数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50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部门评价得分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分，评价等级为“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优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46BCE66A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发现的主要问题及原因：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对于绩效评价的认识不够深入，预算绩效简单等同于工作目标、工作考核和业务管理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。二是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绩效目标和指标往往根据项目实际完成情况制定，对项目执行过程有效约束不够，存在一定的偏差。</w:t>
      </w:r>
    </w:p>
    <w:p w14:paraId="5028012D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下一步改进措施：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进一步深化、完善绩效管理机制，促进绩效管理工作向广度和深度延伸。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进一步加强会计核算，强化预算管理意识，严格执行预算管理制度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做到不在预算内坚决不支付。</w:t>
      </w:r>
    </w:p>
    <w:p w14:paraId="1665FC7D">
      <w:pPr>
        <w:numPr>
          <w:numId w:val="0"/>
        </w:numPr>
        <w:overflowPunct w:val="0"/>
        <w:spacing w:line="600" w:lineRule="exact"/>
        <w:ind w:leftChars="200" w:firstLine="320" w:firstLineChars="100"/>
        <w:rPr>
          <w:rFonts w:ascii="Times New Roman" w:hAnsi="Times New Roman" w:eastAsia="仿宋_GB2312" w:cs="Times New Roman"/>
          <w:sz w:val="32"/>
          <w:szCs w:val="32"/>
          <w:highlight w:val="none"/>
        </w:rPr>
      </w:pPr>
    </w:p>
    <w:p w14:paraId="2CBE12B8">
      <w:pPr>
        <w:numPr>
          <w:ilvl w:val="0"/>
          <w:numId w:val="3"/>
        </w:numPr>
        <w:overflowPunct w:val="0"/>
        <w:spacing w:line="600" w:lineRule="exact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委员工作室建设和运行经费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项目全年预算数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万元，执行数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万元，完成预算的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%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部门评价得分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100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分，评价等级为“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优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”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 w14:paraId="0097D87F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仿宋_GB2312" w:cs="Times New Roman"/>
          <w:sz w:val="32"/>
          <w:szCs w:val="32"/>
        </w:rPr>
        <w:t>发现的主要问题及原因：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对于绩效评价的认识不够深入，预算绩效简单等同于工作目标、工作考核和业务管理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。二是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绩效目标和指标往往根据项目实际完成情况制定，对项目执行过程有效约束不够，存在一定的偏差。</w:t>
      </w:r>
    </w:p>
    <w:p w14:paraId="42502614">
      <w:pPr>
        <w:pStyle w:val="1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下一步改进措施：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一是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进一步深化、完善绩效管理机制，促进绩效管理工作向广度和深度延伸。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二是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进一步加强会计核算，强化预算管理意识，严格执行预算管理制度</w:t>
      </w:r>
      <w:r>
        <w:rPr>
          <w:rFonts w:hint="eastAsia" w:ascii="仿宋" w:eastAsia="仿宋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ascii="仿宋" w:hAnsi="Calibri" w:eastAsia="仿宋" w:cs="Times New Roman"/>
          <w:kern w:val="2"/>
          <w:sz w:val="32"/>
          <w:szCs w:val="32"/>
          <w:lang w:val="en-US" w:eastAsia="zh-CN" w:bidi="ar-SA"/>
        </w:rPr>
        <w:t>做到不在预算内坚决不支付。</w:t>
      </w:r>
    </w:p>
    <w:p w14:paraId="441C4AA1">
      <w:pPr>
        <w:overflowPunct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  <w:t>3、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  <w:highlight w:val="none"/>
        </w:rPr>
        <w:t>事前绩效评估结果</w:t>
      </w: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p w14:paraId="1E526453">
      <w:pPr>
        <w:overflowPunct w:val="0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2024年度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个重大项目事前绩效评估，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个项目评估通过，涉及资金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21.5</w:t>
      </w:r>
      <w:r>
        <w:rPr>
          <w:rFonts w:ascii="Times New Roman" w:hAnsi="Times New Roman" w:eastAsia="仿宋_GB2312" w:cs="Times New Roman"/>
          <w:kern w:val="0"/>
          <w:sz w:val="32"/>
          <w:szCs w:val="32"/>
          <w:highlight w:val="none"/>
        </w:rPr>
        <w:t>万元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lang w:eastAsia="zh-CN"/>
        </w:rPr>
        <w:t>。</w:t>
      </w:r>
    </w:p>
    <w:p w14:paraId="0986C3A6">
      <w:pPr>
        <w:pStyle w:val="12"/>
        <w:numPr>
          <w:ilvl w:val="0"/>
          <w:numId w:val="1"/>
        </w:numPr>
        <w:overflowPunct w:val="0"/>
        <w:autoSpaceDE/>
        <w:autoSpaceDN/>
        <w:spacing w:line="600" w:lineRule="exact"/>
        <w:ind w:left="0" w:leftChars="0" w:firstLine="640" w:firstLineChars="200"/>
        <w:jc w:val="both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color w:val="auto"/>
          <w:kern w:val="2"/>
          <w:sz w:val="32"/>
          <w:szCs w:val="32"/>
        </w:rPr>
        <w:t>评价结果应用情况。</w:t>
      </w:r>
    </w:p>
    <w:p w14:paraId="299E9CCB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预算安排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：根据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2024年度绩效自评、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部门评价结果、财政评价结果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，对绩效表现优秀的项目，在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2025年度预算中予以优先保障；对绩效表现一般的项目，维持现有预算规模并加强过程管控；对绩效表现较差的项目，核减其2025年度预算，将资金统筹用于更具绩效的领域。</w:t>
      </w:r>
    </w:p>
    <w:p w14:paraId="27DC830C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支出结构调整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结合绩效评价结果，优化2025年度支出结构。加大对绩效突出的民生保障、重点业务等领域的支出比例；缩减绩效不佳、非必要的一般性支出，确保资金投向与部门战略目标和民生需求更契合。</w:t>
      </w:r>
    </w:p>
    <w:p w14:paraId="78CECBCC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资金管理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依据评价结果，完善资金管理制度。对资金使用效率高、绩效好的项目，总结其资金管理经验并在部门内推广；对资金使用存在闲置、浪费或效益低下的项目，建立更严格的资金审批、使用和监控机制，强化资金全流程管理，提高资金使用效益。</w:t>
      </w:r>
    </w:p>
    <w:p w14:paraId="294F2975">
      <w:pPr>
        <w:pStyle w:val="12"/>
        <w:numPr>
          <w:ilvl w:val="0"/>
          <w:numId w:val="0"/>
        </w:numPr>
        <w:overflowPunct w:val="0"/>
        <w:autoSpaceDE/>
        <w:autoSpaceDN/>
        <w:spacing w:line="60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制度建设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针对绩效评价中发现的制度漏洞和不足，在2025年推进相关制度建设。制定绩效目标管理、绩效监控、绩效评价结果应用等方面的配套制度，形成以绩效为导向的管理制度体系，为部门各项工作的高效开展提供制度保障。</w:t>
      </w:r>
    </w:p>
    <w:p w14:paraId="291AA1FB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29479BA6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17BCEB8F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33ED55FC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0DA70BDE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74AE5E9F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51D8223B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3AC828DF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392D30DF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4058870B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295C4F66">
      <w:pPr>
        <w:pStyle w:val="12"/>
        <w:jc w:val="both"/>
        <w:rPr>
          <w:rFonts w:ascii="Times New Roman" w:hAnsi="Times New Roman" w:cs="Times New Roman"/>
          <w:sz w:val="72"/>
          <w:szCs w:val="72"/>
        </w:rPr>
      </w:pPr>
    </w:p>
    <w:p w14:paraId="30B31E7D">
      <w:pPr>
        <w:pStyle w:val="12"/>
        <w:jc w:val="both"/>
        <w:rPr>
          <w:rFonts w:ascii="Times New Roman" w:hAnsi="Times New Roman" w:cs="Times New Roman"/>
          <w:sz w:val="72"/>
          <w:szCs w:val="72"/>
        </w:rPr>
      </w:pPr>
    </w:p>
    <w:p w14:paraId="6DFB816E">
      <w:pPr>
        <w:pStyle w:val="12"/>
        <w:jc w:val="both"/>
        <w:rPr>
          <w:rFonts w:ascii="Times New Roman" w:hAnsi="Times New Roman" w:cs="Times New Roman"/>
          <w:sz w:val="72"/>
          <w:szCs w:val="72"/>
        </w:rPr>
      </w:pPr>
    </w:p>
    <w:p w14:paraId="270376F1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第四部分    名词解释</w:t>
      </w:r>
    </w:p>
    <w:p w14:paraId="11D41AE0">
      <w:pPr>
        <w:widowControl/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</w:p>
    <w:p w14:paraId="5FE7E534">
      <w:pPr>
        <w:widowControl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一、……</w:t>
      </w:r>
    </w:p>
    <w:p w14:paraId="017864D1">
      <w:pPr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二、……</w:t>
      </w:r>
    </w:p>
    <w:p w14:paraId="747FFDAE">
      <w:pPr>
        <w:ind w:firstLine="640" w:firstLineChars="200"/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三、…</w:t>
      </w:r>
      <w:r>
        <w:rPr>
          <w:rFonts w:ascii="Times New Roman" w:hAnsi="Times New Roman" w:cs="Times New Roman"/>
          <w:color w:val="000000"/>
          <w:kern w:val="0"/>
          <w:sz w:val="32"/>
          <w:szCs w:val="32"/>
        </w:rPr>
        <w:t>…</w:t>
      </w:r>
    </w:p>
    <w:p w14:paraId="27CFB8B9">
      <w:pPr>
        <w:pStyle w:val="12"/>
        <w:ind w:firstLine="640" w:firstLineChars="200"/>
        <w:rPr>
          <w:rFonts w:ascii="Times New Roman" w:hAnsi="Times New Roman" w:cs="Times New Roman" w:eastAsiaTheme="minorEastAsia"/>
          <w:sz w:val="32"/>
          <w:szCs w:val="32"/>
        </w:rPr>
      </w:pPr>
      <w:r>
        <w:rPr>
          <w:rFonts w:ascii="Times New Roman" w:hAnsi="Times New Roman" w:cs="Times New Roman" w:eastAsiaTheme="minorEastAsia"/>
          <w:sz w:val="32"/>
          <w:szCs w:val="32"/>
        </w:rPr>
        <w:t>………</w:t>
      </w:r>
    </w:p>
    <w:p w14:paraId="299F9FB6">
      <w:pPr>
        <w:pStyle w:val="12"/>
        <w:spacing w:line="600" w:lineRule="exact"/>
        <w:ind w:firstLine="640" w:firstLineChars="200"/>
        <w:rPr>
          <w:rFonts w:ascii="Times New Roman" w:hAnsi="Times New Roman" w:eastAsia="楷体_GB2312" w:cs="Times New Roman"/>
          <w:b/>
          <w:bCs/>
          <w:i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b/>
          <w:bCs/>
          <w:i/>
          <w:color w:val="auto"/>
          <w:sz w:val="32"/>
          <w:szCs w:val="32"/>
        </w:rPr>
        <w:t>（名词解释应包含本部门专有名词，如省财政厅应有对“财政事务”科目的解释，可参考中央相关部门的名词解释）</w:t>
      </w:r>
    </w:p>
    <w:p w14:paraId="7AD62E15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4BD3C4EC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2E8FBC67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5F7DD2CF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64D615FF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20C67FDA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5DED052D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1E9532C6">
      <w:pPr>
        <w:pStyle w:val="12"/>
        <w:jc w:val="both"/>
        <w:rPr>
          <w:rFonts w:ascii="Times New Roman" w:hAnsi="Times New Roman" w:cs="Times New Roman"/>
          <w:sz w:val="72"/>
          <w:szCs w:val="72"/>
        </w:rPr>
      </w:pPr>
    </w:p>
    <w:p w14:paraId="0BE9CE0F">
      <w:pPr>
        <w:pStyle w:val="12"/>
        <w:jc w:val="both"/>
        <w:rPr>
          <w:rFonts w:ascii="Times New Roman" w:hAnsi="Times New Roman" w:cs="Times New Roman"/>
          <w:sz w:val="72"/>
          <w:szCs w:val="72"/>
        </w:rPr>
      </w:pPr>
    </w:p>
    <w:p w14:paraId="4B09477A">
      <w:pPr>
        <w:pStyle w:val="12"/>
        <w:spacing w:line="360" w:lineRule="auto"/>
        <w:jc w:val="center"/>
        <w:rPr>
          <w:rFonts w:ascii="Times New Roman" w:hAnsi="Times New Roman" w:eastAsia="方正小标宋_GBK" w:cs="Times New Roman"/>
          <w:sz w:val="52"/>
          <w:szCs w:val="52"/>
        </w:rPr>
      </w:pPr>
      <w:r>
        <w:rPr>
          <w:rFonts w:ascii="Times New Roman" w:hAnsi="Times New Roman" w:eastAsia="方正小标宋_GBK" w:cs="Times New Roman"/>
          <w:sz w:val="52"/>
          <w:szCs w:val="52"/>
        </w:rPr>
        <w:t>第五部分   附 件</w:t>
      </w:r>
    </w:p>
    <w:p w14:paraId="20E59AE0">
      <w:pPr>
        <w:rPr>
          <w:rFonts w:ascii="Times New Roman" w:hAnsi="Times New Roman" w:cs="Times New Roman"/>
          <w:sz w:val="72"/>
          <w:szCs w:val="72"/>
        </w:rPr>
      </w:pPr>
    </w:p>
    <w:p w14:paraId="180AC61A">
      <w:pPr>
        <w:pStyle w:val="12"/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一、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怀化日报社2024年度部</w:t>
      </w:r>
      <w:r>
        <w:rPr>
          <w:rFonts w:ascii="Times New Roman" w:hAnsi="Times New Roman" w:eastAsia="仿宋_GB2312" w:cs="Times New Roman"/>
          <w:sz w:val="32"/>
          <w:szCs w:val="32"/>
        </w:rPr>
        <w:t>门整体支出绩效自评报告。</w:t>
      </w:r>
    </w:p>
    <w:p w14:paraId="7920EC39">
      <w:pPr>
        <w:pStyle w:val="12"/>
        <w:spacing w:line="60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二、怀化日报社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2024年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部门决算表</w:t>
      </w:r>
    </w:p>
    <w:p w14:paraId="7FA6E905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780DFD17">
      <w:pPr>
        <w:pStyle w:val="12"/>
        <w:jc w:val="center"/>
        <w:rPr>
          <w:rFonts w:ascii="Times New Roman" w:hAnsi="Times New Roman" w:cs="Times New Roman"/>
          <w:sz w:val="72"/>
          <w:szCs w:val="72"/>
        </w:rPr>
      </w:pPr>
    </w:p>
    <w:p w14:paraId="3E27071A">
      <w:pPr>
        <w:jc w:val="left"/>
        <w:rPr>
          <w:rFonts w:ascii="Times New Roman" w:hAnsi="Times New Roman" w:cs="Times New Roman"/>
          <w:color w:val="000000"/>
          <w:kern w:val="0"/>
          <w:sz w:val="32"/>
          <w:szCs w:val="32"/>
        </w:rPr>
      </w:pPr>
    </w:p>
    <w:sectPr>
      <w:pgSz w:w="11906" w:h="16838"/>
      <w:pgMar w:top="1417" w:right="1588" w:bottom="1417" w:left="158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00C33A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86B68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DF2A1">
    <w:pPr>
      <w:pStyle w:val="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0AF43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13DDB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13DDB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3068AD"/>
    <w:multiLevelType w:val="singleLevel"/>
    <w:tmpl w:val="AA3068A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B7BD034"/>
    <w:multiLevelType w:val="singleLevel"/>
    <w:tmpl w:val="BB7BD034"/>
    <w:lvl w:ilvl="0" w:tentative="0">
      <w:start w:val="2"/>
      <w:numFmt w:val="decimal"/>
      <w:suff w:val="nothing"/>
      <w:lvlText w:val="（%1）"/>
      <w:lvlJc w:val="left"/>
    </w:lvl>
  </w:abstractNum>
  <w:abstractNum w:abstractNumId="2">
    <w:nsid w:val="FC3A9ED3"/>
    <w:multiLevelType w:val="singleLevel"/>
    <w:tmpl w:val="FC3A9ED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F9"/>
    <w:rsid w:val="0000001A"/>
    <w:rsid w:val="0002229B"/>
    <w:rsid w:val="000273BD"/>
    <w:rsid w:val="0003620C"/>
    <w:rsid w:val="00040CBC"/>
    <w:rsid w:val="000415B7"/>
    <w:rsid w:val="00041E3F"/>
    <w:rsid w:val="00055DAA"/>
    <w:rsid w:val="00061F7B"/>
    <w:rsid w:val="000658A3"/>
    <w:rsid w:val="00074155"/>
    <w:rsid w:val="00080785"/>
    <w:rsid w:val="000969AD"/>
    <w:rsid w:val="000A3F69"/>
    <w:rsid w:val="000B20F1"/>
    <w:rsid w:val="000C5742"/>
    <w:rsid w:val="00103957"/>
    <w:rsid w:val="00152C6D"/>
    <w:rsid w:val="00162D39"/>
    <w:rsid w:val="001678BD"/>
    <w:rsid w:val="00182373"/>
    <w:rsid w:val="001A67DB"/>
    <w:rsid w:val="001B67D1"/>
    <w:rsid w:val="001C3C29"/>
    <w:rsid w:val="001D2B79"/>
    <w:rsid w:val="001D51E5"/>
    <w:rsid w:val="001E080D"/>
    <w:rsid w:val="001E53D0"/>
    <w:rsid w:val="001F0C3B"/>
    <w:rsid w:val="00202C82"/>
    <w:rsid w:val="00214427"/>
    <w:rsid w:val="00220689"/>
    <w:rsid w:val="00221AFD"/>
    <w:rsid w:val="00226CB7"/>
    <w:rsid w:val="00252450"/>
    <w:rsid w:val="00264552"/>
    <w:rsid w:val="00264EF9"/>
    <w:rsid w:val="00265724"/>
    <w:rsid w:val="0027426B"/>
    <w:rsid w:val="00296D60"/>
    <w:rsid w:val="002E0A30"/>
    <w:rsid w:val="0030077D"/>
    <w:rsid w:val="003130C4"/>
    <w:rsid w:val="00316C4B"/>
    <w:rsid w:val="0032192B"/>
    <w:rsid w:val="0033283E"/>
    <w:rsid w:val="003479BD"/>
    <w:rsid w:val="0037197D"/>
    <w:rsid w:val="003768D5"/>
    <w:rsid w:val="003926B9"/>
    <w:rsid w:val="003C2E17"/>
    <w:rsid w:val="003C47E6"/>
    <w:rsid w:val="003C4FC2"/>
    <w:rsid w:val="00401F9A"/>
    <w:rsid w:val="00416E61"/>
    <w:rsid w:val="0042790C"/>
    <w:rsid w:val="004506F9"/>
    <w:rsid w:val="00462315"/>
    <w:rsid w:val="004717A2"/>
    <w:rsid w:val="00473DF3"/>
    <w:rsid w:val="00487911"/>
    <w:rsid w:val="00490F48"/>
    <w:rsid w:val="00491741"/>
    <w:rsid w:val="004B0CEE"/>
    <w:rsid w:val="004C2A0A"/>
    <w:rsid w:val="004F5EFB"/>
    <w:rsid w:val="00500E5F"/>
    <w:rsid w:val="005122EF"/>
    <w:rsid w:val="0051441A"/>
    <w:rsid w:val="00517C33"/>
    <w:rsid w:val="00517D5F"/>
    <w:rsid w:val="00523644"/>
    <w:rsid w:val="0054069E"/>
    <w:rsid w:val="00544866"/>
    <w:rsid w:val="00552A3D"/>
    <w:rsid w:val="00574CC8"/>
    <w:rsid w:val="005767CC"/>
    <w:rsid w:val="00590D9F"/>
    <w:rsid w:val="00595D26"/>
    <w:rsid w:val="005A74E6"/>
    <w:rsid w:val="005B404E"/>
    <w:rsid w:val="005D4D55"/>
    <w:rsid w:val="005E0E6C"/>
    <w:rsid w:val="005E2CFB"/>
    <w:rsid w:val="005F2103"/>
    <w:rsid w:val="005F3D1C"/>
    <w:rsid w:val="005F4189"/>
    <w:rsid w:val="006171EE"/>
    <w:rsid w:val="0062378F"/>
    <w:rsid w:val="00641842"/>
    <w:rsid w:val="00651EEC"/>
    <w:rsid w:val="00686673"/>
    <w:rsid w:val="00691E8C"/>
    <w:rsid w:val="006A22C4"/>
    <w:rsid w:val="006A351B"/>
    <w:rsid w:val="006B0422"/>
    <w:rsid w:val="006C1B53"/>
    <w:rsid w:val="006D7730"/>
    <w:rsid w:val="006E5284"/>
    <w:rsid w:val="006F3EB5"/>
    <w:rsid w:val="006F56C8"/>
    <w:rsid w:val="00702E34"/>
    <w:rsid w:val="00704395"/>
    <w:rsid w:val="00710FE7"/>
    <w:rsid w:val="00717621"/>
    <w:rsid w:val="00720FF1"/>
    <w:rsid w:val="00727A53"/>
    <w:rsid w:val="007502DE"/>
    <w:rsid w:val="00787B42"/>
    <w:rsid w:val="007C4539"/>
    <w:rsid w:val="007F3657"/>
    <w:rsid w:val="00810F0C"/>
    <w:rsid w:val="00811AA2"/>
    <w:rsid w:val="00812ED5"/>
    <w:rsid w:val="008277D9"/>
    <w:rsid w:val="0084478C"/>
    <w:rsid w:val="0086638C"/>
    <w:rsid w:val="008764FA"/>
    <w:rsid w:val="008A1079"/>
    <w:rsid w:val="008A3E8D"/>
    <w:rsid w:val="008A5055"/>
    <w:rsid w:val="008D17F4"/>
    <w:rsid w:val="009237C4"/>
    <w:rsid w:val="00944C48"/>
    <w:rsid w:val="00950252"/>
    <w:rsid w:val="00967F5D"/>
    <w:rsid w:val="009A0F95"/>
    <w:rsid w:val="009B3ADF"/>
    <w:rsid w:val="009C31C5"/>
    <w:rsid w:val="009C3B52"/>
    <w:rsid w:val="009E6817"/>
    <w:rsid w:val="009E6E9A"/>
    <w:rsid w:val="00A01D2B"/>
    <w:rsid w:val="00A1392A"/>
    <w:rsid w:val="00A42218"/>
    <w:rsid w:val="00A70249"/>
    <w:rsid w:val="00A70B02"/>
    <w:rsid w:val="00A71D9F"/>
    <w:rsid w:val="00A92E9F"/>
    <w:rsid w:val="00AB18FF"/>
    <w:rsid w:val="00B26269"/>
    <w:rsid w:val="00B33BEA"/>
    <w:rsid w:val="00B57C9F"/>
    <w:rsid w:val="00B63572"/>
    <w:rsid w:val="00B845B3"/>
    <w:rsid w:val="00B85D8B"/>
    <w:rsid w:val="00BB4A40"/>
    <w:rsid w:val="00BD6022"/>
    <w:rsid w:val="00BD6C3E"/>
    <w:rsid w:val="00BE3674"/>
    <w:rsid w:val="00C10681"/>
    <w:rsid w:val="00C10822"/>
    <w:rsid w:val="00C15C89"/>
    <w:rsid w:val="00C27C0D"/>
    <w:rsid w:val="00C3049A"/>
    <w:rsid w:val="00C31B1E"/>
    <w:rsid w:val="00C32F2E"/>
    <w:rsid w:val="00C73888"/>
    <w:rsid w:val="00C77645"/>
    <w:rsid w:val="00CE04C3"/>
    <w:rsid w:val="00CE34BE"/>
    <w:rsid w:val="00CE76A0"/>
    <w:rsid w:val="00D148C6"/>
    <w:rsid w:val="00D17A8A"/>
    <w:rsid w:val="00D415BA"/>
    <w:rsid w:val="00D63780"/>
    <w:rsid w:val="00D644EE"/>
    <w:rsid w:val="00DD06FF"/>
    <w:rsid w:val="00DD5FE9"/>
    <w:rsid w:val="00E00C7A"/>
    <w:rsid w:val="00E37D6C"/>
    <w:rsid w:val="00E55B68"/>
    <w:rsid w:val="00E561AE"/>
    <w:rsid w:val="00E67BE6"/>
    <w:rsid w:val="00E8683C"/>
    <w:rsid w:val="00EA2B72"/>
    <w:rsid w:val="00F74360"/>
    <w:rsid w:val="00FB462F"/>
    <w:rsid w:val="00FE16FA"/>
    <w:rsid w:val="00FE328A"/>
    <w:rsid w:val="00FE6269"/>
    <w:rsid w:val="00FF5CD6"/>
    <w:rsid w:val="029C1412"/>
    <w:rsid w:val="04553F6E"/>
    <w:rsid w:val="04B073F7"/>
    <w:rsid w:val="05E337FC"/>
    <w:rsid w:val="09C6146A"/>
    <w:rsid w:val="0B073AE9"/>
    <w:rsid w:val="0B8415DD"/>
    <w:rsid w:val="0BC639A4"/>
    <w:rsid w:val="0BDE2A9B"/>
    <w:rsid w:val="0D0B5B12"/>
    <w:rsid w:val="0F7241F1"/>
    <w:rsid w:val="0FA4224E"/>
    <w:rsid w:val="11E206AB"/>
    <w:rsid w:val="13F106B7"/>
    <w:rsid w:val="14951F61"/>
    <w:rsid w:val="161F618A"/>
    <w:rsid w:val="168E3310"/>
    <w:rsid w:val="16AE750E"/>
    <w:rsid w:val="17171557"/>
    <w:rsid w:val="1811244B"/>
    <w:rsid w:val="18E0295B"/>
    <w:rsid w:val="1D721295"/>
    <w:rsid w:val="1D747BE6"/>
    <w:rsid w:val="1D97DEFF"/>
    <w:rsid w:val="1DFF72E5"/>
    <w:rsid w:val="1EFC6F07"/>
    <w:rsid w:val="1F19495E"/>
    <w:rsid w:val="225B43A7"/>
    <w:rsid w:val="228B6D71"/>
    <w:rsid w:val="23AD7468"/>
    <w:rsid w:val="24317BBD"/>
    <w:rsid w:val="24661428"/>
    <w:rsid w:val="25501627"/>
    <w:rsid w:val="256B319A"/>
    <w:rsid w:val="280B2A12"/>
    <w:rsid w:val="2B4C75CA"/>
    <w:rsid w:val="2BA9559E"/>
    <w:rsid w:val="2DDE64D3"/>
    <w:rsid w:val="2FDF85B8"/>
    <w:rsid w:val="2FFFEE04"/>
    <w:rsid w:val="30BD4AC6"/>
    <w:rsid w:val="33DC1707"/>
    <w:rsid w:val="34DF85B0"/>
    <w:rsid w:val="360867E3"/>
    <w:rsid w:val="381614F2"/>
    <w:rsid w:val="383C4522"/>
    <w:rsid w:val="38435BD9"/>
    <w:rsid w:val="38461530"/>
    <w:rsid w:val="39455658"/>
    <w:rsid w:val="3B8F36BC"/>
    <w:rsid w:val="405C1C05"/>
    <w:rsid w:val="41EE7977"/>
    <w:rsid w:val="42937435"/>
    <w:rsid w:val="463A38E9"/>
    <w:rsid w:val="46B02CAB"/>
    <w:rsid w:val="4734568A"/>
    <w:rsid w:val="491FF225"/>
    <w:rsid w:val="4E2E11B0"/>
    <w:rsid w:val="4E37780E"/>
    <w:rsid w:val="4E56317A"/>
    <w:rsid w:val="4F400944"/>
    <w:rsid w:val="4FFD214C"/>
    <w:rsid w:val="50210776"/>
    <w:rsid w:val="51E7154B"/>
    <w:rsid w:val="5319504B"/>
    <w:rsid w:val="53604C0C"/>
    <w:rsid w:val="539A4AC7"/>
    <w:rsid w:val="5777D4F5"/>
    <w:rsid w:val="59A22823"/>
    <w:rsid w:val="59A815C0"/>
    <w:rsid w:val="59DD8326"/>
    <w:rsid w:val="5BAD2CD9"/>
    <w:rsid w:val="5BB81F56"/>
    <w:rsid w:val="5DEF592A"/>
    <w:rsid w:val="5F117C07"/>
    <w:rsid w:val="5F9F5213"/>
    <w:rsid w:val="5FB03AA3"/>
    <w:rsid w:val="5FC6BB1E"/>
    <w:rsid w:val="5FF720F1"/>
    <w:rsid w:val="602E29D0"/>
    <w:rsid w:val="60B95007"/>
    <w:rsid w:val="611063C8"/>
    <w:rsid w:val="612E2CF2"/>
    <w:rsid w:val="61CA2A1B"/>
    <w:rsid w:val="620852F1"/>
    <w:rsid w:val="620F042E"/>
    <w:rsid w:val="661A1071"/>
    <w:rsid w:val="66434B4A"/>
    <w:rsid w:val="66696088"/>
    <w:rsid w:val="67627344"/>
    <w:rsid w:val="67FF5C0B"/>
    <w:rsid w:val="69C60B36"/>
    <w:rsid w:val="6A0E546F"/>
    <w:rsid w:val="6AC665AF"/>
    <w:rsid w:val="6B3D1EF8"/>
    <w:rsid w:val="6B90665E"/>
    <w:rsid w:val="6BC04E8F"/>
    <w:rsid w:val="6E6A40BB"/>
    <w:rsid w:val="6E7F6D7C"/>
    <w:rsid w:val="6EFC0924"/>
    <w:rsid w:val="6FB74722"/>
    <w:rsid w:val="6FEF8B7E"/>
    <w:rsid w:val="6FF939F9"/>
    <w:rsid w:val="71A6591B"/>
    <w:rsid w:val="72077373"/>
    <w:rsid w:val="721F290F"/>
    <w:rsid w:val="724F7E7D"/>
    <w:rsid w:val="732C140A"/>
    <w:rsid w:val="737D59BA"/>
    <w:rsid w:val="75023E22"/>
    <w:rsid w:val="77C37683"/>
    <w:rsid w:val="78997661"/>
    <w:rsid w:val="78F65A4C"/>
    <w:rsid w:val="79D19834"/>
    <w:rsid w:val="79FF515B"/>
    <w:rsid w:val="7B3F7B7E"/>
    <w:rsid w:val="7B58479C"/>
    <w:rsid w:val="7C0A501B"/>
    <w:rsid w:val="7CC876FF"/>
    <w:rsid w:val="7E5665C8"/>
    <w:rsid w:val="7E9E1962"/>
    <w:rsid w:val="7E9F11B4"/>
    <w:rsid w:val="7F37EC1E"/>
    <w:rsid w:val="7F7DCD9D"/>
    <w:rsid w:val="7F970A6F"/>
    <w:rsid w:val="7FC1FFF3"/>
    <w:rsid w:val="7FC69637"/>
    <w:rsid w:val="7FDF8620"/>
    <w:rsid w:val="7FE8C8F7"/>
    <w:rsid w:val="7FFB242F"/>
    <w:rsid w:val="7FFDB408"/>
    <w:rsid w:val="7FFE4EEB"/>
    <w:rsid w:val="95FB2B98"/>
    <w:rsid w:val="9A639BC2"/>
    <w:rsid w:val="9FF7D786"/>
    <w:rsid w:val="ABBFB23D"/>
    <w:rsid w:val="C3B4DA5A"/>
    <w:rsid w:val="CBFF70E0"/>
    <w:rsid w:val="CFF50B82"/>
    <w:rsid w:val="CFFFAD89"/>
    <w:rsid w:val="DFFE359E"/>
    <w:rsid w:val="DFFE4FFD"/>
    <w:rsid w:val="EEABED75"/>
    <w:rsid w:val="F56FDF51"/>
    <w:rsid w:val="F6B69F17"/>
    <w:rsid w:val="F77F1D61"/>
    <w:rsid w:val="F7FED3A9"/>
    <w:rsid w:val="F8C9DB26"/>
    <w:rsid w:val="F97E8EAE"/>
    <w:rsid w:val="FB36E1A6"/>
    <w:rsid w:val="FB3BE134"/>
    <w:rsid w:val="FCFF4275"/>
    <w:rsid w:val="FD7FEEEA"/>
    <w:rsid w:val="FDFFB577"/>
    <w:rsid w:val="FEEA50FE"/>
    <w:rsid w:val="FF7D47A9"/>
    <w:rsid w:val="FFCF21CB"/>
    <w:rsid w:val="FFFF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widowControl/>
      <w:spacing w:after="120"/>
      <w:ind w:left="420" w:leftChars="200"/>
      <w:jc w:val="left"/>
    </w:pPr>
    <w:rPr>
      <w:rFonts w:ascii="宋体" w:hAnsi="宋体" w:eastAsia="宋体" w:cs="宋体"/>
      <w:kern w:val="0"/>
      <w:sz w:val="24"/>
    </w:rPr>
  </w:style>
  <w:style w:type="paragraph" w:styleId="3">
    <w:name w:val="Body Text First Indent 2"/>
    <w:basedOn w:val="2"/>
    <w:next w:val="1"/>
    <w:unhideWhenUsed/>
    <w:qFormat/>
    <w:uiPriority w:val="99"/>
    <w:pPr>
      <w:ind w:firstLine="420" w:firstLineChars="2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next w:val="3"/>
    <w:semiHidden/>
    <w:qFormat/>
    <w:uiPriority w:val="0"/>
    <w:pPr>
      <w:snapToGrid w:val="0"/>
      <w:jc w:val="left"/>
    </w:pPr>
    <w:rPr>
      <w:sz w:val="18"/>
      <w:szCs w:val="18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eastAsia="黑体" w:cs="黑体" w:hAnsiTheme="minorHAnsi"/>
      <w:color w:val="000000"/>
      <w:sz w:val="24"/>
      <w:szCs w:val="24"/>
      <w:lang w:val="en-US" w:eastAsia="zh-CN" w:bidi="ar-SA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8">
    <w:name w:val="无间隔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20</Pages>
  <Words>5121</Words>
  <Characters>5579</Characters>
  <Lines>69</Lines>
  <Paragraphs>19</Paragraphs>
  <TotalTime>26</TotalTime>
  <ScaleCrop>false</ScaleCrop>
  <LinksUpToDate>false</LinksUpToDate>
  <CharactersWithSpaces>5607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2025-08-18T10:17:00Z</dcterms:created>
  <dc:creator>李航 null</dc:creator>
  <cp:lastModifiedBy>媛</cp:lastModifiedBy>
  <cp:lastPrinted>2025-09-22T02:25:00Z</cp:lastPrinted>
  <dcterms:modified xsi:type="dcterms:W3CDTF">2025-09-22T07:53:47Z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BB7B6AA21D207914D6FDA268992A22D6</vt:lpwstr>
  </property>
  <property fmtid="{D5CDD505-2E9C-101B-9397-08002B2CF9AE}" pid="4" name="KSOTemplateDocerSaveRecord">
    <vt:lpwstr>eyJoZGlkIjoiYzA2YTQwN2ViZGQzNmYzODE4MDY5NGQ3ODdlNjA3MGMiLCJ1c2VySWQiOiI2MjQ2NjU1NTgifQ==</vt:lpwstr>
  </property>
</Properties>
</file>