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8C0D1">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91A40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A91A40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6A3AFBE">
      <w:pPr>
        <w:pStyle w:val="16"/>
        <w:jc w:val="center"/>
        <w:rPr>
          <w:sz w:val="56"/>
          <w:szCs w:val="56"/>
        </w:rPr>
      </w:pPr>
    </w:p>
    <w:p w14:paraId="3799040F">
      <w:pPr>
        <w:pStyle w:val="16"/>
        <w:jc w:val="center"/>
        <w:rPr>
          <w:sz w:val="84"/>
          <w:szCs w:val="84"/>
        </w:rPr>
      </w:pPr>
    </w:p>
    <w:p w14:paraId="42ECB941">
      <w:pPr>
        <w:pStyle w:val="16"/>
        <w:jc w:val="center"/>
        <w:rPr>
          <w:sz w:val="84"/>
          <w:szCs w:val="84"/>
        </w:rPr>
      </w:pPr>
    </w:p>
    <w:p w14:paraId="373C80B2">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B851949">
      <w:pPr>
        <w:pStyle w:val="16"/>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怀化市园林绿化服务中心</w:t>
      </w:r>
    </w:p>
    <w:p w14:paraId="3CF96276">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部门（单位）部门决算</w:t>
      </w:r>
    </w:p>
    <w:p w14:paraId="02D53983">
      <w:pPr>
        <w:pStyle w:val="16"/>
        <w:jc w:val="center"/>
        <w:rPr>
          <w:rFonts w:hint="eastAsia" w:ascii="方正小标宋_GBK" w:hAnsi="方正小标宋_GBK" w:eastAsia="方正小标宋_GBK" w:cs="方正小标宋_GBK"/>
          <w:sz w:val="56"/>
          <w:szCs w:val="56"/>
        </w:rPr>
      </w:pPr>
    </w:p>
    <w:p w14:paraId="5A88922A">
      <w:pPr>
        <w:pStyle w:val="16"/>
        <w:jc w:val="center"/>
        <w:rPr>
          <w:sz w:val="56"/>
          <w:szCs w:val="56"/>
        </w:rPr>
      </w:pPr>
    </w:p>
    <w:p w14:paraId="510C4C48">
      <w:pPr>
        <w:pStyle w:val="16"/>
        <w:jc w:val="center"/>
        <w:rPr>
          <w:sz w:val="56"/>
          <w:szCs w:val="56"/>
        </w:rPr>
      </w:pPr>
    </w:p>
    <w:p w14:paraId="3EE098DF">
      <w:pPr>
        <w:pStyle w:val="16"/>
        <w:jc w:val="center"/>
        <w:rPr>
          <w:sz w:val="56"/>
          <w:szCs w:val="56"/>
        </w:rPr>
      </w:pPr>
    </w:p>
    <w:p w14:paraId="781B6391">
      <w:pPr>
        <w:pStyle w:val="16"/>
        <w:jc w:val="center"/>
        <w:rPr>
          <w:sz w:val="32"/>
          <w:szCs w:val="32"/>
        </w:rPr>
      </w:pPr>
    </w:p>
    <w:p w14:paraId="4D8D6F71">
      <w:pPr>
        <w:pStyle w:val="16"/>
        <w:jc w:val="center"/>
        <w:rPr>
          <w:sz w:val="32"/>
          <w:szCs w:val="32"/>
        </w:rPr>
      </w:pPr>
    </w:p>
    <w:p w14:paraId="7A6543A2">
      <w:pPr>
        <w:pStyle w:val="16"/>
        <w:spacing w:line="540" w:lineRule="exact"/>
        <w:jc w:val="both"/>
        <w:rPr>
          <w:sz w:val="56"/>
          <w:szCs w:val="56"/>
        </w:rPr>
      </w:pPr>
    </w:p>
    <w:p w14:paraId="0DA0585F">
      <w:pPr>
        <w:pStyle w:val="16"/>
        <w:spacing w:line="500" w:lineRule="exact"/>
        <w:jc w:val="both"/>
        <w:rPr>
          <w:b/>
          <w:sz w:val="36"/>
          <w:szCs w:val="28"/>
        </w:rPr>
      </w:pPr>
    </w:p>
    <w:p w14:paraId="61813CB0">
      <w:pPr>
        <w:pStyle w:val="16"/>
        <w:spacing w:line="500" w:lineRule="exact"/>
        <w:jc w:val="center"/>
        <w:rPr>
          <w:b/>
          <w:sz w:val="36"/>
          <w:szCs w:val="28"/>
        </w:rPr>
      </w:pPr>
      <w:r>
        <w:rPr>
          <w:rFonts w:hint="eastAsia"/>
          <w:b/>
          <w:sz w:val="36"/>
          <w:szCs w:val="28"/>
        </w:rPr>
        <w:t>目录</w:t>
      </w:r>
    </w:p>
    <w:p w14:paraId="15B8D37A">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怀化市园林绿化服务中心</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3CDCF175">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C8BFA46">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C1F8631">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63952CB">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C3CA337">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B58D5F3">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2D460D2">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ACEF6F0">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5B21FDE">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3CC08C9">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49F6497">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90CAD4F">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10C2A9B">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02DFB69">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7008A15">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FA0125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15E9C7">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AAED17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A7A913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CAD20D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A58706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448644F">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rPr>
      </w:pPr>
      <w:r>
        <w:rPr>
          <w:rFonts w:hint="eastAsia" w:ascii="仿宋_GB2312" w:hAnsi="仿宋_GB2312" w:eastAsia="仿宋_GB2312" w:cs="仿宋_GB2312"/>
          <w:color w:val="000000"/>
          <w:kern w:val="0"/>
          <w:sz w:val="28"/>
          <w:szCs w:val="28"/>
        </w:rPr>
        <w:t>九、国有资本经营预算财政拨款支出决算情况说明</w:t>
      </w:r>
    </w:p>
    <w:p w14:paraId="468ECC3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ACA057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F2460D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012B686C">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601F7F1">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A745246">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1B2ADC0">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6BC273F">
      <w:pPr>
        <w:pStyle w:val="16"/>
        <w:spacing w:line="500" w:lineRule="exact"/>
        <w:rPr>
          <w:rFonts w:hint="eastAsia" w:ascii="黑体" w:hAnsi="黑体" w:eastAsia="黑体" w:cs="黑体"/>
          <w:b w:val="0"/>
          <w:bCs/>
          <w:sz w:val="28"/>
          <w:szCs w:val="28"/>
        </w:rPr>
      </w:pPr>
    </w:p>
    <w:p w14:paraId="15902D2F">
      <w:pPr>
        <w:jc w:val="center"/>
        <w:rPr>
          <w:sz w:val="72"/>
          <w:szCs w:val="72"/>
        </w:rPr>
      </w:pPr>
    </w:p>
    <w:p w14:paraId="1E239FB7">
      <w:pPr>
        <w:jc w:val="both"/>
        <w:rPr>
          <w:sz w:val="72"/>
          <w:szCs w:val="72"/>
        </w:rPr>
      </w:pPr>
    </w:p>
    <w:p w14:paraId="42FD732A">
      <w:pPr>
        <w:rPr>
          <w:rFonts w:hint="eastAsia" w:ascii="方正小标宋_GBK" w:hAnsi="方正小标宋_GBK" w:eastAsia="方正小标宋_GBK" w:cs="方正小标宋_GBK"/>
          <w:sz w:val="72"/>
          <w:szCs w:val="72"/>
        </w:rPr>
      </w:pPr>
    </w:p>
    <w:p w14:paraId="4F7206D0">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E70B3C6">
      <w:pPr>
        <w:pStyle w:val="16"/>
        <w:jc w:val="center"/>
        <w:rPr>
          <w:rFonts w:hint="eastAsia" w:ascii="方正小标宋_GBK" w:hAnsi="方正小标宋_GBK" w:eastAsia="方正小标宋_GBK" w:cs="方正小标宋_GBK"/>
          <w:sz w:val="84"/>
          <w:szCs w:val="84"/>
        </w:rPr>
      </w:pPr>
    </w:p>
    <w:p w14:paraId="1B60ED8B">
      <w:pPr>
        <w:pStyle w:val="16"/>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怀化市园林绿化服务中心</w:t>
      </w:r>
    </w:p>
    <w:p w14:paraId="4B57B687">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061F0CEE">
      <w:pPr>
        <w:jc w:val="center"/>
        <w:rPr>
          <w:rFonts w:hint="eastAsia" w:ascii="方正小标宋_GBK" w:hAnsi="方正小标宋_GBK" w:eastAsia="方正小标宋_GBK" w:cs="方正小标宋_GBK"/>
          <w:sz w:val="72"/>
          <w:szCs w:val="72"/>
        </w:rPr>
      </w:pPr>
    </w:p>
    <w:p w14:paraId="2E8D58D2">
      <w:pPr>
        <w:jc w:val="both"/>
        <w:rPr>
          <w:sz w:val="72"/>
          <w:szCs w:val="72"/>
        </w:rPr>
      </w:pPr>
    </w:p>
    <w:p w14:paraId="35D7C861">
      <w:pPr>
        <w:pStyle w:val="8"/>
        <w:rPr>
          <w:sz w:val="72"/>
          <w:szCs w:val="72"/>
        </w:rPr>
      </w:pPr>
    </w:p>
    <w:p w14:paraId="51CDEE40">
      <w:pPr>
        <w:pStyle w:val="9"/>
        <w:rPr>
          <w:sz w:val="72"/>
          <w:szCs w:val="72"/>
        </w:rPr>
      </w:pPr>
    </w:p>
    <w:p w14:paraId="3FAF2AC5"/>
    <w:p w14:paraId="514FA3D5">
      <w:pPr>
        <w:pStyle w:val="8"/>
        <w:rPr>
          <w:sz w:val="72"/>
          <w:szCs w:val="72"/>
        </w:rPr>
      </w:pPr>
    </w:p>
    <w:p w14:paraId="013391AD">
      <w:pPr>
        <w:pStyle w:val="9"/>
      </w:pPr>
    </w:p>
    <w:p w14:paraId="22EB340F">
      <w:pPr>
        <w:pStyle w:val="17"/>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EB067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cs="仿宋_GB2312"/>
          <w:sz w:val="32"/>
          <w:szCs w:val="32"/>
        </w:rPr>
        <w:t>（一）</w:t>
      </w:r>
      <w:r>
        <w:rPr>
          <w:rFonts w:hint="eastAsia" w:ascii="仿宋" w:hAnsi="仿宋" w:eastAsia="仿宋" w:cs="仿宋"/>
          <w:kern w:val="2"/>
          <w:sz w:val="32"/>
          <w:szCs w:val="32"/>
          <w:lang w:val="en-US" w:eastAsia="zh-CN" w:bidi="ar-SA"/>
        </w:rPr>
        <w:t>贯彻执行国家、省有关园林绿化管理的方针、政策、法律、法规和规章，配合有关部门研究拟订本市实施细则。</w:t>
      </w:r>
    </w:p>
    <w:p w14:paraId="57129D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（二）承担编制城区园林绿化近期、远期发展规划和园林绿化建设管理资金计划的有关具体工作。</w:t>
      </w:r>
    </w:p>
    <w:p w14:paraId="4D37DD8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（三）承担城市新建、改建、扩建工程附属绿化工程初审及施工监督、竣工验收的有关事务性工作。</w:t>
      </w:r>
    </w:p>
    <w:p w14:paraId="7482722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承担改变城市绿地规划、绿化用地使用性质审批初审及临时占用城市绿地、砍伐、移植、修剪城市树木（包括古树名木）许可初审的有关事务性工作；协助主管部门开展园林绿化执法督查，协助上级征收城市绿化补偿费等相关费用。</w:t>
      </w:r>
    </w:p>
    <w:p w14:paraId="1E6DDE3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（5）负责街旁绿地、街头游园、防护绿地、风景林地、行道及干道绿化带、滨江（水）风光带、广场等公共绿地的保护、管理和日常养护工作。</w:t>
      </w:r>
    </w:p>
    <w:p w14:paraId="3909EE8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（六）承担城区城市公园、城市雕塑管理和维护的具体工作；负责城市规划区内生物多样性保护工作；推广城市园林绿化科技新成果、新技术，开展对外技术交流。</w:t>
      </w:r>
    </w:p>
    <w:p w14:paraId="600D6E2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（七）参与指导县市区城镇园林绿化工作，促进园林绿化事业的发展。</w:t>
      </w:r>
    </w:p>
    <w:p w14:paraId="1443F8E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（八）承办市委、市政府和市城市管理和行政执法局交办的其他事项。</w:t>
      </w:r>
    </w:p>
    <w:p w14:paraId="504B38F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C185414">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（一）内设机构设置。怀化市园林绿化服务中心单位内设机构包括：</w:t>
      </w:r>
      <w:r>
        <w:rPr>
          <w:rFonts w:hint="eastAsia" w:ascii="仿宋" w:hAnsi="仿宋" w:eastAsia="仿宋" w:cs="仿宋"/>
          <w:sz w:val="32"/>
          <w:szCs w:val="32"/>
          <w:lang w:val="en-US" w:eastAsia="zh-CN"/>
        </w:rPr>
        <w:t>办公室、人事教育部、计划财务部、工程技术部、绿化服务部、园林科研部、城市公园部、园林信息所、园林评价所、园林绿化维保所、道路绿化养护所、园林废弃物处置所等部门</w:t>
      </w:r>
    </w:p>
    <w:p w14:paraId="7CE3442E">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i w:val="0"/>
          <w:iCs w:val="0"/>
          <w:caps w:val="0"/>
          <w:color w:val="3D3D3D"/>
          <w:spacing w:val="0"/>
          <w:sz w:val="32"/>
          <w:szCs w:val="32"/>
          <w:lang w:eastAsia="zh-CN"/>
        </w:rPr>
      </w:pPr>
      <w:r>
        <w:rPr>
          <w:rFonts w:hint="eastAsia" w:ascii="Times New Roman" w:hAnsi="Times New Roman" w:eastAsia="仿宋_GB2312" w:cs="仿宋_GB2312"/>
          <w:bCs/>
          <w:kern w:val="0"/>
          <w:sz w:val="32"/>
          <w:szCs w:val="32"/>
        </w:rPr>
        <w:t>（二）决算单位构成。怀化市园林绿化服务中心单位202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i w:val="0"/>
          <w:iCs w:val="0"/>
          <w:caps w:val="0"/>
          <w:color w:val="3D3D3D"/>
          <w:spacing w:val="0"/>
          <w:sz w:val="32"/>
          <w:szCs w:val="32"/>
        </w:rPr>
        <w:t>怀化市园林绿化服务中心（二级部门）</w:t>
      </w:r>
      <w:r>
        <w:rPr>
          <w:rFonts w:hint="eastAsia" w:ascii="仿宋" w:hAnsi="仿宋" w:eastAsia="仿宋" w:cs="仿宋"/>
          <w:i w:val="0"/>
          <w:iCs w:val="0"/>
          <w:caps w:val="0"/>
          <w:color w:val="3D3D3D"/>
          <w:spacing w:val="0"/>
          <w:sz w:val="32"/>
          <w:szCs w:val="32"/>
          <w:lang w:eastAsia="zh-CN"/>
        </w:rPr>
        <w:t>。</w:t>
      </w:r>
    </w:p>
    <w:p w14:paraId="4B364297">
      <w:pPr>
        <w:jc w:val="left"/>
        <w:rPr>
          <w:rFonts w:ascii="仿宋_GB2312" w:eastAsia="仿宋_GB2312" w:hAnsiTheme="minorEastAsia"/>
          <w:sz w:val="28"/>
          <w:szCs w:val="32"/>
        </w:rPr>
      </w:pPr>
    </w:p>
    <w:p w14:paraId="770E99BD">
      <w:pPr>
        <w:jc w:val="center"/>
        <w:rPr>
          <w:rFonts w:ascii="黑体" w:hAnsi="黑体" w:eastAsia="黑体"/>
          <w:sz w:val="28"/>
          <w:szCs w:val="28"/>
        </w:rPr>
      </w:pPr>
    </w:p>
    <w:p w14:paraId="0409C5DC">
      <w:pPr>
        <w:jc w:val="center"/>
        <w:rPr>
          <w:rFonts w:ascii="黑体" w:hAnsi="黑体" w:eastAsia="黑体"/>
          <w:sz w:val="28"/>
          <w:szCs w:val="28"/>
        </w:rPr>
      </w:pPr>
    </w:p>
    <w:p w14:paraId="5878DF9C">
      <w:pPr>
        <w:jc w:val="center"/>
        <w:rPr>
          <w:rFonts w:ascii="黑体" w:hAnsi="黑体" w:eastAsia="黑体"/>
          <w:sz w:val="28"/>
          <w:szCs w:val="28"/>
        </w:rPr>
      </w:pPr>
    </w:p>
    <w:p w14:paraId="244F85C5">
      <w:pPr>
        <w:jc w:val="center"/>
        <w:rPr>
          <w:rFonts w:ascii="黑体" w:hAnsi="黑体" w:eastAsia="黑体"/>
          <w:sz w:val="28"/>
          <w:szCs w:val="28"/>
        </w:rPr>
      </w:pPr>
    </w:p>
    <w:p w14:paraId="7FC1DA70">
      <w:pPr>
        <w:jc w:val="center"/>
        <w:rPr>
          <w:rFonts w:ascii="黑体" w:hAnsi="黑体" w:eastAsia="黑体"/>
          <w:sz w:val="28"/>
          <w:szCs w:val="28"/>
        </w:rPr>
      </w:pPr>
    </w:p>
    <w:p w14:paraId="66E0A628">
      <w:pPr>
        <w:jc w:val="center"/>
        <w:rPr>
          <w:rFonts w:ascii="黑体" w:hAnsi="黑体" w:eastAsia="黑体"/>
          <w:sz w:val="28"/>
          <w:szCs w:val="28"/>
        </w:rPr>
      </w:pPr>
    </w:p>
    <w:p w14:paraId="2263024F">
      <w:pPr>
        <w:jc w:val="center"/>
        <w:rPr>
          <w:rFonts w:ascii="黑体" w:hAnsi="黑体" w:eastAsia="黑体"/>
          <w:sz w:val="28"/>
          <w:szCs w:val="28"/>
        </w:rPr>
      </w:pPr>
    </w:p>
    <w:p w14:paraId="4DEC7739">
      <w:pPr>
        <w:jc w:val="center"/>
        <w:rPr>
          <w:rFonts w:ascii="黑体" w:hAnsi="黑体" w:eastAsia="黑体"/>
          <w:sz w:val="28"/>
          <w:szCs w:val="28"/>
        </w:rPr>
      </w:pPr>
    </w:p>
    <w:p w14:paraId="52C99724">
      <w:pPr>
        <w:jc w:val="center"/>
        <w:rPr>
          <w:rFonts w:ascii="黑体" w:hAnsi="黑体" w:eastAsia="黑体"/>
          <w:sz w:val="28"/>
          <w:szCs w:val="28"/>
        </w:rPr>
      </w:pPr>
    </w:p>
    <w:p w14:paraId="2ACF38FD">
      <w:pPr>
        <w:jc w:val="center"/>
        <w:rPr>
          <w:rFonts w:ascii="黑体" w:hAnsi="黑体" w:eastAsia="黑体"/>
          <w:sz w:val="28"/>
          <w:szCs w:val="28"/>
        </w:rPr>
      </w:pPr>
    </w:p>
    <w:p w14:paraId="45469623">
      <w:pPr>
        <w:jc w:val="center"/>
        <w:rPr>
          <w:rFonts w:ascii="黑体" w:hAnsi="黑体" w:eastAsia="黑体"/>
          <w:sz w:val="28"/>
          <w:szCs w:val="28"/>
        </w:rPr>
      </w:pPr>
    </w:p>
    <w:p w14:paraId="7A423FBD">
      <w:pPr>
        <w:jc w:val="center"/>
        <w:rPr>
          <w:rFonts w:ascii="黑体" w:hAnsi="黑体" w:eastAsia="黑体"/>
          <w:sz w:val="28"/>
          <w:szCs w:val="28"/>
        </w:rPr>
      </w:pPr>
    </w:p>
    <w:p w14:paraId="7E15A2B4">
      <w:pPr>
        <w:jc w:val="center"/>
        <w:rPr>
          <w:sz w:val="72"/>
          <w:szCs w:val="72"/>
        </w:rPr>
      </w:pPr>
    </w:p>
    <w:p w14:paraId="107F5CFB">
      <w:pPr>
        <w:jc w:val="center"/>
        <w:rPr>
          <w:sz w:val="72"/>
          <w:szCs w:val="72"/>
        </w:rPr>
      </w:pPr>
    </w:p>
    <w:p w14:paraId="02F95128">
      <w:pPr>
        <w:jc w:val="center"/>
        <w:rPr>
          <w:sz w:val="72"/>
          <w:szCs w:val="72"/>
        </w:rPr>
      </w:pPr>
    </w:p>
    <w:p w14:paraId="48A5E954">
      <w:pPr>
        <w:jc w:val="center"/>
        <w:rPr>
          <w:sz w:val="72"/>
          <w:szCs w:val="72"/>
        </w:rPr>
      </w:pPr>
    </w:p>
    <w:p w14:paraId="0ABC9C14">
      <w:pPr>
        <w:pStyle w:val="8"/>
        <w:rPr>
          <w:sz w:val="72"/>
          <w:szCs w:val="72"/>
        </w:rPr>
      </w:pPr>
    </w:p>
    <w:p w14:paraId="5B3BF65A">
      <w:pPr>
        <w:pStyle w:val="9"/>
        <w:rPr>
          <w:sz w:val="72"/>
          <w:szCs w:val="72"/>
        </w:rPr>
      </w:pPr>
    </w:p>
    <w:p w14:paraId="5B24DE2F">
      <w:pPr>
        <w:rPr>
          <w:sz w:val="72"/>
          <w:szCs w:val="72"/>
        </w:rPr>
      </w:pPr>
    </w:p>
    <w:p w14:paraId="760D0AD9">
      <w:pPr>
        <w:pStyle w:val="8"/>
        <w:rPr>
          <w:sz w:val="72"/>
          <w:szCs w:val="72"/>
        </w:rPr>
      </w:pPr>
    </w:p>
    <w:p w14:paraId="721E384A">
      <w:pPr>
        <w:pStyle w:val="9"/>
        <w:rPr>
          <w:sz w:val="72"/>
          <w:szCs w:val="72"/>
        </w:rPr>
      </w:pPr>
    </w:p>
    <w:p w14:paraId="5D65D37E"/>
    <w:p w14:paraId="7F5B6AB3">
      <w:pPr>
        <w:pStyle w:val="16"/>
        <w:jc w:val="center"/>
        <w:rPr>
          <w:rFonts w:hint="eastAsia" w:ascii="方正小标宋_GBK" w:hAnsi="方正小标宋_GBK" w:eastAsia="方正小标宋_GBK" w:cs="方正小标宋_GBK"/>
          <w:sz w:val="84"/>
          <w:szCs w:val="84"/>
        </w:rPr>
      </w:pPr>
    </w:p>
    <w:p w14:paraId="6F22D521">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84C9F58">
      <w:pPr>
        <w:pStyle w:val="16"/>
        <w:jc w:val="center"/>
        <w:rPr>
          <w:rFonts w:hint="eastAsia" w:ascii="方正小标宋_GBK" w:hAnsi="方正小标宋_GBK" w:eastAsia="方正小标宋_GBK" w:cs="方正小标宋_GBK"/>
          <w:sz w:val="84"/>
          <w:szCs w:val="84"/>
        </w:rPr>
      </w:pPr>
    </w:p>
    <w:p w14:paraId="4C9F1E13">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A6C47A4">
      <w:pPr>
        <w:jc w:val="center"/>
        <w:rPr>
          <w:sz w:val="72"/>
          <w:szCs w:val="72"/>
        </w:rPr>
      </w:pPr>
      <w:r>
        <w:rPr>
          <w:rFonts w:hint="eastAsia"/>
          <w:sz w:val="72"/>
          <w:szCs w:val="72"/>
        </w:rPr>
        <w:t>(详情请见附件)</w:t>
      </w:r>
    </w:p>
    <w:p w14:paraId="76B6E57C">
      <w:pPr>
        <w:jc w:val="center"/>
        <w:rPr>
          <w:sz w:val="72"/>
          <w:szCs w:val="72"/>
        </w:rPr>
      </w:pPr>
    </w:p>
    <w:p w14:paraId="18437DCD">
      <w:pPr>
        <w:jc w:val="center"/>
        <w:rPr>
          <w:sz w:val="72"/>
          <w:szCs w:val="72"/>
        </w:rPr>
      </w:pPr>
    </w:p>
    <w:p w14:paraId="2BB9A53D">
      <w:pPr>
        <w:jc w:val="center"/>
        <w:rPr>
          <w:sz w:val="72"/>
          <w:szCs w:val="72"/>
        </w:rPr>
      </w:pPr>
    </w:p>
    <w:p w14:paraId="5555DC0C">
      <w:pPr>
        <w:jc w:val="center"/>
        <w:rPr>
          <w:sz w:val="72"/>
          <w:szCs w:val="72"/>
        </w:rPr>
      </w:pPr>
    </w:p>
    <w:p w14:paraId="5900A95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0C137E29">
      <w:pPr>
        <w:widowControl/>
        <w:jc w:val="left"/>
        <w:rPr>
          <w:sz w:val="72"/>
          <w:szCs w:val="72"/>
        </w:rPr>
      </w:pPr>
    </w:p>
    <w:p w14:paraId="3070954B">
      <w:pPr>
        <w:pStyle w:val="16"/>
        <w:rPr>
          <w:sz w:val="72"/>
          <w:szCs w:val="72"/>
        </w:rPr>
      </w:pPr>
    </w:p>
    <w:p w14:paraId="67FCC052">
      <w:pPr>
        <w:pStyle w:val="16"/>
        <w:rPr>
          <w:sz w:val="72"/>
          <w:szCs w:val="72"/>
        </w:rPr>
      </w:pPr>
    </w:p>
    <w:p w14:paraId="554F35F7">
      <w:pPr>
        <w:pStyle w:val="16"/>
        <w:jc w:val="center"/>
        <w:rPr>
          <w:sz w:val="72"/>
          <w:szCs w:val="72"/>
        </w:rPr>
      </w:pPr>
    </w:p>
    <w:p w14:paraId="4C319AC2">
      <w:pPr>
        <w:pStyle w:val="16"/>
        <w:jc w:val="center"/>
        <w:rPr>
          <w:rFonts w:hint="eastAsia" w:ascii="方正小标宋_GBK" w:hAnsi="方正小标宋_GBK" w:eastAsia="方正小标宋_GBK" w:cs="方正小标宋_GBK"/>
          <w:sz w:val="72"/>
          <w:szCs w:val="72"/>
        </w:rPr>
      </w:pPr>
    </w:p>
    <w:p w14:paraId="564ACC52">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6F48583">
      <w:pPr>
        <w:pStyle w:val="16"/>
        <w:jc w:val="center"/>
        <w:rPr>
          <w:rFonts w:hint="eastAsia" w:ascii="方正小标宋_GBK" w:hAnsi="方正小标宋_GBK" w:eastAsia="方正小标宋_GBK" w:cs="方正小标宋_GBK"/>
          <w:sz w:val="70"/>
          <w:szCs w:val="70"/>
        </w:rPr>
      </w:pPr>
    </w:p>
    <w:p w14:paraId="1D8FEA5C">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F7BF4F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bookmarkStart w:id="0" w:name="_GoBack"/>
      <w:bookmarkEnd w:id="0"/>
    </w:p>
    <w:p w14:paraId="7635A80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3D623E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年度收、支总计4658.49万元。与上年相比，增加</w:t>
      </w:r>
      <w:r>
        <w:rPr>
          <w:rFonts w:hint="eastAsia" w:ascii="Times New Roman" w:hAnsi="Times New Roman" w:eastAsia="仿宋_GB2312"/>
          <w:sz w:val="32"/>
          <w:szCs w:val="32"/>
          <w:lang w:val="en-US" w:eastAsia="zh-CN"/>
        </w:rPr>
        <w:t>564.59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专项经费增加。</w:t>
      </w:r>
    </w:p>
    <w:p w14:paraId="130E89F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747390C">
      <w:pPr>
        <w:pStyle w:val="16"/>
        <w:keepNext w:val="0"/>
        <w:keepLines w:val="0"/>
        <w:pageBreakBefore w:val="0"/>
        <w:widowControl w:val="0"/>
        <w:tabs>
          <w:tab w:val="left" w:pos="5250"/>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年度收入合计4658.49万元，其中：财政拨款收入</w:t>
      </w:r>
      <w:r>
        <w:rPr>
          <w:rFonts w:hint="eastAsia" w:ascii="Times New Roman" w:hAnsi="Times New Roman" w:eastAsia="仿宋_GB2312"/>
          <w:sz w:val="32"/>
          <w:szCs w:val="32"/>
          <w:lang w:val="en-US" w:eastAsia="zh-CN"/>
        </w:rPr>
        <w:t>4501.07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96.62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157.42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EA81D1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3A658A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年度支出合计4658.49万元，其中：基本支出</w:t>
      </w:r>
      <w:r>
        <w:rPr>
          <w:rFonts w:hint="eastAsia" w:ascii="Times New Roman" w:hAnsi="Times New Roman" w:eastAsia="仿宋_GB2312"/>
          <w:sz w:val="32"/>
          <w:szCs w:val="32"/>
          <w:lang w:val="en-US" w:eastAsia="zh-CN"/>
        </w:rPr>
        <w:t>1820.08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39.07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2838.41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60.93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0FD07E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6C04225">
      <w:pPr>
        <w:pStyle w:val="16"/>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4501.07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407.17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9.95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专项经费增加。</w:t>
      </w:r>
    </w:p>
    <w:p w14:paraId="0645B8B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9F59B0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13B472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2808.68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60.29</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472.86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14.41</w:t>
      </w:r>
      <w:r>
        <w:rPr>
          <w:rFonts w:hint="eastAsia" w:ascii="Times New Roman" w:hAnsi="Times New Roman" w:eastAsia="仿宋_GB2312"/>
          <w:sz w:val="32"/>
          <w:szCs w:val="32"/>
        </w:rPr>
        <w:t>%，主要是因为</w:t>
      </w:r>
      <w:r>
        <w:rPr>
          <w:rFonts w:hint="eastAsia" w:ascii="仿宋" w:hAnsi="仿宋" w:eastAsia="仿宋" w:cs="仿宋"/>
          <w:sz w:val="32"/>
          <w:szCs w:val="32"/>
          <w:lang w:eastAsia="zh-CN"/>
        </w:rPr>
        <w:t>人员经费、绿地直管养护经费等的</w:t>
      </w:r>
      <w:r>
        <w:rPr>
          <w:rFonts w:hint="eastAsia" w:ascii="仿宋" w:hAnsi="仿宋" w:eastAsia="仿宋" w:cs="仿宋"/>
          <w:sz w:val="32"/>
          <w:szCs w:val="32"/>
          <w:lang w:val="en-US" w:eastAsia="zh-CN"/>
        </w:rPr>
        <w:t>减少。</w:t>
      </w:r>
    </w:p>
    <w:p w14:paraId="318E74B1">
      <w:pPr>
        <w:pStyle w:val="16"/>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000E0A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2808.68</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168.99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6.02</w:t>
      </w:r>
      <w:r>
        <w:rPr>
          <w:rFonts w:hint="eastAsia" w:ascii="Times New Roman" w:hAnsi="Times New Roman" w:eastAsia="仿宋_GB2312"/>
          <w:sz w:val="32"/>
          <w:szCs w:val="32"/>
        </w:rPr>
        <w:t>%；社会保障和就业支出（类）支出</w:t>
      </w:r>
      <w:r>
        <w:rPr>
          <w:rFonts w:hint="eastAsia" w:ascii="Times New Roman" w:hAnsi="Times New Roman" w:eastAsia="仿宋_GB2312"/>
          <w:sz w:val="32"/>
          <w:szCs w:val="32"/>
          <w:lang w:val="en-US" w:eastAsia="zh-CN"/>
        </w:rPr>
        <w:t>300.41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10.70</w:t>
      </w:r>
      <w:r>
        <w:rPr>
          <w:rFonts w:hint="eastAsia" w:ascii="Times New Roman" w:hAnsi="Times New Roman" w:eastAsia="仿宋_GB2312"/>
          <w:sz w:val="32"/>
          <w:szCs w:val="32"/>
        </w:rPr>
        <w:t>%;卫生健康支出（类）支出</w:t>
      </w:r>
      <w:r>
        <w:rPr>
          <w:rFonts w:hint="eastAsia" w:ascii="Times New Roman" w:hAnsi="Times New Roman" w:eastAsia="仿宋_GB2312"/>
          <w:sz w:val="32"/>
          <w:szCs w:val="32"/>
          <w:lang w:val="en-US" w:eastAsia="zh-CN"/>
        </w:rPr>
        <w:t>70.11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%;城乡社区支出（类）支出</w:t>
      </w:r>
      <w:r>
        <w:rPr>
          <w:rFonts w:hint="eastAsia" w:ascii="Times New Roman" w:hAnsi="Times New Roman" w:eastAsia="仿宋_GB2312"/>
          <w:sz w:val="32"/>
          <w:szCs w:val="32"/>
          <w:lang w:val="en-US" w:eastAsia="zh-CN"/>
        </w:rPr>
        <w:t>1388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49.42</w:t>
      </w:r>
      <w:r>
        <w:rPr>
          <w:rFonts w:hint="eastAsia" w:ascii="Times New Roman" w:hAnsi="Times New Roman" w:eastAsia="仿宋_GB2312"/>
          <w:sz w:val="32"/>
          <w:szCs w:val="32"/>
        </w:rPr>
        <w:t>%;资源勘探工业信息等支出（类）支出</w:t>
      </w:r>
      <w:r>
        <w:rPr>
          <w:rFonts w:hint="eastAsia" w:ascii="Times New Roman" w:hAnsi="Times New Roman" w:eastAsia="仿宋_GB2312"/>
          <w:sz w:val="32"/>
          <w:szCs w:val="32"/>
          <w:lang w:val="en-US" w:eastAsia="zh-CN"/>
        </w:rPr>
        <w:t>881.18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31.36</w:t>
      </w:r>
      <w:r>
        <w:rPr>
          <w:rFonts w:hint="eastAsia" w:ascii="Times New Roman" w:hAnsi="Times New Roman" w:eastAsia="仿宋_GB2312"/>
          <w:sz w:val="32"/>
          <w:szCs w:val="32"/>
        </w:rPr>
        <w:t>%;</w:t>
      </w:r>
    </w:p>
    <w:p w14:paraId="5AB3009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342B9B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2541.23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2808.68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110.52</w:t>
      </w:r>
      <w:r>
        <w:rPr>
          <w:rFonts w:hint="eastAsia" w:ascii="Times New Roman" w:hAnsi="Times New Roman" w:eastAsia="仿宋_GB2312"/>
          <w:sz w:val="32"/>
          <w:szCs w:val="32"/>
        </w:rPr>
        <w:t>%，其中：</w:t>
      </w:r>
    </w:p>
    <w:p w14:paraId="4BA749A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color w:val="auto"/>
          <w:sz w:val="32"/>
          <w:szCs w:val="32"/>
        </w:rPr>
        <w:t>一般公共服务（类）</w:t>
      </w:r>
      <w:r>
        <w:rPr>
          <w:rFonts w:hint="eastAsia" w:ascii="Times New Roman" w:hAnsi="Times New Roman" w:eastAsia="仿宋_GB2312"/>
          <w:color w:val="auto"/>
          <w:sz w:val="32"/>
          <w:szCs w:val="32"/>
          <w:lang w:val="en-US" w:eastAsia="zh-CN"/>
        </w:rPr>
        <w:t>人大事务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行政运行</w:t>
      </w:r>
      <w:r>
        <w:rPr>
          <w:rFonts w:hint="eastAsia" w:ascii="Times New Roman" w:hAnsi="Times New Roman" w:eastAsia="仿宋_GB2312"/>
          <w:color w:val="auto"/>
          <w:sz w:val="32"/>
          <w:szCs w:val="32"/>
        </w:rPr>
        <w:t>（项）</w:t>
      </w:r>
      <w:r>
        <w:rPr>
          <w:rFonts w:hint="eastAsia" w:ascii="Times New Roman" w:hAnsi="Times New Roman" w:eastAsia="仿宋_GB2312"/>
          <w:sz w:val="32"/>
          <w:szCs w:val="32"/>
        </w:rPr>
        <w:t>。</w:t>
      </w:r>
    </w:p>
    <w:p w14:paraId="1DB9383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1916.73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168.99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8.82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color w:val="auto"/>
          <w:sz w:val="32"/>
          <w:szCs w:val="32"/>
          <w:lang w:val="en-US" w:eastAsia="zh-CN"/>
        </w:rPr>
        <w:t>年初预算行政运行项包括社会保障和就业支出（类）、</w:t>
      </w:r>
      <w:r>
        <w:rPr>
          <w:rFonts w:hint="eastAsia" w:ascii="仿宋" w:hAnsi="仿宋" w:eastAsia="仿宋" w:cs="仿宋"/>
          <w:color w:val="auto"/>
          <w:sz w:val="32"/>
          <w:szCs w:val="32"/>
        </w:rPr>
        <w:t>卫生健康支出（类）</w:t>
      </w:r>
      <w:r>
        <w:rPr>
          <w:rFonts w:hint="eastAsia" w:ascii="仿宋" w:hAnsi="仿宋" w:eastAsia="仿宋" w:cs="仿宋"/>
          <w:color w:val="auto"/>
          <w:sz w:val="32"/>
          <w:szCs w:val="32"/>
          <w:lang w:val="en-US" w:eastAsia="zh-CN"/>
        </w:rPr>
        <w:t>。</w:t>
      </w:r>
    </w:p>
    <w:p w14:paraId="4FEBD9D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color w:val="auto"/>
          <w:sz w:val="32"/>
          <w:szCs w:val="32"/>
          <w:lang w:val="en-US"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机关事业单位基本养老保险缴费支出</w:t>
      </w:r>
      <w:r>
        <w:rPr>
          <w:rFonts w:hint="eastAsia" w:ascii="Times New Roman" w:hAnsi="Times New Roman" w:eastAsia="仿宋_GB2312"/>
          <w:color w:val="auto"/>
          <w:sz w:val="32"/>
          <w:szCs w:val="32"/>
        </w:rPr>
        <w:t>（项）</w:t>
      </w:r>
      <w:r>
        <w:rPr>
          <w:rFonts w:hint="eastAsia" w:ascii="Times New Roman" w:hAnsi="Times New Roman" w:eastAsia="仿宋_GB2312"/>
          <w:sz w:val="32"/>
          <w:szCs w:val="32"/>
        </w:rPr>
        <w:t>。</w:t>
      </w:r>
    </w:p>
    <w:p w14:paraId="5C55BB6F">
      <w:pPr>
        <w:pStyle w:val="16"/>
        <w:keepNext w:val="0"/>
        <w:keepLines w:val="0"/>
        <w:pageBreakBefore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万元，支出决算为159.37万元，决算数大于年初预算数的主要原因是：</w:t>
      </w:r>
      <w:r>
        <w:rPr>
          <w:rFonts w:hint="eastAsia" w:ascii="Times New Roman" w:hAnsi="Times New Roman" w:eastAsia="仿宋_GB2312"/>
          <w:color w:val="auto"/>
          <w:sz w:val="32"/>
          <w:szCs w:val="32"/>
        </w:rPr>
        <w:t>机关养老保险缴费是由财政负担，未纳入年初预算</w:t>
      </w:r>
      <w:r>
        <w:rPr>
          <w:rFonts w:hint="eastAsia" w:ascii="仿宋" w:hAnsi="仿宋" w:eastAsia="仿宋" w:cs="仿宋"/>
          <w:sz w:val="32"/>
          <w:szCs w:val="32"/>
          <w:lang w:val="en-US" w:eastAsia="zh-CN"/>
        </w:rPr>
        <w:t>。</w:t>
      </w:r>
    </w:p>
    <w:p w14:paraId="6C8D725C">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color w:val="auto"/>
          <w:sz w:val="32"/>
          <w:szCs w:val="32"/>
          <w:lang w:val="en-US"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sz w:val="32"/>
          <w:szCs w:val="32"/>
        </w:rPr>
        <w:t>其他行政事业单位养老支出（项）。</w:t>
      </w:r>
    </w:p>
    <w:p w14:paraId="0442122B">
      <w:pPr>
        <w:pStyle w:val="16"/>
        <w:keepNext w:val="0"/>
        <w:keepLines w:val="0"/>
        <w:pageBreakBefore w:val="0"/>
        <w:kinsoku/>
        <w:wordWrap/>
        <w:overflowPunct/>
        <w:topLinePunct w:val="0"/>
        <w:bidi w:val="0"/>
        <w:adjustRightInd/>
        <w:snapToGrid/>
        <w:spacing w:line="600" w:lineRule="exact"/>
        <w:ind w:left="0" w:leftChars="0" w:right="0" w:firstLine="640" w:firstLineChars="200"/>
        <w:jc w:val="both"/>
        <w:textAlignment w:val="auto"/>
        <w:rPr>
          <w:rFonts w:hint="eastAsia" w:ascii="仿宋" w:hAnsi="仿宋" w:eastAsia="仿宋" w:cs="仿宋"/>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141.04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color w:val="auto"/>
          <w:sz w:val="32"/>
          <w:szCs w:val="32"/>
        </w:rPr>
        <w:t>机关养老保险缴费是由财政负担，未纳入年初预算</w:t>
      </w:r>
      <w:r>
        <w:rPr>
          <w:rFonts w:hint="eastAsia" w:ascii="仿宋" w:hAnsi="仿宋" w:eastAsia="仿宋" w:cs="仿宋"/>
          <w:sz w:val="32"/>
          <w:szCs w:val="32"/>
          <w:lang w:val="en-US" w:eastAsia="zh-CN"/>
        </w:rPr>
        <w:t>。</w:t>
      </w:r>
    </w:p>
    <w:p w14:paraId="7F3B79C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仿宋" w:hAnsi="仿宋" w:eastAsia="仿宋" w:cs="仿宋"/>
          <w:color w:val="auto"/>
          <w:sz w:val="32"/>
          <w:szCs w:val="32"/>
        </w:rPr>
        <w:t>卫生健康支出（类）行政事业单位医疗（款）行政单位医疗（项）</w:t>
      </w:r>
      <w:r>
        <w:rPr>
          <w:rFonts w:hint="eastAsia" w:ascii="Times New Roman" w:hAnsi="Times New Roman" w:eastAsia="仿宋_GB2312"/>
          <w:sz w:val="32"/>
          <w:szCs w:val="32"/>
        </w:rPr>
        <w:t>。</w:t>
      </w:r>
    </w:p>
    <w:p w14:paraId="0426E57F">
      <w:pPr>
        <w:pStyle w:val="16"/>
        <w:keepNext w:val="0"/>
        <w:keepLines w:val="0"/>
        <w:pageBreakBefore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70.11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color w:val="auto"/>
          <w:sz w:val="32"/>
          <w:szCs w:val="32"/>
        </w:rPr>
        <w:t>单位基本医疗保险单位部分由财政负担，未纳入年初预算</w:t>
      </w:r>
      <w:r>
        <w:rPr>
          <w:rFonts w:hint="eastAsia" w:ascii="仿宋" w:hAnsi="仿宋" w:eastAsia="仿宋" w:cs="仿宋"/>
          <w:sz w:val="32"/>
          <w:szCs w:val="32"/>
          <w:lang w:val="en-US" w:eastAsia="zh-CN"/>
        </w:rPr>
        <w:t>。</w:t>
      </w:r>
    </w:p>
    <w:p w14:paraId="74560D7C">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、城乡社区支出（类）城乡社区管理事务（款）行政运行（项）。</w:t>
      </w:r>
    </w:p>
    <w:p w14:paraId="40482AF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139.07</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w:t>
      </w:r>
      <w:r>
        <w:rPr>
          <w:rFonts w:hint="eastAsia" w:ascii="仿宋" w:hAnsi="仿宋" w:eastAsia="仿宋" w:cs="仿宋"/>
          <w:sz w:val="32"/>
          <w:szCs w:val="32"/>
        </w:rPr>
        <w:t>业务需要增加支出</w:t>
      </w:r>
      <w:r>
        <w:rPr>
          <w:rFonts w:hint="eastAsia" w:ascii="Times New Roman" w:hAnsi="Times New Roman" w:eastAsia="仿宋_GB2312"/>
          <w:sz w:val="32"/>
          <w:szCs w:val="32"/>
          <w:lang w:val="en-US" w:eastAsia="zh-CN"/>
        </w:rPr>
        <w:t>。</w:t>
      </w:r>
    </w:p>
    <w:p w14:paraId="758D201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、城乡社区支出（类）城乡社区管理事务（款）  其他城乡社区管理事务支出（项）。</w:t>
      </w:r>
    </w:p>
    <w:p w14:paraId="7EBC46E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2A3057AD">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、城乡社区支出（类）城乡社区公共设施（款）其他城乡社区公共设施支出（项）。</w:t>
      </w:r>
    </w:p>
    <w:p w14:paraId="0453E5F4">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26.75</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64928EC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、城乡社区支出（类）城乡社区环境卫生（款）城乡社区环境卫生（项）。</w:t>
      </w:r>
    </w:p>
    <w:p w14:paraId="27BE8A3E">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624.50</w:t>
      </w:r>
      <w:r>
        <w:rPr>
          <w:rFonts w:hint="eastAsia" w:ascii="Times New Roman" w:hAnsi="Times New Roman" w:eastAsia="仿宋_GB2312"/>
          <w:sz w:val="32"/>
          <w:szCs w:val="32"/>
        </w:rPr>
        <w:t>万元，支出决算为842.46万元，完成年初预算的</w:t>
      </w:r>
      <w:r>
        <w:rPr>
          <w:rFonts w:hint="eastAsia" w:ascii="Times New Roman" w:hAnsi="Times New Roman" w:eastAsia="仿宋_GB2312"/>
          <w:sz w:val="32"/>
          <w:szCs w:val="32"/>
          <w:lang w:val="en-US" w:eastAsia="zh-CN"/>
        </w:rPr>
        <w:t>134.90</w:t>
      </w:r>
      <w:r>
        <w:rPr>
          <w:rFonts w:hint="eastAsia" w:ascii="Times New Roman" w:hAnsi="Times New Roman" w:eastAsia="仿宋_GB2312"/>
          <w:sz w:val="32"/>
          <w:szCs w:val="32"/>
        </w:rPr>
        <w:t>%，决算数大于年初预算数的主要原因是：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1366577A">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、城乡社区支出（类）其他城乡社区支出（款）其他城乡社区支出（项）。</w:t>
      </w:r>
    </w:p>
    <w:p w14:paraId="78F6DA5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369.72</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676A6FE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、资源勘探工业信息等支出（类）资源勘探开发（款）行政运行（项）。</w:t>
      </w:r>
    </w:p>
    <w:p w14:paraId="0D016368">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881.18</w:t>
      </w:r>
      <w:r>
        <w:rPr>
          <w:rFonts w:hint="eastAsia" w:ascii="Times New Roman" w:hAnsi="Times New Roman" w:eastAsia="仿宋_GB2312"/>
          <w:sz w:val="32"/>
          <w:szCs w:val="32"/>
        </w:rPr>
        <w:t>万元，决算数大于年初预算数的主要原因是：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05AB07C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FDB74C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1692.66</w:t>
      </w:r>
      <w:r>
        <w:rPr>
          <w:rFonts w:hint="eastAsia" w:ascii="Times New Roman" w:hAnsi="Times New Roman" w:eastAsia="仿宋_GB2312"/>
          <w:sz w:val="32"/>
          <w:szCs w:val="32"/>
        </w:rPr>
        <w:t>万元，其中：</w:t>
      </w:r>
    </w:p>
    <w:p w14:paraId="7D40FFD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1601.82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94.63</w:t>
      </w:r>
      <w:r>
        <w:rPr>
          <w:rFonts w:hint="eastAsia" w:ascii="Times New Roman" w:hAnsi="Times New Roman" w:eastAsia="仿宋_GB2312"/>
          <w:sz w:val="32"/>
          <w:szCs w:val="32"/>
        </w:rPr>
        <w:t>%,主要包括</w:t>
      </w:r>
      <w:r>
        <w:rPr>
          <w:rFonts w:hint="eastAsia" w:ascii="仿宋" w:hAnsi="仿宋" w:eastAsia="仿宋" w:cs="仿宋"/>
          <w:sz w:val="32"/>
          <w:szCs w:val="32"/>
        </w:rPr>
        <w:t>基本工资、津贴补贴、奖金、伙食补助费</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费、职业年金缴费、职工基本医疗保险缴费、其他社会保障缴费、住房公积金、医疗费补助、其他工资福利支出、离休费、退休费、抚恤金、生活补助、奖励金、其他对个人和家庭的补助</w:t>
      </w:r>
      <w:r>
        <w:rPr>
          <w:rFonts w:hint="eastAsia" w:ascii="Times New Roman" w:hAnsi="Times New Roman" w:eastAsia="仿宋_GB2312"/>
          <w:sz w:val="32"/>
          <w:szCs w:val="32"/>
          <w:lang w:eastAsia="zh-CN"/>
        </w:rPr>
        <w:t>。</w:t>
      </w:r>
    </w:p>
    <w:p w14:paraId="50F68B1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90.84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5.37</w:t>
      </w:r>
      <w:r>
        <w:rPr>
          <w:rFonts w:hint="eastAsia" w:ascii="Times New Roman" w:hAnsi="Times New Roman" w:eastAsia="仿宋_GB2312"/>
          <w:sz w:val="32"/>
          <w:szCs w:val="32"/>
        </w:rPr>
        <w:t>%，主要包括</w:t>
      </w:r>
      <w:r>
        <w:rPr>
          <w:rFonts w:hint="eastAsia" w:ascii="仿宋" w:hAnsi="仿宋" w:eastAsia="仿宋" w:cs="仿宋"/>
          <w:sz w:val="32"/>
          <w:szCs w:val="32"/>
        </w:rPr>
        <w:t>办公费、印刷费、咨询费、水费、电费、邮电费、差旅费、维修（护）费、租赁费、公务接待费、专用材料费、劳务费、工会经费、福利费、公务用车维护费、其他交通费用、其他商品和服务支出及资本性支出。</w:t>
      </w:r>
    </w:p>
    <w:p w14:paraId="32DE6E0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p>
    <w:p w14:paraId="2D58DB0E">
      <w:pPr>
        <w:pStyle w:val="16"/>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1ECB5DB">
      <w:pPr>
        <w:pStyle w:val="16"/>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7C74727">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10.30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72.91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2.79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27.09</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严格控制支出</w:t>
      </w:r>
      <w:r>
        <w:rPr>
          <w:rFonts w:hint="eastAsia" w:ascii="Times New Roman" w:hAnsi="Times New Roman" w:eastAsia="仿宋_GB2312"/>
          <w:sz w:val="32"/>
          <w:szCs w:val="32"/>
        </w:rPr>
        <w:t>。其中：</w:t>
      </w:r>
    </w:p>
    <w:p w14:paraId="3B2B4BDD">
      <w:pPr>
        <w:pStyle w:val="16"/>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rPr>
        <w:t>全年未安排因公出国（境）。</w:t>
      </w:r>
    </w:p>
    <w:p w14:paraId="5B5CDFB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%，决算数小于预算数的主要原因是厉行节约，严格规范公务接待，与上年相比减少</w:t>
      </w:r>
      <w:r>
        <w:rPr>
          <w:rFonts w:hint="eastAsia" w:ascii="Times New Roman" w:hAnsi="Times New Roman" w:eastAsia="仿宋_GB2312"/>
          <w:sz w:val="32"/>
          <w:szCs w:val="32"/>
          <w:lang w:val="en-US" w:eastAsia="zh-CN"/>
        </w:rPr>
        <w:t>0.13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46.43</w:t>
      </w:r>
      <w:r>
        <w:rPr>
          <w:rFonts w:hint="eastAsia" w:ascii="Times New Roman" w:hAnsi="Times New Roman" w:eastAsia="仿宋_GB2312"/>
          <w:sz w:val="32"/>
          <w:szCs w:val="32"/>
        </w:rPr>
        <w:t>%,减少的主要原因是公务接待批次与人数减少。</w:t>
      </w:r>
    </w:p>
    <w:p w14:paraId="3FF2FE41">
      <w:pPr>
        <w:pStyle w:val="16"/>
        <w:keepNext w:val="0"/>
        <w:keepLines w:val="0"/>
        <w:pageBreakBefore w:val="0"/>
        <w:widowControl w:val="0"/>
        <w:kinsoku/>
        <w:wordWrap/>
        <w:overflowPunct/>
        <w:topLinePunct w:val="0"/>
        <w:bidi w:val="0"/>
        <w:adjustRightInd/>
        <w:snapToGrid/>
        <w:spacing w:line="600" w:lineRule="exact"/>
        <w:ind w:left="0" w:leftChars="0" w:right="0" w:firstLine="640" w:firstLineChars="200"/>
        <w:jc w:val="both"/>
        <w:textAlignment w:val="auto"/>
        <w:rPr>
          <w:rFonts w:ascii="Times New Roman" w:hAnsi="Times New Roman" w:eastAsia="仿宋_GB2312"/>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决算数与年初预算数相等。</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单位厉行节约</w:t>
      </w:r>
      <w:r>
        <w:rPr>
          <w:rFonts w:hint="eastAsia" w:ascii="仿宋" w:hAnsi="仿宋" w:eastAsia="仿宋" w:cs="仿宋"/>
          <w:sz w:val="32"/>
          <w:szCs w:val="32"/>
        </w:rPr>
        <w:t>。</w:t>
      </w:r>
    </w:p>
    <w:p w14:paraId="7456957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7.35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73.50</w:t>
      </w:r>
      <w:r>
        <w:rPr>
          <w:rFonts w:hint="eastAsia" w:ascii="Times New Roman" w:hAnsi="Times New Roman" w:eastAsia="仿宋_GB2312"/>
          <w:sz w:val="32"/>
          <w:szCs w:val="32"/>
        </w:rPr>
        <w:t>%，决算数小于预算数的主要原因是厉行节约，规范公务用车，与上年相比减少</w:t>
      </w:r>
      <w:r>
        <w:rPr>
          <w:rFonts w:hint="eastAsia" w:ascii="Times New Roman" w:hAnsi="Times New Roman" w:eastAsia="仿宋_GB2312"/>
          <w:sz w:val="32"/>
          <w:szCs w:val="32"/>
          <w:lang w:val="en-US" w:eastAsia="zh-CN"/>
        </w:rPr>
        <w:t>12.10</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业务车辆维护费未入</w:t>
      </w:r>
      <w:r>
        <w:rPr>
          <w:rFonts w:hint="eastAsia" w:ascii="Times New Roman" w:hAnsi="Times New Roman" w:eastAsia="仿宋_GB2312"/>
          <w:sz w:val="32"/>
          <w:szCs w:val="32"/>
        </w:rPr>
        <w:t>。</w:t>
      </w:r>
    </w:p>
    <w:p w14:paraId="3E6A014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B01E8D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7.35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97.87</w:t>
      </w:r>
      <w:r>
        <w:rPr>
          <w:rFonts w:hint="eastAsia" w:ascii="Times New Roman" w:hAnsi="Times New Roman" w:eastAsia="仿宋_GB2312"/>
          <w:sz w:val="32"/>
          <w:szCs w:val="32"/>
        </w:rPr>
        <w:t>%。其中：</w:t>
      </w:r>
    </w:p>
    <w:p w14:paraId="32444ECB">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547A3B6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县园林部门学习考察</w:t>
      </w:r>
      <w:r>
        <w:rPr>
          <w:rFonts w:hint="eastAsia" w:ascii="Times New Roman" w:hAnsi="Times New Roman" w:eastAsia="仿宋_GB2312"/>
          <w:sz w:val="32"/>
          <w:szCs w:val="32"/>
        </w:rPr>
        <w:t>发生的接待支出。</w:t>
      </w:r>
    </w:p>
    <w:p w14:paraId="50A76C4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7.51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7.35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车辆保险、车辆燃油费、车辆保险、车辆维修等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业务用车23辆</w:t>
      </w:r>
      <w:r>
        <w:rPr>
          <w:rFonts w:hint="eastAsia" w:ascii="Times New Roman" w:hAnsi="Times New Roman" w:eastAsia="仿宋_GB2312"/>
          <w:sz w:val="32"/>
          <w:szCs w:val="32"/>
        </w:rPr>
        <w:t>。</w:t>
      </w:r>
    </w:p>
    <w:p w14:paraId="43D9B63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1031C32">
      <w:pPr>
        <w:pStyle w:val="16"/>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年度政府性基金预算财政拨款收入1692.39万元；年初结转和结余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万元；支出1692.39万元，其中基本支出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万元，项目支出1692.39万元；年末结转和结余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32185A6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1、城乡社区支出（类）城市基础设施配套费安排的支出（款）城市环境卫生（项）。</w:t>
      </w:r>
    </w:p>
    <w:p w14:paraId="2383F11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1922.29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692.39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36.02</w:t>
      </w:r>
      <w:r>
        <w:rPr>
          <w:rFonts w:hint="eastAsia" w:ascii="Times New Roman" w:hAnsi="Times New Roman" w:eastAsia="仿宋_GB2312"/>
          <w:sz w:val="32"/>
          <w:szCs w:val="32"/>
        </w:rPr>
        <w:t>%，决算数小于年初预算数的主要原因是：</w:t>
      </w:r>
      <w:r>
        <w:rPr>
          <w:rFonts w:hint="eastAsia" w:ascii="仿宋" w:hAnsi="仿宋" w:eastAsia="仿宋" w:cs="仿宋"/>
          <w:sz w:val="32"/>
          <w:szCs w:val="32"/>
          <w:lang w:val="en-US" w:eastAsia="zh-CN"/>
        </w:rPr>
        <w:t>财政统筹安排</w:t>
      </w:r>
      <w:r>
        <w:rPr>
          <w:rFonts w:hint="eastAsia" w:ascii="Times New Roman" w:hAnsi="Times New Roman" w:eastAsia="仿宋_GB2312"/>
          <w:sz w:val="32"/>
          <w:szCs w:val="32"/>
          <w:lang w:val="en-US" w:eastAsia="zh-CN"/>
        </w:rPr>
        <w:t>。</w:t>
      </w:r>
    </w:p>
    <w:p w14:paraId="18E7404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、城乡社区支出（类）城市基础设施配套费安排的支出（款）其他城市基础设施配套费安排的支出（项）。</w:t>
      </w:r>
    </w:p>
    <w:p w14:paraId="42C0AEC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1000</w:t>
      </w:r>
      <w:r>
        <w:rPr>
          <w:rFonts w:hint="eastAsia" w:ascii="Times New Roman" w:hAnsi="Times New Roman" w:eastAsia="仿宋_GB2312"/>
          <w:sz w:val="32"/>
          <w:szCs w:val="32"/>
        </w:rPr>
        <w:t>万元，决算数大于小于年初预算数的主要原因是：</w:t>
      </w:r>
      <w:r>
        <w:rPr>
          <w:rFonts w:hint="eastAsia" w:ascii="仿宋" w:hAnsi="仿宋" w:eastAsia="仿宋" w:cs="仿宋"/>
          <w:sz w:val="32"/>
          <w:szCs w:val="32"/>
          <w:lang w:val="en-US" w:eastAsia="zh-CN"/>
        </w:rPr>
        <w:t>财政统筹安排，年初未编制预算。</w:t>
      </w:r>
    </w:p>
    <w:p w14:paraId="2FA6E1C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九</w:t>
      </w:r>
      <w:r>
        <w:rPr>
          <w:rFonts w:hint="eastAsia" w:ascii="黑体" w:hAnsi="黑体" w:eastAsia="黑体" w:cs="黑体"/>
          <w:b w:val="0"/>
          <w:bCs/>
          <w:sz w:val="32"/>
          <w:szCs w:val="32"/>
          <w:lang w:val="en-US" w:eastAsia="zh-CN"/>
        </w:rPr>
        <w:t>、</w:t>
      </w:r>
      <w:r>
        <w:rPr>
          <w:rFonts w:hint="eastAsia" w:ascii="黑体" w:hAnsi="黑体" w:eastAsia="黑体" w:cs="黑体"/>
          <w:b w:val="0"/>
          <w:bCs/>
          <w:sz w:val="32"/>
          <w:szCs w:val="32"/>
        </w:rPr>
        <w:t>国有资本经营预算财政拨款支出决算情况说明</w:t>
      </w:r>
    </w:p>
    <w:p w14:paraId="122F8914">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本单位2023年度机关运行经费支出0万元。</w:t>
      </w:r>
    </w:p>
    <w:p w14:paraId="523F9D3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5C568E8C">
      <w:pPr>
        <w:pStyle w:val="16"/>
        <w:ind w:firstLine="640" w:firstLineChars="200"/>
        <w:rPr>
          <w:rFonts w:hint="eastAsia" w:ascii="仿宋" w:hAnsi="仿宋" w:eastAsia="仿宋" w:cs="仿宋"/>
          <w:b w:val="0"/>
          <w:bCs w:val="0"/>
          <w:kern w:val="0"/>
          <w:sz w:val="32"/>
          <w:szCs w:val="32"/>
          <w:highlight w:val="none"/>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90.84</w:t>
      </w:r>
      <w:r>
        <w:rPr>
          <w:rFonts w:hint="eastAsia" w:ascii="Times New Roman" w:hAnsi="Times New Roman" w:eastAsia="仿宋_GB2312"/>
          <w:sz w:val="32"/>
          <w:szCs w:val="32"/>
        </w:rPr>
        <w:t>万元</w:t>
      </w:r>
      <w:r>
        <w:rPr>
          <w:rFonts w:hint="eastAsia" w:ascii="楷体" w:hAnsi="楷体" w:eastAsia="楷体" w:cs="楷体"/>
          <w:b/>
          <w:bCs/>
          <w:i/>
          <w:color w:val="auto"/>
          <w:kern w:val="0"/>
          <w:sz w:val="32"/>
          <w:szCs w:val="32"/>
          <w:lang w:val="en-US" w:eastAsia="zh-CN" w:bidi="ar-SA"/>
        </w:rPr>
        <w:t>，</w:t>
      </w:r>
      <w:r>
        <w:rPr>
          <w:rFonts w:hint="eastAsia" w:ascii="仿宋" w:hAnsi="仿宋" w:eastAsia="仿宋" w:cs="仿宋"/>
          <w:b w:val="0"/>
          <w:bCs w:val="0"/>
          <w:kern w:val="0"/>
          <w:sz w:val="32"/>
          <w:szCs w:val="32"/>
          <w:highlight w:val="none"/>
          <w:lang w:val="en-US" w:eastAsia="zh-CN"/>
        </w:rPr>
        <w:t>本部门属非参公事业单位。</w:t>
      </w:r>
    </w:p>
    <w:p w14:paraId="12AD92A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8E83C3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元；开支培训费</w:t>
      </w:r>
      <w:r>
        <w:rPr>
          <w:rFonts w:hint="eastAsia" w:ascii="Times New Roman" w:hAnsi="Times New Roman" w:eastAsia="仿宋_GB2312"/>
          <w:sz w:val="32"/>
          <w:szCs w:val="32"/>
          <w:lang w:val="en-US" w:eastAsia="zh-CN"/>
        </w:rPr>
        <w:t>3.29</w:t>
      </w:r>
      <w:r>
        <w:rPr>
          <w:rFonts w:hint="eastAsia" w:ascii="Times New Roman" w:hAnsi="Times New Roman" w:eastAsia="仿宋_GB2312"/>
          <w:sz w:val="32"/>
          <w:szCs w:val="32"/>
        </w:rPr>
        <w:t>万元，用于开展</w:t>
      </w:r>
      <w:r>
        <w:rPr>
          <w:rFonts w:hint="eastAsia" w:ascii="仿宋" w:hAnsi="仿宋" w:eastAsia="仿宋" w:cs="仿宋"/>
          <w:sz w:val="32"/>
          <w:szCs w:val="32"/>
          <w:lang w:val="en-US" w:eastAsia="zh-CN"/>
        </w:rPr>
        <w:t>事业单位人员继续教育培训、会计人员续教育培训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公需课和专业技能的继续教育</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4AE7E5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6201B90">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1358.48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53.33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779.50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525.64</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1358.48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1358.48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3.9</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57.38</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38.72</w:t>
      </w:r>
      <w:r>
        <w:rPr>
          <w:rFonts w:hint="eastAsia" w:ascii="Times New Roman" w:hAnsi="Times New Roman" w:eastAsia="仿宋_GB2312"/>
          <w:color w:val="auto"/>
          <w:sz w:val="32"/>
          <w:szCs w:val="32"/>
        </w:rPr>
        <w:t>%。</w:t>
      </w:r>
    </w:p>
    <w:p w14:paraId="11997C70">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0B7F3C86">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25</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18</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1B87A28">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CAF3CF9">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714F1C9">
      <w:pPr>
        <w:keepNext w:val="0"/>
        <w:keepLines w:val="0"/>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根据预算绩效管理要求，我部门组织对202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年度一般公共预算项目支出全面开展绩效自评，其中，</w:t>
      </w:r>
      <w:r>
        <w:rPr>
          <w:rFonts w:hint="eastAsia" w:ascii="仿宋" w:hAnsi="仿宋" w:eastAsia="仿宋" w:cs="仿宋"/>
          <w:color w:val="000000"/>
          <w:kern w:val="0"/>
          <w:sz w:val="32"/>
          <w:szCs w:val="32"/>
          <w:lang w:val="en-US" w:eastAsia="zh-CN"/>
        </w:rPr>
        <w:t>整体绩效</w:t>
      </w:r>
      <w:r>
        <w:rPr>
          <w:rFonts w:hint="eastAsia" w:ascii="仿宋" w:hAnsi="仿宋" w:eastAsia="仿宋" w:cs="仿宋"/>
          <w:color w:val="000000"/>
          <w:kern w:val="0"/>
          <w:sz w:val="32"/>
          <w:szCs w:val="32"/>
        </w:rPr>
        <w:t>项目1个，</w:t>
      </w:r>
      <w:r>
        <w:rPr>
          <w:rFonts w:hint="eastAsia" w:ascii="仿宋" w:hAnsi="仿宋" w:eastAsia="仿宋" w:cs="仿宋"/>
          <w:color w:val="000000"/>
          <w:kern w:val="0"/>
          <w:sz w:val="32"/>
          <w:szCs w:val="32"/>
          <w:lang w:val="en-US" w:eastAsia="zh-CN"/>
        </w:rPr>
        <w:t>专项绩效</w:t>
      </w:r>
      <w:r>
        <w:rPr>
          <w:rFonts w:hint="eastAsia" w:ascii="仿宋" w:hAnsi="仿宋" w:eastAsia="仿宋" w:cs="仿宋"/>
          <w:color w:val="000000"/>
          <w:kern w:val="0"/>
          <w:sz w:val="32"/>
          <w:szCs w:val="32"/>
        </w:rPr>
        <w:t>项目1</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个，组织对202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w:t>
      </w:r>
      <w:r>
        <w:rPr>
          <w:rFonts w:hint="eastAsia" w:ascii="仿宋" w:hAnsi="仿宋" w:eastAsia="仿宋" w:cs="仿宋"/>
          <w:color w:val="000000"/>
          <w:kern w:val="0"/>
          <w:sz w:val="32"/>
          <w:szCs w:val="32"/>
          <w:lang w:val="en-US" w:eastAsia="zh-CN"/>
        </w:rPr>
        <w:t>整体及</w:t>
      </w: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w:t>
      </w:r>
      <w:r>
        <w:rPr>
          <w:rFonts w:hint="eastAsia" w:ascii="仿宋" w:hAnsi="仿宋" w:eastAsia="仿宋" w:cs="仿宋"/>
          <w:color w:val="000000"/>
          <w:kern w:val="0"/>
          <w:sz w:val="32"/>
          <w:szCs w:val="32"/>
          <w:lang w:val="en-US" w:eastAsia="zh-CN"/>
        </w:rPr>
        <w:t>专项</w:t>
      </w:r>
      <w:r>
        <w:rPr>
          <w:rFonts w:hint="eastAsia" w:ascii="仿宋" w:hAnsi="仿宋" w:eastAsia="仿宋" w:cs="仿宋"/>
          <w:color w:val="000000"/>
          <w:kern w:val="0"/>
          <w:sz w:val="32"/>
          <w:szCs w:val="32"/>
        </w:rPr>
        <w:t>项目支出开展绩效自评，本单位202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年度无国有资本经营预算项目支出，故未开展绩效自评。从评价情况</w:t>
      </w:r>
      <w:r>
        <w:rPr>
          <w:rFonts w:hint="eastAsia" w:ascii="仿宋" w:hAnsi="仿宋" w:eastAsia="仿宋" w:cs="仿宋"/>
          <w:color w:val="000000"/>
          <w:kern w:val="0"/>
          <w:sz w:val="32"/>
          <w:szCs w:val="32"/>
          <w:lang w:val="zh-CN"/>
        </w:rPr>
        <w:t>来看，</w:t>
      </w:r>
      <w:r>
        <w:rPr>
          <w:rFonts w:hint="eastAsia" w:ascii="仿宋" w:hAnsi="仿宋" w:eastAsia="仿宋" w:cs="仿宋"/>
          <w:color w:val="000000"/>
          <w:kern w:val="0"/>
          <w:sz w:val="32"/>
          <w:szCs w:val="32"/>
        </w:rPr>
        <w:t>项目管理制度健全，资金和监管措施落实到位；各项工作具体扎实，项目建设任务全面完成，项目实施效果显著。</w:t>
      </w:r>
      <w:r>
        <w:rPr>
          <w:rFonts w:hint="eastAsia" w:ascii="仿宋" w:hAnsi="仿宋" w:eastAsia="仿宋" w:cs="仿宋"/>
          <w:color w:val="000000"/>
          <w:kern w:val="0"/>
          <w:sz w:val="32"/>
          <w:szCs w:val="32"/>
          <w:lang w:val="zh-CN"/>
        </w:rPr>
        <w:t>组织对“</w:t>
      </w:r>
      <w:r>
        <w:rPr>
          <w:rFonts w:hint="eastAsia" w:ascii="仿宋" w:hAnsi="仿宋" w:eastAsia="仿宋" w:cs="仿宋"/>
          <w:color w:val="000000"/>
          <w:kern w:val="0"/>
          <w:sz w:val="32"/>
          <w:szCs w:val="32"/>
        </w:rPr>
        <w:t>怀化市</w:t>
      </w:r>
      <w:r>
        <w:rPr>
          <w:rFonts w:hint="eastAsia" w:ascii="仿宋" w:hAnsi="仿宋" w:eastAsia="仿宋" w:cs="仿宋"/>
          <w:color w:val="000000"/>
          <w:kern w:val="0"/>
          <w:sz w:val="32"/>
          <w:szCs w:val="32"/>
          <w:lang w:val="en-US" w:eastAsia="zh-CN"/>
        </w:rPr>
        <w:t>园林绿化服务</w:t>
      </w:r>
      <w:r>
        <w:rPr>
          <w:rFonts w:hint="eastAsia" w:ascii="仿宋" w:hAnsi="仿宋" w:eastAsia="仿宋" w:cs="仿宋"/>
          <w:color w:val="000000"/>
          <w:kern w:val="0"/>
          <w:sz w:val="32"/>
          <w:szCs w:val="32"/>
        </w:rPr>
        <w:t>中心</w:t>
      </w:r>
      <w:r>
        <w:rPr>
          <w:rFonts w:hint="eastAsia" w:ascii="仿宋" w:hAnsi="仿宋" w:eastAsia="仿宋" w:cs="仿宋"/>
          <w:color w:val="000000"/>
          <w:kern w:val="0"/>
          <w:sz w:val="32"/>
          <w:szCs w:val="32"/>
          <w:lang w:val="zh-CN"/>
        </w:rPr>
        <w:t>”</w:t>
      </w: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zh-CN"/>
        </w:rPr>
        <w:t>个单位开展整体支出绩效评价。从评价情况来看，</w:t>
      </w:r>
      <w:r>
        <w:rPr>
          <w:rFonts w:hint="eastAsia" w:ascii="仿宋" w:hAnsi="仿宋" w:eastAsia="仿宋" w:cs="仿宋"/>
          <w:color w:val="000000"/>
          <w:kern w:val="0"/>
          <w:sz w:val="32"/>
          <w:szCs w:val="32"/>
        </w:rPr>
        <w:t>一是</w:t>
      </w:r>
      <w:r>
        <w:rPr>
          <w:rFonts w:hint="eastAsia" w:ascii="仿宋" w:hAnsi="仿宋" w:eastAsia="仿宋" w:cs="仿宋"/>
          <w:color w:val="000000"/>
          <w:kern w:val="0"/>
          <w:sz w:val="32"/>
          <w:szCs w:val="32"/>
          <w:lang w:val="zh-CN"/>
        </w:rPr>
        <w:t>全面加强党的建设工作，</w:t>
      </w:r>
      <w:r>
        <w:rPr>
          <w:rFonts w:hint="eastAsia" w:ascii="仿宋" w:hAnsi="仿宋" w:eastAsia="仿宋" w:cs="仿宋"/>
          <w:color w:val="000000"/>
          <w:kern w:val="0"/>
          <w:sz w:val="32"/>
          <w:szCs w:val="32"/>
        </w:rPr>
        <w:t>二是</w:t>
      </w:r>
      <w:r>
        <w:rPr>
          <w:rFonts w:hint="eastAsia" w:ascii="仿宋" w:hAnsi="仿宋" w:eastAsia="仿宋" w:cs="仿宋"/>
          <w:color w:val="000000"/>
          <w:kern w:val="0"/>
          <w:sz w:val="32"/>
          <w:szCs w:val="32"/>
          <w:lang w:val="zh-CN"/>
        </w:rPr>
        <w:t>扎实推进</w:t>
      </w:r>
      <w:r>
        <w:rPr>
          <w:rFonts w:hint="eastAsia" w:ascii="仿宋" w:hAnsi="仿宋" w:eastAsia="仿宋" w:cs="仿宋"/>
          <w:color w:val="000000"/>
          <w:kern w:val="0"/>
          <w:sz w:val="32"/>
          <w:szCs w:val="32"/>
          <w:lang w:val="en-US" w:eastAsia="zh-CN"/>
        </w:rPr>
        <w:t>园林绿化</w:t>
      </w:r>
      <w:r>
        <w:rPr>
          <w:rFonts w:hint="eastAsia" w:ascii="仿宋" w:hAnsi="仿宋" w:eastAsia="仿宋" w:cs="仿宋"/>
          <w:color w:val="000000"/>
          <w:kern w:val="0"/>
          <w:sz w:val="32"/>
          <w:szCs w:val="32"/>
          <w:lang w:val="zh-CN"/>
        </w:rPr>
        <w:t>日常维护与管理，</w:t>
      </w:r>
      <w:r>
        <w:rPr>
          <w:rFonts w:hint="eastAsia" w:ascii="仿宋" w:hAnsi="仿宋" w:eastAsia="仿宋" w:cs="仿宋"/>
          <w:color w:val="000000"/>
          <w:kern w:val="0"/>
          <w:sz w:val="32"/>
          <w:szCs w:val="32"/>
        </w:rPr>
        <w:t>三是</w:t>
      </w:r>
      <w:r>
        <w:rPr>
          <w:rFonts w:hint="eastAsia" w:ascii="仿宋" w:hAnsi="仿宋" w:eastAsia="仿宋" w:cs="仿宋"/>
          <w:color w:val="000000"/>
          <w:kern w:val="0"/>
          <w:sz w:val="32"/>
          <w:szCs w:val="32"/>
          <w:lang w:val="zh-CN"/>
        </w:rPr>
        <w:t>认真抓好202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val="zh-CN"/>
        </w:rPr>
        <w:t>年城管工作要点的落实，</w:t>
      </w:r>
      <w:r>
        <w:rPr>
          <w:rFonts w:hint="eastAsia" w:ascii="仿宋" w:hAnsi="仿宋" w:eastAsia="仿宋" w:cs="仿宋"/>
          <w:color w:val="000000"/>
          <w:kern w:val="0"/>
          <w:sz w:val="32"/>
          <w:szCs w:val="32"/>
        </w:rPr>
        <w:t>四是</w:t>
      </w:r>
      <w:r>
        <w:rPr>
          <w:rFonts w:hint="eastAsia" w:ascii="仿宋" w:hAnsi="仿宋" w:eastAsia="仿宋" w:cs="仿宋"/>
          <w:color w:val="000000"/>
          <w:kern w:val="0"/>
          <w:sz w:val="32"/>
          <w:szCs w:val="32"/>
          <w:lang w:val="zh-CN"/>
        </w:rPr>
        <w:t>全力推进乡村振兴帮扶工作，</w:t>
      </w:r>
      <w:r>
        <w:rPr>
          <w:rFonts w:hint="eastAsia" w:ascii="仿宋" w:hAnsi="仿宋" w:eastAsia="仿宋" w:cs="仿宋"/>
          <w:color w:val="000000"/>
          <w:kern w:val="0"/>
          <w:sz w:val="32"/>
          <w:szCs w:val="32"/>
        </w:rPr>
        <w:t>五是</w:t>
      </w:r>
      <w:r>
        <w:rPr>
          <w:rFonts w:hint="eastAsia" w:ascii="仿宋" w:hAnsi="仿宋" w:eastAsia="仿宋" w:cs="仿宋"/>
          <w:color w:val="000000"/>
          <w:kern w:val="0"/>
          <w:sz w:val="32"/>
          <w:szCs w:val="32"/>
          <w:lang w:val="zh-CN"/>
        </w:rPr>
        <w:t>大力夯实安全文明和综合治理工作，</w:t>
      </w:r>
      <w:r>
        <w:rPr>
          <w:rFonts w:hint="eastAsia" w:ascii="仿宋" w:hAnsi="仿宋" w:eastAsia="仿宋" w:cs="仿宋"/>
          <w:color w:val="000000"/>
          <w:kern w:val="0"/>
          <w:sz w:val="32"/>
          <w:szCs w:val="32"/>
        </w:rPr>
        <w:t>六是</w:t>
      </w:r>
      <w:r>
        <w:rPr>
          <w:rFonts w:hint="eastAsia" w:ascii="仿宋" w:hAnsi="仿宋" w:eastAsia="仿宋" w:cs="仿宋"/>
          <w:color w:val="000000"/>
          <w:kern w:val="0"/>
          <w:sz w:val="32"/>
          <w:szCs w:val="32"/>
          <w:lang w:val="zh-CN"/>
        </w:rPr>
        <w:t>认真完成了人大建议和政协提案交办任务，</w:t>
      </w:r>
      <w:r>
        <w:rPr>
          <w:rFonts w:hint="eastAsia" w:ascii="仿宋" w:hAnsi="仿宋" w:eastAsia="仿宋" w:cs="仿宋"/>
          <w:color w:val="000000"/>
          <w:kern w:val="0"/>
          <w:sz w:val="32"/>
          <w:szCs w:val="32"/>
        </w:rPr>
        <w:t>七是</w:t>
      </w:r>
      <w:r>
        <w:rPr>
          <w:rFonts w:hint="eastAsia" w:ascii="仿宋" w:hAnsi="仿宋" w:eastAsia="仿宋" w:cs="仿宋"/>
          <w:color w:val="000000"/>
          <w:kern w:val="0"/>
          <w:sz w:val="32"/>
          <w:szCs w:val="32"/>
          <w:lang w:val="zh-CN"/>
        </w:rPr>
        <w:t>认真完成了人大建议和政协提案交办任务；</w:t>
      </w:r>
      <w:r>
        <w:rPr>
          <w:rFonts w:hint="eastAsia" w:ascii="仿宋" w:hAnsi="仿宋" w:eastAsia="仿宋" w:cs="仿宋"/>
          <w:color w:val="000000"/>
          <w:kern w:val="0"/>
          <w:sz w:val="32"/>
          <w:szCs w:val="32"/>
        </w:rPr>
        <w:t>八是</w:t>
      </w:r>
      <w:r>
        <w:rPr>
          <w:rFonts w:hint="eastAsia" w:ascii="仿宋" w:hAnsi="仿宋" w:eastAsia="仿宋" w:cs="仿宋"/>
          <w:color w:val="000000"/>
          <w:kern w:val="0"/>
          <w:sz w:val="32"/>
          <w:szCs w:val="32"/>
          <w:lang w:val="zh-CN"/>
        </w:rPr>
        <w:t>继续深入单位文化阵地建设。</w:t>
      </w:r>
    </w:p>
    <w:p w14:paraId="5E88D1B8">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6FE5F66">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我中心在部门整体支出中，严格按照年初预算安排，按照项目安排及时进行预算调整，强化经费监督，做到收支合理。在具体工作中依法合理有效的使用资金，认真执行财政的制度，建立严格的资金支付流程，专款专用。根据怀财绩〔2024〕46号文件部门整体支出绩效评价指标体系，我中心从整体绩效目标设定、预算配置、预算执行、预算管理、资产管理、职责履行、履职效益等方面进行了综合分析。根据本次自评情况，我中心整体支出绩效评价得分为97分，自评等级为“优”。</w:t>
      </w:r>
    </w:p>
    <w:p w14:paraId="4B765D85">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1.整体绩效目标设定</w:t>
      </w:r>
    </w:p>
    <w:p w14:paraId="63F924AD">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（1）绩效目标合理性。绩效目标符合国家法律法规、社会发展规划；符合部门“三定”方案确定的职责及中长期实施规划。</w:t>
      </w:r>
    </w:p>
    <w:p w14:paraId="13323F2F">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（2）绩效指标明确性。设定的绩效指标与部门年度的任务数或计划数相对应；与本年度部门预算资金相匹配，细化到三级指标。</w:t>
      </w:r>
    </w:p>
    <w:p w14:paraId="64F49F54">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2预算配置</w:t>
      </w:r>
    </w:p>
    <w:p w14:paraId="350EB529">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（1）在职人员控制率</w:t>
      </w:r>
    </w:p>
    <w:p w14:paraId="6660B92F">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 xml:space="preserve">2023年末我单位编制数111人，实际在职人员数105人，在职人员控制率为94.59%，控制在预算编制内。    </w:t>
      </w:r>
    </w:p>
    <w:p w14:paraId="4DEA207E">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（2）“三公经费”预算变动率</w:t>
      </w:r>
    </w:p>
    <w:p w14:paraId="32E03C98">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2023年“三公经费”预算数10.3万元，上年度“三公经费”预算数22.5万元，“三公经费”预算变动率-54.22%，本年度严格控制“三公经费”预算。</w:t>
      </w:r>
    </w:p>
    <w:p w14:paraId="5110A1C5">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3.预算执行</w:t>
      </w:r>
    </w:p>
    <w:p w14:paraId="7B063CA2">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（1）预算执行率。2023年全年预算数4,658.49万元，执行数4,658.49万元，预算执行率100%。</w:t>
      </w:r>
    </w:p>
    <w:p w14:paraId="1A25714A">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（2）预算调整率。2023年预算调整数为182.97万元，年初预算数为4,475.52万元，预算调整率为4.09%，预算调整控制较好。</w:t>
      </w:r>
    </w:p>
    <w:p w14:paraId="781B523D">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（3）公用经费控制率。公用经费预算安排数75.21万元，实际支出159.25万元，公用经费控制率211.74%，主要是非税执收成本支出商品服务支出62.21万元，公用经费控制不到位。</w:t>
      </w:r>
    </w:p>
    <w:p w14:paraId="4A5A8021">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（4）“三公经费”控制率。“三公经费”预算安排数10.3万元，实际支出7.5万元，“三公经费”控制率72.82%，控制在预算范围内。</w:t>
      </w:r>
    </w:p>
    <w:p w14:paraId="563EC5BA">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（5）政府采购执行率</w:t>
      </w:r>
    </w:p>
    <w:p w14:paraId="4F8EC621">
      <w:pPr>
        <w:keepNext w:val="0"/>
        <w:keepLines w:val="0"/>
        <w:pageBreakBefore w:val="0"/>
        <w:kinsoku/>
        <w:wordWrap/>
        <w:overflowPunct/>
        <w:topLinePunct w:val="0"/>
        <w:bidi w:val="0"/>
        <w:spacing w:line="580" w:lineRule="exact"/>
        <w:ind w:left="0" w:right="0" w:firstLine="632"/>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政府采购预算2,546.79万元，实际政府采购金额1,358.48万元，政府采购执行率53.34%，政府采购执行控制未达到预期目标。</w:t>
      </w:r>
    </w:p>
    <w:p w14:paraId="6C6D63F1">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4.预算管理</w:t>
      </w:r>
    </w:p>
    <w:p w14:paraId="0E123D36">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（1）管理制度健全性。我单位严格按照财务管理的相关要求，制定了《预决算管理办法》，并严格按管理办法执行。</w:t>
      </w:r>
    </w:p>
    <w:p w14:paraId="2B64BEA8">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（2）资金使用合规性。资金的拨付有完整的审批程序和手续，预算支出的重大开支经集体决策；不存在截留、挤占、挪用、虚列支出等情况。</w:t>
      </w:r>
    </w:p>
    <w:p w14:paraId="2F29A072">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（3）预决算信息公开性。按财政要求按时公开预算、决算、绩效等信息。</w:t>
      </w:r>
    </w:p>
    <w:p w14:paraId="733F37B2">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（4）基础信息完善性。填报基础数据信息和会计信息资料真实、完整、准确，会计信息与账务保持一致。</w:t>
      </w:r>
    </w:p>
    <w:p w14:paraId="464CB0DD">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5.资产管理</w:t>
      </w:r>
    </w:p>
    <w:p w14:paraId="7F1A4CCB">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（1）管理制度健全性。根据《行政事业单位内控控制规范（试行）》《行政单位国有资产管理暂行办法》(财政部令第35号）等规定，我单位制定了《固定资产管理制度》并严格按照制度执行。</w:t>
      </w:r>
    </w:p>
    <w:p w14:paraId="212E963B">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（2）资产管理安全性。资产保存完整、使用合规、配置合理、处置规范、收入及时足额上缴。6.职责履行</w:t>
      </w:r>
    </w:p>
    <w:p w14:paraId="0634A5FB">
      <w:pPr>
        <w:pStyle w:val="9"/>
        <w:keepNext w:val="0"/>
        <w:keepLines w:val="0"/>
        <w:pageBreakBefore w:val="0"/>
        <w:kinsoku/>
        <w:wordWrap/>
        <w:overflowPunct/>
        <w:topLinePunct w:val="0"/>
        <w:bidi w:val="0"/>
        <w:spacing w:line="580" w:lineRule="exact"/>
        <w:textAlignment w:val="auto"/>
        <w:rPr>
          <w:rFonts w:hint="eastAsia"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（1）数量指标</w:t>
      </w:r>
    </w:p>
    <w:p w14:paraId="6A1D92E3">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城区绿地养护工作完成率100%。完成目标。一</w:t>
      </w:r>
      <w:r>
        <w:rPr>
          <w:rFonts w:hint="eastAsia" w:ascii="仿宋" w:hAnsi="仿宋" w:eastAsia="仿宋"/>
          <w:spacing w:val="-2"/>
          <w:sz w:val="32"/>
          <w:szCs w:val="32"/>
          <w:lang w:val="en-US" w:eastAsia="zh-CN"/>
        </w:rPr>
        <w:t>是完成园林式居住区（单位）创建任务，共创建市园林式居住区（单位）53个,向省住建厅上报了6个省级园林式居住区（单位）；二是完成了茅家山洲岛口袋公园施工图设计和预算，但因财政还未下拨资金，未能继续推动项目建设；已完成湖天南路青山溪小微绿地、太平溪丽江家园段小微绿地、正清路与锦溪南路交叉口小微绿地、东环路铁路桥下小微绿地四个小微绿地工程建设；三是铺设粟裕公园主游路7040㎡、游步道2760㎡、栽植栾树530株，完成了南停车场（含挡土墙、植草砖、草种）、排水、污水等项目，安装了109个路灯，完成了两座公厕等配套设施建设，投资额约1400万元，完成粟裕公园（原湖天双拥公园）二期建设任务，并在2023年10月1日开园，面向市民免费开放；四是对照《怀化市2023年创建国家园林城市工作要求》文件要求，深入开展国家园林城市创建工作，完成了大量基础性工作，撰写了《条件基本成熟，国园有望成功——怀化市创建国家园林城市工作汇报》并专题向市领导汇报；完成了市树桂花、市花山茶的审定相关工作；配合规划等部门完成《城市绿地系统和山体水体保护专项规划规划》（2021-2035）初稿。联合市、区林业等部门完成城区城镇开发边界线内251株古树名木挂牌保护，按“一树一档”要求，建立并动态更新古树名木图文信息档案，同时导入湖南古树名木信息管理系统以及国土空间规划“一张图”；积极组织城市绿化周活动和义务植树活动；五是制定了《顺天大道道路绿化精细化养护工作试点方案》，目前已基本完成精细化养护示范路任务；六是局领导和我中心专业技术人员对沅陵县2条绿道建设进行技术指导，分别为龙兴大道绿道和凤鸣大道绿道，累计完成建设3.0km；制定了已完成2023怀化城区绿道建设项目可行性研究报告，项目实施路线为岩门公园-顺天路-潭口溪-湖天北路-紫东路-红星北路（迎丰公园段）-迎丰公园二期（植物博物园），资金到位后立即组织实施；七是完成了上级交办的其他工作，如首届湖南（怀化）经贸博览会突击任务，省卫、省文复核验收检查，国家卫生城市测评检查，全国文明城市测评检查，双拥模范城创建考评验收检查，民族团结进步示范考核检查等工作任务。</w:t>
      </w:r>
    </w:p>
    <w:p w14:paraId="03D784DF">
      <w:pPr>
        <w:keepNext w:val="0"/>
        <w:keepLines w:val="0"/>
        <w:pageBreakBefore w:val="0"/>
        <w:numPr>
          <w:ilvl w:val="0"/>
          <w:numId w:val="0"/>
        </w:numPr>
        <w:kinsoku/>
        <w:wordWrap/>
        <w:overflowPunct/>
        <w:topLinePunct w:val="0"/>
        <w:autoSpaceDE/>
        <w:autoSpaceDN/>
        <w:bidi w:val="0"/>
        <w:adjustRightInd/>
        <w:spacing w:line="580" w:lineRule="exact"/>
        <w:ind w:left="0" w:leftChars="0" w:firstLine="632" w:firstLineChars="200"/>
        <w:textAlignment w:val="auto"/>
        <w:rPr>
          <w:rFonts w:hint="default"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（2）</w:t>
      </w:r>
      <w:r>
        <w:rPr>
          <w:rFonts w:hint="eastAsia" w:ascii="仿宋" w:hAnsi="仿宋" w:eastAsia="仿宋"/>
          <w:spacing w:val="-2"/>
          <w:sz w:val="32"/>
          <w:szCs w:val="32"/>
          <w:lang w:val="en-US" w:eastAsia="zh-CN"/>
        </w:rPr>
        <w:t xml:space="preserve">质量指标 </w:t>
      </w:r>
    </w:p>
    <w:p w14:paraId="0C730910">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绿地及园林基础设施完好率98%，保障正常运转。完成目标。</w:t>
      </w:r>
    </w:p>
    <w:p w14:paraId="20A0D34E">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（3）时效指标</w:t>
      </w:r>
    </w:p>
    <w:p w14:paraId="621A02C5">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整体工作在2023年12月31日之前，完成年初目标。</w:t>
      </w:r>
    </w:p>
    <w:p w14:paraId="4DD56297">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（4）成本指标</w:t>
      </w:r>
    </w:p>
    <w:p w14:paraId="1380BE08">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spacing w:val="-2"/>
          <w:sz w:val="32"/>
          <w:szCs w:val="32"/>
          <w:lang w:val="en-US" w:eastAsia="zh-CN"/>
        </w:rPr>
        <w:t>2023年整体支出年初预算数4,475.52万元，实际执行数</w:t>
      </w:r>
      <w:r>
        <w:rPr>
          <w:rFonts w:hint="default" w:ascii="仿宋" w:hAnsi="仿宋" w:eastAsia="仿宋"/>
          <w:spacing w:val="-2"/>
          <w:sz w:val="32"/>
          <w:szCs w:val="32"/>
          <w:lang w:val="en-US" w:eastAsia="zh-CN"/>
        </w:rPr>
        <w:t>4</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658</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49</w:t>
      </w:r>
      <w:r>
        <w:rPr>
          <w:rFonts w:hint="eastAsia" w:ascii="仿宋" w:hAnsi="仿宋" w:eastAsia="仿宋"/>
          <w:spacing w:val="-2"/>
          <w:sz w:val="32"/>
          <w:szCs w:val="32"/>
          <w:lang w:val="en-US" w:eastAsia="zh-CN"/>
        </w:rPr>
        <w:t>万元，成本节约率-4.09%。未完成目标，主要是年中根据上级任务，追加项目经费</w:t>
      </w:r>
      <w:r>
        <w:rPr>
          <w:rFonts w:hint="eastAsia" w:ascii="仿宋" w:hAnsi="仿宋" w:eastAsia="仿宋" w:cstheme="minorBidi"/>
          <w:spacing w:val="-2"/>
          <w:kern w:val="2"/>
          <w:sz w:val="32"/>
          <w:szCs w:val="32"/>
          <w:lang w:val="en-US" w:eastAsia="zh-CN" w:bidi="ar-SA"/>
        </w:rPr>
        <w:t>。</w:t>
      </w:r>
    </w:p>
    <w:p w14:paraId="6DB9543B">
      <w:pPr>
        <w:keepNext w:val="0"/>
        <w:keepLines w:val="0"/>
        <w:pageBreakBefore w:val="0"/>
        <w:kinsoku/>
        <w:wordWrap/>
        <w:overflowPunct/>
        <w:topLinePunct w:val="0"/>
        <w:autoSpaceDE/>
        <w:autoSpaceDN/>
        <w:bidi w:val="0"/>
        <w:adjustRightInd/>
        <w:spacing w:line="58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7.履职效益情况</w:t>
      </w:r>
    </w:p>
    <w:p w14:paraId="31C91590">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（1）经济效益</w:t>
      </w:r>
    </w:p>
    <w:p w14:paraId="69E3736A">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促进园林城市建设，有利于推动市区经济稳定增长，完成目标。</w:t>
      </w:r>
    </w:p>
    <w:p w14:paraId="5B4C2A17">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（2）社会效益</w:t>
      </w:r>
    </w:p>
    <w:p w14:paraId="4148D9EF">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为城市主次干道、风光带、城区广场游园、背街小巷绿地绿化增加绿化景观效果，并给周边居民提供一个生态休闲的空间，提升城市品位，进一步提高人民群众的满意度和幸福感。 完成目标。</w:t>
      </w:r>
    </w:p>
    <w:p w14:paraId="54983CA5">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（3）生态效益</w:t>
      </w:r>
    </w:p>
    <w:p w14:paraId="7B4F2A5B">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增加了绿植覆盖率、改善了城市生态环境。完成目标。</w:t>
      </w:r>
    </w:p>
    <w:p w14:paraId="67F40987">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（4）可持续影响效益</w:t>
      </w:r>
    </w:p>
    <w:p w14:paraId="1D3E7CC9">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促进城市社会和生态可持续发展，完成年初目标。</w:t>
      </w:r>
    </w:p>
    <w:p w14:paraId="1381109B">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（5）满意度</w:t>
      </w:r>
    </w:p>
    <w:p w14:paraId="14E9B4AA">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kern w:val="0"/>
          <w:sz w:val="32"/>
          <w:szCs w:val="32"/>
          <w:lang w:val="en-US" w:eastAsia="zh-CN" w:bidi="ar"/>
        </w:rPr>
        <w:t>人民群众满意度94.886%，未完成目标。</w:t>
      </w:r>
    </w:p>
    <w:p w14:paraId="12457D1F">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17EBA41">
      <w:pPr>
        <w:keepNext w:val="0"/>
        <w:keepLines w:val="0"/>
        <w:pageBreakBefore w:val="0"/>
        <w:widowControl/>
        <w:kinsoku/>
        <w:wordWrap/>
        <w:overflowPunct/>
        <w:topLinePunct w:val="0"/>
        <w:bidi w:val="0"/>
        <w:spacing w:line="580" w:lineRule="exact"/>
        <w:ind w:firstLine="632" w:firstLineChars="200"/>
        <w:jc w:val="left"/>
        <w:textAlignment w:val="auto"/>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1.因预算资金安排和使用具有不可预见性的，预算调整率、公用经费控制率的实际情况与预算存在一定的差距。</w:t>
      </w:r>
    </w:p>
    <w:p w14:paraId="78A4506C">
      <w:pPr>
        <w:keepNext w:val="0"/>
        <w:keepLines w:val="0"/>
        <w:pageBreakBefore w:val="0"/>
        <w:widowControl w:val="0"/>
        <w:kinsoku/>
        <w:wordWrap/>
        <w:overflowPunct/>
        <w:topLinePunct w:val="0"/>
        <w:autoSpaceDE/>
        <w:autoSpaceDN/>
        <w:bidi w:val="0"/>
        <w:adjustRightInd/>
        <w:snapToGrid w:val="0"/>
        <w:spacing w:line="580" w:lineRule="exact"/>
        <w:ind w:left="0" w:leftChars="0" w:firstLine="632" w:firstLineChars="200"/>
        <w:textAlignment w:val="auto"/>
        <w:outlineLvl w:val="1"/>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w:t>
      </w:r>
      <w:r>
        <w:rPr>
          <w:rFonts w:hint="eastAsia" w:ascii="仿宋" w:hAnsi="仿宋" w:eastAsia="仿宋" w:cstheme="minorBidi"/>
          <w:spacing w:val="-2"/>
          <w:kern w:val="0"/>
          <w:sz w:val="32"/>
          <w:szCs w:val="32"/>
          <w:lang w:val="en-US" w:eastAsia="zh-CN" w:bidi="ar"/>
        </w:rPr>
        <w:t>存在部分整体支出绩效指标不全面，有待依据部门职责和年度工作重点设定更细化、可衡量的绩效指标。</w:t>
      </w:r>
    </w:p>
    <w:p w14:paraId="3D991CCB">
      <w:pPr>
        <w:pStyle w:val="16"/>
        <w:jc w:val="both"/>
        <w:rPr>
          <w:sz w:val="72"/>
          <w:szCs w:val="72"/>
        </w:rPr>
      </w:pPr>
    </w:p>
    <w:p w14:paraId="17502A2E">
      <w:pPr>
        <w:pStyle w:val="16"/>
        <w:jc w:val="center"/>
        <w:rPr>
          <w:sz w:val="72"/>
          <w:szCs w:val="72"/>
        </w:rPr>
      </w:pPr>
    </w:p>
    <w:p w14:paraId="0EA8CAB5">
      <w:pPr>
        <w:pStyle w:val="16"/>
        <w:jc w:val="center"/>
        <w:rPr>
          <w:sz w:val="72"/>
          <w:szCs w:val="72"/>
        </w:rPr>
      </w:pPr>
    </w:p>
    <w:p w14:paraId="6E79BCBB">
      <w:pPr>
        <w:pStyle w:val="16"/>
        <w:jc w:val="both"/>
        <w:rPr>
          <w:rFonts w:hint="eastAsia" w:ascii="方正小标宋_GBK" w:hAnsi="方正小标宋_GBK" w:eastAsia="方正小标宋_GBK" w:cs="方正小标宋_GBK"/>
          <w:sz w:val="72"/>
          <w:szCs w:val="72"/>
        </w:rPr>
      </w:pPr>
    </w:p>
    <w:p w14:paraId="52194784">
      <w:pPr>
        <w:pStyle w:val="16"/>
        <w:jc w:val="center"/>
        <w:rPr>
          <w:rFonts w:hint="eastAsia" w:ascii="方正小标宋_GBK" w:hAnsi="方正小标宋_GBK" w:eastAsia="方正小标宋_GBK" w:cs="方正小标宋_GBK"/>
          <w:sz w:val="72"/>
          <w:szCs w:val="72"/>
        </w:rPr>
      </w:pPr>
    </w:p>
    <w:p w14:paraId="69226CA7">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18822C7">
      <w:pPr>
        <w:jc w:val="center"/>
        <w:rPr>
          <w:rFonts w:hint="eastAsia" w:ascii="方正小标宋_GBK" w:hAnsi="方正小标宋_GBK" w:eastAsia="方正小标宋_GBK" w:cs="方正小标宋_GBK"/>
          <w:color w:val="000000"/>
          <w:kern w:val="0"/>
          <w:sz w:val="70"/>
          <w:szCs w:val="70"/>
        </w:rPr>
      </w:pPr>
    </w:p>
    <w:p w14:paraId="4B621AD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241CAF8">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81BDF70">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一、财政拨款收入：指财政当年拨付的资金。 </w:t>
      </w:r>
    </w:p>
    <w:p w14:paraId="31F7AA55">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2F0E69F9">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三、经营收入：指事业单位在专业业务活动及其辅助活动之外开展非独立核算经营活动取得的收入。如：中国财政杂志社广告收入等。 </w:t>
      </w:r>
    </w:p>
    <w:p w14:paraId="1C75CAED">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四、其他收入：指除上述“财政拨款收入”、“事业收入”、“经营收入”等以外的收入。主要是按规定动用的售房收入、存款利息收入等。 </w:t>
      </w:r>
    </w:p>
    <w:p w14:paraId="31A28AE3">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2C50D8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六、年初结转和结余：指以前年度尚未完成、结转到本年按有关规定继续使用的资金。 </w:t>
      </w:r>
    </w:p>
    <w:p w14:paraId="1035E55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七、结余分配：指事业单位按规定提取的职工福利基金、事业基金和缴纳的所得税，以及建设单位按规定应交回的基本建设竣工项目结余资金。</w:t>
      </w:r>
    </w:p>
    <w:p w14:paraId="555A4BA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八、年末结转和结余：指本年度或以前年度预算安排、因客观条件发生变化无法按原计划实施，需要延迟到以后年度按有关规定继续使用的资金。 </w:t>
      </w:r>
    </w:p>
    <w:p w14:paraId="6D71DD0E">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九、基本支出：指为保障机构正常运转、完成日常工作任务而发生的人员支出和公用支出。 </w:t>
      </w:r>
    </w:p>
    <w:p w14:paraId="79D9BAB2">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十、项目支出：指在基本支出之外为完成特定行政任务和事业发展目标所发生的支出。 </w:t>
      </w:r>
    </w:p>
    <w:p w14:paraId="255F3D08">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十一、经营支出：指事业单位在专业业务活动及其辅助活动之外开展非独立核算经营活动发生的支出。 </w:t>
      </w:r>
    </w:p>
    <w:p w14:paraId="061CDE4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5A4417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eastAsia="仿宋"/>
          <w:sz w:val="72"/>
          <w:szCs w:val="72"/>
          <w:lang w:eastAsia="zh-CN"/>
        </w:rPr>
      </w:pPr>
      <w:r>
        <w:rPr>
          <w:rFonts w:hint="eastAsia" w:ascii="仿宋" w:hAnsi="仿宋" w:eastAsia="仿宋" w:cs="仿宋"/>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color w:val="000000"/>
          <w:kern w:val="0"/>
          <w:sz w:val="32"/>
          <w:szCs w:val="32"/>
          <w:lang w:val="en-US" w:eastAsia="zh-CN"/>
        </w:rPr>
        <w:t>。</w:t>
      </w:r>
    </w:p>
    <w:p w14:paraId="7A97A866">
      <w:pPr>
        <w:pStyle w:val="16"/>
        <w:jc w:val="center"/>
        <w:rPr>
          <w:sz w:val="72"/>
          <w:szCs w:val="72"/>
        </w:rPr>
      </w:pPr>
    </w:p>
    <w:p w14:paraId="343903E2">
      <w:pPr>
        <w:pStyle w:val="16"/>
        <w:jc w:val="center"/>
        <w:rPr>
          <w:sz w:val="72"/>
          <w:szCs w:val="72"/>
        </w:rPr>
      </w:pPr>
    </w:p>
    <w:p w14:paraId="2739910F">
      <w:pPr>
        <w:pStyle w:val="16"/>
        <w:jc w:val="center"/>
        <w:rPr>
          <w:sz w:val="72"/>
          <w:szCs w:val="72"/>
        </w:rPr>
      </w:pPr>
    </w:p>
    <w:p w14:paraId="5D34106D">
      <w:pPr>
        <w:pStyle w:val="16"/>
        <w:jc w:val="center"/>
        <w:rPr>
          <w:sz w:val="72"/>
          <w:szCs w:val="72"/>
        </w:rPr>
      </w:pPr>
    </w:p>
    <w:p w14:paraId="1AB28E57">
      <w:pPr>
        <w:pStyle w:val="16"/>
        <w:jc w:val="center"/>
        <w:rPr>
          <w:sz w:val="72"/>
          <w:szCs w:val="72"/>
        </w:rPr>
      </w:pPr>
    </w:p>
    <w:p w14:paraId="71701D14">
      <w:pPr>
        <w:pStyle w:val="16"/>
        <w:jc w:val="center"/>
        <w:rPr>
          <w:sz w:val="72"/>
          <w:szCs w:val="72"/>
        </w:rPr>
      </w:pPr>
    </w:p>
    <w:p w14:paraId="20B91379">
      <w:pPr>
        <w:pStyle w:val="16"/>
        <w:jc w:val="center"/>
        <w:rPr>
          <w:sz w:val="72"/>
          <w:szCs w:val="72"/>
        </w:rPr>
      </w:pPr>
    </w:p>
    <w:p w14:paraId="2D782D17">
      <w:pPr>
        <w:pStyle w:val="16"/>
        <w:jc w:val="center"/>
        <w:rPr>
          <w:sz w:val="72"/>
          <w:szCs w:val="72"/>
        </w:rPr>
      </w:pPr>
    </w:p>
    <w:p w14:paraId="4EF58214">
      <w:pPr>
        <w:rPr>
          <w:sz w:val="72"/>
          <w:szCs w:val="72"/>
        </w:rPr>
      </w:pPr>
      <w:r>
        <w:rPr>
          <w:sz w:val="72"/>
          <w:szCs w:val="72"/>
        </w:rPr>
        <w:br w:type="page"/>
      </w:r>
    </w:p>
    <w:p w14:paraId="5E2CCAFB">
      <w:pPr>
        <w:pStyle w:val="16"/>
        <w:jc w:val="center"/>
        <w:rPr>
          <w:rFonts w:hint="eastAsia" w:ascii="方正小标宋_GBK" w:hAnsi="方正小标宋_GBK" w:eastAsia="方正小标宋_GBK" w:cs="方正小标宋_GBK"/>
          <w:sz w:val="72"/>
          <w:szCs w:val="72"/>
        </w:rPr>
      </w:pPr>
    </w:p>
    <w:p w14:paraId="29B3F1FC">
      <w:pPr>
        <w:pStyle w:val="16"/>
        <w:jc w:val="center"/>
        <w:rPr>
          <w:rFonts w:hint="eastAsia" w:ascii="方正小标宋_GBK" w:hAnsi="方正小标宋_GBK" w:eastAsia="方正小标宋_GBK" w:cs="方正小标宋_GBK"/>
          <w:sz w:val="72"/>
          <w:szCs w:val="72"/>
        </w:rPr>
      </w:pPr>
    </w:p>
    <w:p w14:paraId="44152874">
      <w:pPr>
        <w:pStyle w:val="16"/>
        <w:jc w:val="center"/>
        <w:rPr>
          <w:rFonts w:hint="eastAsia" w:ascii="方正小标宋_GBK" w:hAnsi="方正小标宋_GBK" w:eastAsia="方正小标宋_GBK" w:cs="方正小标宋_GBK"/>
          <w:sz w:val="72"/>
          <w:szCs w:val="72"/>
        </w:rPr>
      </w:pPr>
    </w:p>
    <w:p w14:paraId="699E9D0B">
      <w:pPr>
        <w:pStyle w:val="16"/>
        <w:jc w:val="center"/>
        <w:rPr>
          <w:rFonts w:hint="eastAsia" w:ascii="方正小标宋_GBK" w:hAnsi="方正小标宋_GBK" w:eastAsia="方正小标宋_GBK" w:cs="方正小标宋_GBK"/>
          <w:sz w:val="72"/>
          <w:szCs w:val="72"/>
        </w:rPr>
      </w:pPr>
    </w:p>
    <w:p w14:paraId="2E9EEF63">
      <w:pPr>
        <w:pStyle w:val="16"/>
        <w:jc w:val="center"/>
        <w:rPr>
          <w:rFonts w:hint="eastAsia" w:ascii="方正小标宋_GBK" w:hAnsi="方正小标宋_GBK" w:eastAsia="方正小标宋_GBK" w:cs="方正小标宋_GBK"/>
          <w:sz w:val="72"/>
          <w:szCs w:val="72"/>
        </w:rPr>
      </w:pPr>
    </w:p>
    <w:p w14:paraId="454285F7">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CDD4673">
      <w:pPr>
        <w:pStyle w:val="16"/>
        <w:jc w:val="center"/>
        <w:rPr>
          <w:rFonts w:hint="eastAsia" w:ascii="方正小标宋_GBK" w:hAnsi="方正小标宋_GBK" w:eastAsia="方正小标宋_GBK" w:cs="方正小标宋_GBK"/>
          <w:sz w:val="70"/>
          <w:szCs w:val="70"/>
        </w:rPr>
      </w:pPr>
    </w:p>
    <w:p w14:paraId="09DAF718">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4385C1D">
      <w:pPr>
        <w:rPr>
          <w:sz w:val="72"/>
          <w:szCs w:val="72"/>
        </w:rPr>
      </w:pPr>
      <w:r>
        <w:rPr>
          <w:sz w:val="72"/>
          <w:szCs w:val="72"/>
        </w:rPr>
        <w:br w:type="page"/>
      </w:r>
    </w:p>
    <w:p w14:paraId="52957E5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eastAsia="zh-CN"/>
        </w:rPr>
        <w:t>一、</w:t>
      </w:r>
      <w:r>
        <w:rPr>
          <w:rFonts w:hint="eastAsia" w:ascii="楷体" w:hAnsi="楷体" w:eastAsia="楷体" w:cs="楷体"/>
          <w:b/>
          <w:bCs/>
          <w:sz w:val="32"/>
          <w:szCs w:val="32"/>
          <w:lang w:val="en-US" w:eastAsia="zh-CN"/>
        </w:rPr>
        <w:t>2023年度部门(单位)整体支出绩效自评报告。</w:t>
      </w:r>
    </w:p>
    <w:p w14:paraId="594E7B37">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二、怀化市园林绿化服务中心2023年决算公开表</w:t>
      </w:r>
    </w:p>
    <w:p w14:paraId="1321110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7AD5871D">
      <w:pPr>
        <w:pStyle w:val="16"/>
        <w:jc w:val="center"/>
        <w:rPr>
          <w:sz w:val="72"/>
          <w:szCs w:val="72"/>
        </w:rPr>
      </w:pPr>
    </w:p>
    <w:p w14:paraId="3C7ADD3A">
      <w:pPr>
        <w:pStyle w:val="16"/>
        <w:jc w:val="center"/>
        <w:rPr>
          <w:sz w:val="72"/>
          <w:szCs w:val="72"/>
        </w:rPr>
      </w:pPr>
    </w:p>
    <w:p w14:paraId="7C23E9D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19D4E5"/>
    <w:multiLevelType w:val="singleLevel"/>
    <w:tmpl w:val="5819D4E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jNjk1MTBkYzEwYTA5NjFjYTBlYWI5ZDI5MWVjYm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F33DBD"/>
    <w:rsid w:val="144E45B4"/>
    <w:rsid w:val="1D1D1C78"/>
    <w:rsid w:val="1D97DEFF"/>
    <w:rsid w:val="1DFF72E5"/>
    <w:rsid w:val="1EFC6F07"/>
    <w:rsid w:val="24BD1B29"/>
    <w:rsid w:val="294F64D3"/>
    <w:rsid w:val="2FDF85B8"/>
    <w:rsid w:val="2FFFEE04"/>
    <w:rsid w:val="34DF85B0"/>
    <w:rsid w:val="3B8F36BC"/>
    <w:rsid w:val="43354F97"/>
    <w:rsid w:val="491FF225"/>
    <w:rsid w:val="4FFD214C"/>
    <w:rsid w:val="55A857AA"/>
    <w:rsid w:val="5777D4F5"/>
    <w:rsid w:val="59DD8326"/>
    <w:rsid w:val="5DEF592A"/>
    <w:rsid w:val="5FC6BB1E"/>
    <w:rsid w:val="5FF720F1"/>
    <w:rsid w:val="60434A4D"/>
    <w:rsid w:val="67FF5C0B"/>
    <w:rsid w:val="6EFC0924"/>
    <w:rsid w:val="6F127BC6"/>
    <w:rsid w:val="6F4A519B"/>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next w:val="10"/>
    <w:unhideWhenUsed/>
    <w:qFormat/>
    <w:uiPriority w:val="99"/>
    <w:pPr>
      <w:ind w:firstLine="420" w:firstLineChars="200"/>
    </w:pPr>
  </w:style>
  <w:style w:type="paragraph" w:styleId="10">
    <w:name w:val="index 7"/>
    <w:basedOn w:val="1"/>
    <w:next w:val="1"/>
    <w:qFormat/>
    <w:uiPriority w:val="0"/>
    <w:pPr>
      <w:ind w:left="2520"/>
    </w:pPr>
    <w:rPr>
      <w:rFonts w:ascii="Calibri" w:hAnsi="Calibri" w:eastAsia="宋体" w:cs="Times New Roman"/>
      <w:szCs w:val="24"/>
    </w:rPr>
  </w:style>
  <w:style w:type="paragraph" w:styleId="11">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5"/>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正文首行缩进 21"/>
    <w:basedOn w:val="23"/>
    <w:qFormat/>
    <w:uiPriority w:val="0"/>
    <w:pPr>
      <w:ind w:firstLine="420" w:firstLineChars="200"/>
    </w:pPr>
  </w:style>
  <w:style w:type="paragraph" w:customStyle="1" w:styleId="23">
    <w:name w:val="正文文本缩进1"/>
    <w:basedOn w:val="1"/>
    <w:qFormat/>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8334</Words>
  <Characters>9082</Characters>
  <Lines>63</Lines>
  <Paragraphs>18</Paragraphs>
  <TotalTime>7</TotalTime>
  <ScaleCrop>false</ScaleCrop>
  <LinksUpToDate>false</LinksUpToDate>
  <CharactersWithSpaces>9117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靁靁</cp:lastModifiedBy>
  <cp:lastPrinted>2024-08-08T10:20:00Z</cp:lastPrinted>
  <dcterms:modified xsi:type="dcterms:W3CDTF">2024-09-24T08:39:40Z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86352BF142A4467B9A5B588245F2F546_12</vt:lpwstr>
  </property>
</Properties>
</file>