
<file path=[Content_Types].xml><?xml version="1.0" encoding="utf-8"?>
<Types xmlns="http://schemas.openxmlformats.org/package/2006/content-types">
  <Default Extension="xml" ContentType="application/xm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88F64">
      <w:pPr>
        <w:pStyle w:val="13"/>
        <w:jc w:val="center"/>
        <w:rPr>
          <w:sz w:val="56"/>
          <w:szCs w:val="56"/>
        </w:rPr>
      </w:pPr>
      <w:bookmarkStart w:id="0" w:name="_Hlk177202923"/>
      <w:bookmarkEnd w:id="0"/>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4F8761">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B4F8761">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2C0B04F8">
      <w:pPr>
        <w:pStyle w:val="13"/>
        <w:jc w:val="center"/>
        <w:rPr>
          <w:sz w:val="56"/>
          <w:szCs w:val="56"/>
        </w:rPr>
      </w:pPr>
    </w:p>
    <w:p w14:paraId="208AD743">
      <w:pPr>
        <w:pStyle w:val="13"/>
        <w:jc w:val="center"/>
        <w:rPr>
          <w:sz w:val="56"/>
          <w:szCs w:val="56"/>
        </w:rPr>
      </w:pPr>
    </w:p>
    <w:p w14:paraId="46C677AB">
      <w:pPr>
        <w:pStyle w:val="13"/>
        <w:jc w:val="center"/>
        <w:rPr>
          <w:sz w:val="84"/>
          <w:szCs w:val="84"/>
        </w:rPr>
      </w:pPr>
    </w:p>
    <w:p w14:paraId="2889508F">
      <w:pPr>
        <w:pStyle w:val="13"/>
        <w:jc w:val="center"/>
        <w:rPr>
          <w:sz w:val="84"/>
          <w:szCs w:val="84"/>
        </w:rPr>
      </w:pPr>
    </w:p>
    <w:p w14:paraId="1B77268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2EA2D696">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怀化市城乡建设档案馆</w:t>
      </w:r>
    </w:p>
    <w:p w14:paraId="3A1F8D2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C8AF811">
      <w:pPr>
        <w:pStyle w:val="13"/>
        <w:jc w:val="center"/>
        <w:rPr>
          <w:rFonts w:ascii="方正小标宋_GBK" w:hAnsi="方正小标宋_GBK" w:eastAsia="方正小标宋_GBK" w:cs="方正小标宋_GBK"/>
          <w:sz w:val="56"/>
          <w:szCs w:val="56"/>
        </w:rPr>
      </w:pPr>
    </w:p>
    <w:p w14:paraId="48F43A77">
      <w:pPr>
        <w:pStyle w:val="13"/>
        <w:jc w:val="center"/>
        <w:rPr>
          <w:sz w:val="56"/>
          <w:szCs w:val="56"/>
        </w:rPr>
      </w:pPr>
    </w:p>
    <w:p w14:paraId="61E3C413">
      <w:pPr>
        <w:pStyle w:val="13"/>
        <w:jc w:val="center"/>
        <w:rPr>
          <w:sz w:val="56"/>
          <w:szCs w:val="56"/>
        </w:rPr>
      </w:pPr>
    </w:p>
    <w:p w14:paraId="742ABFB4">
      <w:pPr>
        <w:pStyle w:val="13"/>
        <w:jc w:val="center"/>
        <w:rPr>
          <w:sz w:val="56"/>
          <w:szCs w:val="56"/>
        </w:rPr>
      </w:pPr>
    </w:p>
    <w:p w14:paraId="38DAC28E">
      <w:pPr>
        <w:pStyle w:val="13"/>
        <w:jc w:val="center"/>
        <w:rPr>
          <w:sz w:val="32"/>
          <w:szCs w:val="32"/>
        </w:rPr>
      </w:pPr>
    </w:p>
    <w:p w14:paraId="53F96B6A">
      <w:pPr>
        <w:pStyle w:val="13"/>
        <w:jc w:val="center"/>
        <w:rPr>
          <w:sz w:val="32"/>
          <w:szCs w:val="32"/>
        </w:rPr>
      </w:pPr>
    </w:p>
    <w:p w14:paraId="2D234A22">
      <w:pPr>
        <w:pStyle w:val="13"/>
        <w:jc w:val="center"/>
        <w:rPr>
          <w:sz w:val="32"/>
          <w:szCs w:val="32"/>
        </w:rPr>
      </w:pPr>
    </w:p>
    <w:p w14:paraId="043EC33A">
      <w:pPr>
        <w:pStyle w:val="13"/>
        <w:jc w:val="center"/>
        <w:rPr>
          <w:sz w:val="32"/>
          <w:szCs w:val="32"/>
        </w:rPr>
      </w:pPr>
    </w:p>
    <w:p w14:paraId="7D30D938">
      <w:pPr>
        <w:pStyle w:val="13"/>
        <w:jc w:val="center"/>
        <w:rPr>
          <w:sz w:val="32"/>
          <w:szCs w:val="32"/>
        </w:rPr>
      </w:pPr>
    </w:p>
    <w:p w14:paraId="234C9FAD">
      <w:pPr>
        <w:pStyle w:val="13"/>
        <w:spacing w:line="540" w:lineRule="exact"/>
        <w:jc w:val="center"/>
        <w:rPr>
          <w:sz w:val="56"/>
          <w:szCs w:val="56"/>
        </w:rPr>
      </w:pPr>
    </w:p>
    <w:p w14:paraId="48A721F8">
      <w:pPr>
        <w:pStyle w:val="13"/>
        <w:spacing w:line="500" w:lineRule="exact"/>
        <w:jc w:val="both"/>
        <w:rPr>
          <w:b/>
          <w:sz w:val="36"/>
          <w:szCs w:val="28"/>
        </w:rPr>
      </w:pPr>
    </w:p>
    <w:p w14:paraId="39B14BFA">
      <w:pPr>
        <w:pStyle w:val="13"/>
        <w:spacing w:line="500" w:lineRule="exact"/>
        <w:jc w:val="center"/>
        <w:rPr>
          <w:b/>
          <w:sz w:val="36"/>
          <w:szCs w:val="28"/>
        </w:rPr>
      </w:pPr>
      <w:r>
        <w:rPr>
          <w:rFonts w:hint="eastAsia"/>
          <w:b/>
          <w:sz w:val="36"/>
          <w:szCs w:val="28"/>
        </w:rPr>
        <w:t>目录</w:t>
      </w:r>
    </w:p>
    <w:p w14:paraId="772E17BE">
      <w:pPr>
        <w:pStyle w:val="13"/>
        <w:spacing w:line="500" w:lineRule="exact"/>
        <w:rPr>
          <w:rFonts w:hAnsi="黑体"/>
          <w:bCs/>
          <w:sz w:val="28"/>
          <w:szCs w:val="28"/>
        </w:rPr>
      </w:pPr>
      <w:r>
        <w:rPr>
          <w:rFonts w:hint="eastAsia" w:hAnsi="黑体"/>
          <w:bCs/>
          <w:sz w:val="28"/>
          <w:szCs w:val="28"/>
        </w:rPr>
        <w:t>第一部分 怀化市城乡建设档案馆概况</w:t>
      </w:r>
    </w:p>
    <w:p w14:paraId="7F016D7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48918B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9FB21E9">
      <w:pPr>
        <w:pStyle w:val="13"/>
        <w:spacing w:line="500" w:lineRule="exact"/>
        <w:rPr>
          <w:rFonts w:hAnsi="黑体"/>
          <w:bCs/>
          <w:sz w:val="28"/>
          <w:szCs w:val="28"/>
        </w:rPr>
      </w:pPr>
      <w:r>
        <w:rPr>
          <w:rFonts w:hint="eastAsia" w:hAnsi="黑体"/>
          <w:bCs/>
          <w:sz w:val="28"/>
          <w:szCs w:val="28"/>
        </w:rPr>
        <w:t>第二部分 部门决算表</w:t>
      </w:r>
    </w:p>
    <w:p w14:paraId="2672F2B7">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583A40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3DB06A3">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4298D2D">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02F9BE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A33AD4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1AF9B5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21AC6D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023DFD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DF771A0">
      <w:pPr>
        <w:pStyle w:val="13"/>
        <w:spacing w:line="500" w:lineRule="exact"/>
        <w:rPr>
          <w:rFonts w:hAnsi="黑体"/>
          <w:bCs/>
          <w:sz w:val="28"/>
          <w:szCs w:val="28"/>
        </w:rPr>
      </w:pPr>
      <w:r>
        <w:rPr>
          <w:rFonts w:hint="eastAsia" w:hAnsi="黑体"/>
          <w:bCs/>
          <w:sz w:val="28"/>
          <w:szCs w:val="28"/>
        </w:rPr>
        <w:t>第三部分 部门决算情况说明</w:t>
      </w:r>
    </w:p>
    <w:p w14:paraId="2E8D5AA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8ED58AE">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4A1544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90E34D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AD47E8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033830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2F6B2F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0181503">
      <w:pPr>
        <w:pStyle w:val="13"/>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八、政府性基金预算收入支出决算情况</w:t>
      </w:r>
    </w:p>
    <w:p w14:paraId="77F96AFB">
      <w:pPr>
        <w:pStyle w:val="13"/>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九、国有资本经营预算收入支出决算情况</w:t>
      </w:r>
    </w:p>
    <w:p w14:paraId="61708D5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7D6037B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4755772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2CC53D5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3355F0B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3CC36648">
      <w:pPr>
        <w:pStyle w:val="13"/>
        <w:spacing w:line="500" w:lineRule="exact"/>
        <w:rPr>
          <w:rFonts w:hAnsi="黑体"/>
          <w:bCs/>
          <w:sz w:val="28"/>
          <w:szCs w:val="28"/>
        </w:rPr>
      </w:pPr>
      <w:r>
        <w:rPr>
          <w:rFonts w:hint="eastAsia" w:hAnsi="黑体"/>
          <w:bCs/>
          <w:sz w:val="28"/>
          <w:szCs w:val="28"/>
        </w:rPr>
        <w:t>第四部分 名词解释</w:t>
      </w:r>
    </w:p>
    <w:p w14:paraId="4831C51E">
      <w:pPr>
        <w:pStyle w:val="13"/>
        <w:spacing w:line="500" w:lineRule="exact"/>
        <w:rPr>
          <w:rFonts w:hAnsi="黑体"/>
          <w:bCs/>
          <w:sz w:val="28"/>
          <w:szCs w:val="28"/>
        </w:rPr>
      </w:pPr>
      <w:r>
        <w:rPr>
          <w:rFonts w:hint="eastAsia" w:hAnsi="黑体"/>
          <w:bCs/>
          <w:sz w:val="28"/>
          <w:szCs w:val="28"/>
        </w:rPr>
        <w:t>第五部分 附件</w:t>
      </w:r>
    </w:p>
    <w:p w14:paraId="509B7782">
      <w:pPr>
        <w:pStyle w:val="13"/>
        <w:spacing w:line="500" w:lineRule="exact"/>
        <w:rPr>
          <w:rFonts w:hAnsi="黑体"/>
          <w:bCs/>
          <w:sz w:val="28"/>
          <w:szCs w:val="28"/>
        </w:rPr>
      </w:pPr>
    </w:p>
    <w:p w14:paraId="3A470D57">
      <w:pPr>
        <w:jc w:val="center"/>
        <w:rPr>
          <w:sz w:val="72"/>
          <w:szCs w:val="72"/>
        </w:rPr>
      </w:pPr>
    </w:p>
    <w:p w14:paraId="5A9FB7BD">
      <w:pPr>
        <w:pStyle w:val="13"/>
        <w:jc w:val="center"/>
        <w:rPr>
          <w:rFonts w:hAnsi="黑体" w:cs="方正小标宋_GBK"/>
          <w:sz w:val="52"/>
          <w:szCs w:val="52"/>
        </w:rPr>
      </w:pPr>
    </w:p>
    <w:p w14:paraId="278BB9EB">
      <w:pPr>
        <w:pStyle w:val="13"/>
        <w:jc w:val="center"/>
        <w:rPr>
          <w:rFonts w:hAnsi="黑体" w:cs="方正小标宋_GBK"/>
          <w:sz w:val="52"/>
          <w:szCs w:val="52"/>
        </w:rPr>
      </w:pPr>
    </w:p>
    <w:p w14:paraId="78760AC5">
      <w:pPr>
        <w:pStyle w:val="13"/>
        <w:jc w:val="center"/>
        <w:rPr>
          <w:rFonts w:hAnsi="黑体" w:cs="方正小标宋_GBK"/>
          <w:sz w:val="52"/>
          <w:szCs w:val="52"/>
        </w:rPr>
      </w:pPr>
    </w:p>
    <w:p w14:paraId="3DE2A8BF">
      <w:pPr>
        <w:pStyle w:val="13"/>
        <w:jc w:val="center"/>
        <w:rPr>
          <w:rFonts w:hAnsi="黑体" w:cs="方正小标宋_GBK"/>
          <w:sz w:val="52"/>
          <w:szCs w:val="52"/>
        </w:rPr>
      </w:pPr>
    </w:p>
    <w:p w14:paraId="20C6C092">
      <w:pPr>
        <w:pStyle w:val="13"/>
        <w:jc w:val="center"/>
        <w:rPr>
          <w:rFonts w:hAnsi="黑体" w:cs="方正小标宋_GBK"/>
          <w:sz w:val="52"/>
          <w:szCs w:val="52"/>
        </w:rPr>
      </w:pPr>
    </w:p>
    <w:p w14:paraId="6D8C1175">
      <w:pPr>
        <w:pStyle w:val="13"/>
        <w:jc w:val="center"/>
        <w:rPr>
          <w:rFonts w:hAnsi="黑体" w:cs="方正小标宋_GBK"/>
          <w:sz w:val="52"/>
          <w:szCs w:val="52"/>
        </w:rPr>
      </w:pPr>
    </w:p>
    <w:p w14:paraId="2D7C74ED">
      <w:pPr>
        <w:pStyle w:val="13"/>
        <w:jc w:val="center"/>
        <w:rPr>
          <w:rFonts w:hAnsi="黑体" w:cs="方正小标宋_GBK"/>
          <w:sz w:val="52"/>
          <w:szCs w:val="52"/>
        </w:rPr>
      </w:pPr>
    </w:p>
    <w:p w14:paraId="7F800198">
      <w:pPr>
        <w:pStyle w:val="13"/>
        <w:jc w:val="center"/>
        <w:rPr>
          <w:rFonts w:hAnsi="黑体" w:cs="方正小标宋_GBK"/>
          <w:sz w:val="52"/>
          <w:szCs w:val="52"/>
        </w:rPr>
      </w:pPr>
    </w:p>
    <w:p w14:paraId="787EC249">
      <w:pPr>
        <w:pStyle w:val="13"/>
        <w:jc w:val="center"/>
        <w:rPr>
          <w:rFonts w:hAnsi="黑体" w:cs="方正小标宋_GBK"/>
          <w:sz w:val="52"/>
          <w:szCs w:val="52"/>
        </w:rPr>
      </w:pPr>
    </w:p>
    <w:p w14:paraId="067957AB">
      <w:pPr>
        <w:pStyle w:val="13"/>
        <w:jc w:val="center"/>
        <w:rPr>
          <w:rFonts w:hAnsi="黑体" w:cs="方正小标宋_GBK"/>
          <w:sz w:val="52"/>
          <w:szCs w:val="52"/>
        </w:rPr>
      </w:pPr>
    </w:p>
    <w:p w14:paraId="2F229E08">
      <w:pPr>
        <w:pStyle w:val="13"/>
        <w:jc w:val="center"/>
        <w:rPr>
          <w:rFonts w:hAnsi="黑体" w:cs="方正小标宋_GBK"/>
          <w:sz w:val="52"/>
          <w:szCs w:val="52"/>
        </w:rPr>
      </w:pPr>
    </w:p>
    <w:p w14:paraId="3F7B0E32">
      <w:pPr>
        <w:pStyle w:val="13"/>
        <w:jc w:val="center"/>
        <w:rPr>
          <w:rFonts w:hAnsi="黑体" w:cs="方正小标宋_GBK"/>
          <w:sz w:val="52"/>
          <w:szCs w:val="52"/>
        </w:rPr>
      </w:pPr>
    </w:p>
    <w:p w14:paraId="696CDDD1">
      <w:pPr>
        <w:pStyle w:val="13"/>
        <w:jc w:val="center"/>
        <w:rPr>
          <w:rFonts w:hAnsi="黑体" w:cs="方正小标宋_GBK"/>
          <w:sz w:val="52"/>
          <w:szCs w:val="52"/>
        </w:rPr>
      </w:pPr>
    </w:p>
    <w:p w14:paraId="5BFB4917">
      <w:pPr>
        <w:pStyle w:val="13"/>
        <w:jc w:val="center"/>
        <w:rPr>
          <w:rFonts w:hAnsi="黑体" w:cs="方正小标宋_GBK"/>
          <w:sz w:val="52"/>
          <w:szCs w:val="52"/>
        </w:rPr>
      </w:pPr>
    </w:p>
    <w:p w14:paraId="65A5D4F6">
      <w:pPr>
        <w:pStyle w:val="13"/>
        <w:jc w:val="center"/>
        <w:rPr>
          <w:rFonts w:hAnsi="黑体" w:cs="方正小标宋_GBK"/>
          <w:sz w:val="52"/>
          <w:szCs w:val="52"/>
        </w:rPr>
      </w:pPr>
    </w:p>
    <w:p w14:paraId="58725DF1">
      <w:pPr>
        <w:pStyle w:val="13"/>
        <w:jc w:val="center"/>
        <w:rPr>
          <w:rFonts w:hAnsi="黑体" w:cs="方正小标宋_GBK"/>
          <w:sz w:val="52"/>
          <w:szCs w:val="52"/>
        </w:rPr>
      </w:pPr>
    </w:p>
    <w:p w14:paraId="7AEFAEE3">
      <w:pPr>
        <w:pStyle w:val="13"/>
        <w:jc w:val="center"/>
        <w:rPr>
          <w:rFonts w:hAnsi="黑体" w:cs="方正小标宋_GBK"/>
          <w:sz w:val="52"/>
          <w:szCs w:val="52"/>
        </w:rPr>
      </w:pPr>
    </w:p>
    <w:p w14:paraId="40ADD0E6">
      <w:pPr>
        <w:pStyle w:val="13"/>
        <w:jc w:val="center"/>
        <w:rPr>
          <w:rFonts w:hAnsi="黑体" w:cs="方正小标宋_GBK"/>
          <w:sz w:val="52"/>
          <w:szCs w:val="52"/>
        </w:rPr>
      </w:pPr>
    </w:p>
    <w:p w14:paraId="222BEE0E">
      <w:pPr>
        <w:pStyle w:val="13"/>
        <w:jc w:val="center"/>
        <w:rPr>
          <w:rFonts w:hAnsi="黑体" w:cs="方正小标宋_GBK"/>
          <w:sz w:val="52"/>
          <w:szCs w:val="52"/>
        </w:rPr>
      </w:pPr>
    </w:p>
    <w:p w14:paraId="0E8FBD58">
      <w:pPr>
        <w:pStyle w:val="13"/>
        <w:jc w:val="center"/>
        <w:rPr>
          <w:rFonts w:hAnsi="黑体" w:cs="方正小标宋_GBK"/>
          <w:sz w:val="52"/>
          <w:szCs w:val="52"/>
        </w:rPr>
      </w:pPr>
      <w:r>
        <w:rPr>
          <w:rFonts w:hint="eastAsia" w:hAnsi="黑体" w:cs="方正小标宋_GBK"/>
          <w:sz w:val="52"/>
          <w:szCs w:val="52"/>
        </w:rPr>
        <w:t xml:space="preserve">第一部分 </w:t>
      </w:r>
    </w:p>
    <w:p w14:paraId="0949971A">
      <w:pPr>
        <w:pStyle w:val="13"/>
        <w:jc w:val="center"/>
        <w:rPr>
          <w:rFonts w:hAnsi="黑体" w:cs="方正小标宋_GBK"/>
          <w:sz w:val="52"/>
          <w:szCs w:val="52"/>
        </w:rPr>
      </w:pPr>
      <w:r>
        <w:rPr>
          <w:rFonts w:hint="eastAsia" w:hAnsi="黑体" w:cs="方正小标宋_GBK"/>
          <w:sz w:val="52"/>
          <w:szCs w:val="52"/>
        </w:rPr>
        <w:t>怀化市城乡建设档案馆概况</w:t>
      </w:r>
    </w:p>
    <w:p w14:paraId="01AB8296">
      <w:pPr>
        <w:jc w:val="center"/>
        <w:rPr>
          <w:sz w:val="72"/>
          <w:szCs w:val="72"/>
        </w:rPr>
      </w:pPr>
    </w:p>
    <w:p w14:paraId="536C55D8">
      <w:pPr>
        <w:pStyle w:val="2"/>
      </w:pPr>
    </w:p>
    <w:p w14:paraId="2380978F">
      <w:pPr>
        <w:pStyle w:val="3"/>
        <w:ind w:firstLine="480"/>
      </w:pPr>
    </w:p>
    <w:p w14:paraId="4C429884"/>
    <w:p w14:paraId="5DC2F488">
      <w:pPr>
        <w:pStyle w:val="2"/>
      </w:pPr>
    </w:p>
    <w:p w14:paraId="17FCCABD">
      <w:pPr>
        <w:pStyle w:val="3"/>
        <w:ind w:firstLine="480"/>
      </w:pPr>
    </w:p>
    <w:p w14:paraId="7B184C21"/>
    <w:p w14:paraId="766F37BD">
      <w:pPr>
        <w:pStyle w:val="2"/>
      </w:pPr>
    </w:p>
    <w:p w14:paraId="2F717BCB">
      <w:pPr>
        <w:pStyle w:val="3"/>
        <w:ind w:firstLine="480"/>
      </w:pPr>
    </w:p>
    <w:p w14:paraId="0D457C5E"/>
    <w:p w14:paraId="396D3B26">
      <w:pPr>
        <w:pStyle w:val="2"/>
      </w:pPr>
    </w:p>
    <w:p w14:paraId="500E66CF">
      <w:pPr>
        <w:pStyle w:val="3"/>
        <w:ind w:firstLine="480"/>
      </w:pPr>
    </w:p>
    <w:p w14:paraId="5BBBAF68"/>
    <w:p w14:paraId="6D418025">
      <w:pPr>
        <w:pStyle w:val="2"/>
      </w:pPr>
    </w:p>
    <w:p w14:paraId="44214F91">
      <w:pPr>
        <w:pStyle w:val="3"/>
        <w:ind w:firstLine="480"/>
      </w:pPr>
    </w:p>
    <w:p w14:paraId="10040432"/>
    <w:p w14:paraId="4CE757DE">
      <w:pPr>
        <w:pStyle w:val="2"/>
      </w:pPr>
    </w:p>
    <w:p w14:paraId="17164C77">
      <w:pPr>
        <w:pStyle w:val="3"/>
        <w:ind w:firstLine="480"/>
      </w:pPr>
    </w:p>
    <w:p w14:paraId="3D83F143">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06E5F745">
      <w:pPr>
        <w:autoSpaceDE w:val="0"/>
        <w:autoSpaceDN w:val="0"/>
        <w:adjustRightInd w:val="0"/>
        <w:spacing w:line="500" w:lineRule="exact"/>
        <w:jc w:val="left"/>
        <w:rPr>
          <w:rFonts w:ascii="仿宋" w:hAnsi="仿宋" w:eastAsia="仿宋" w:cs="仿宋"/>
          <w:sz w:val="32"/>
          <w:szCs w:val="32"/>
        </w:rPr>
      </w:pPr>
      <w:r>
        <w:rPr>
          <w:rFonts w:hint="eastAsia" w:ascii="仿宋" w:hAnsi="仿宋" w:eastAsia="仿宋" w:cs="仿宋"/>
          <w:sz w:val="32"/>
          <w:szCs w:val="32"/>
        </w:rPr>
        <w:t>（一）负责怀化市城建档案的检查、指导、收集、保管等日常管理工作；</w:t>
      </w:r>
    </w:p>
    <w:p w14:paraId="50201287">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（二）负责接收普查和补测补绘形成的地下管线成果，利用各单位移交的地下管线档案，及时修改城市地下管线综合图，建立城市地下管线信息系统；</w:t>
      </w:r>
    </w:p>
    <w:p w14:paraId="70DA5D0D">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（三）负</w:t>
      </w:r>
      <w:r>
        <w:rPr>
          <w:rFonts w:hint="eastAsia" w:ascii="仿宋" w:hAnsi="仿宋" w:eastAsia="仿宋" w:cs="仿宋"/>
          <w:spacing w:val="-11"/>
          <w:sz w:val="32"/>
          <w:szCs w:val="32"/>
        </w:rPr>
        <w:t>责收集、保管、利用怀化市本级城乡建设声像档案；</w:t>
      </w:r>
    </w:p>
    <w:p w14:paraId="72A0CC55">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（四）负责对怀化市本级各类建设工程以及地下管线工程进行竣工案专项验收，参与工程竣工综合验收备案；</w:t>
      </w:r>
    </w:p>
    <w:p w14:paraId="354C13F7">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（五）负责对已接收进馆的档案进行登记、加工整理、编制检索工具，开发档案信息资源，并向社会提供档案咨询服务；受市住建局行政主管部门委托，负责开展档案执法检查；</w:t>
      </w:r>
    </w:p>
    <w:p w14:paraId="7CF44DC2">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（六）负责怀化市城建档案的信息化建设工作；</w:t>
      </w:r>
    </w:p>
    <w:p w14:paraId="36C79CE8">
      <w:pPr>
        <w:pStyle w:val="13"/>
        <w:autoSpaceDE/>
        <w:autoSpaceDN/>
        <w:spacing w:line="600" w:lineRule="exact"/>
        <w:rPr>
          <w:rFonts w:ascii="仿宋" w:hAnsi="仿宋" w:eastAsia="仿宋" w:cs="仿宋"/>
          <w:sz w:val="32"/>
          <w:szCs w:val="32"/>
        </w:rPr>
      </w:pPr>
      <w:r>
        <w:rPr>
          <w:rFonts w:hint="eastAsia" w:ascii="仿宋" w:hAnsi="仿宋" w:eastAsia="仿宋" w:cs="仿宋"/>
          <w:sz w:val="32"/>
          <w:szCs w:val="32"/>
        </w:rPr>
        <w:t>（七）负责区、县（市）城建档案工作业务指导，组织城建档案业务培训；</w:t>
      </w:r>
    </w:p>
    <w:p w14:paraId="0B844D6C">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334F562B">
      <w:pPr>
        <w:widowControl/>
        <w:spacing w:line="600" w:lineRule="exact"/>
        <w:jc w:val="left"/>
        <w:rPr>
          <w:rFonts w:ascii="仿宋" w:hAnsi="仿宋" w:eastAsia="仿宋" w:cs="仿宋"/>
          <w:sz w:val="32"/>
          <w:szCs w:val="32"/>
        </w:rPr>
      </w:pPr>
      <w:r>
        <w:rPr>
          <w:rFonts w:hint="eastAsia" w:ascii="Times New Roman" w:hAnsi="Times New Roman" w:eastAsia="仿宋_GB2312" w:cs="仿宋_GB2312"/>
          <w:bCs/>
          <w:kern w:val="0"/>
          <w:sz w:val="32"/>
          <w:szCs w:val="32"/>
        </w:rPr>
        <w:t>（一）</w:t>
      </w:r>
      <w:r>
        <w:rPr>
          <w:rFonts w:hint="eastAsia" w:ascii="仿宋" w:hAnsi="仿宋" w:eastAsia="仿宋" w:cs="仿宋"/>
          <w:sz w:val="32"/>
          <w:szCs w:val="32"/>
        </w:rPr>
        <w:t xml:space="preserve">内设机构设置。怀化市城乡建设档案馆系财政全额拨款事业单位，属于怀化市住房和城乡建设局二级机构。内设科室：怀化市城乡建设档案馆。 </w:t>
      </w:r>
      <w:r>
        <w:rPr>
          <w:rFonts w:ascii="仿宋" w:hAnsi="仿宋" w:eastAsia="仿宋" w:cs="仿宋"/>
          <w:sz w:val="32"/>
          <w:szCs w:val="32"/>
        </w:rPr>
        <w:t xml:space="preserve">     </w:t>
      </w:r>
      <w:r>
        <w:rPr>
          <w:rFonts w:hint="eastAsia" w:ascii="Times New Roman" w:hAnsi="Times New Roman" w:eastAsia="仿宋_GB2312" w:cs="仿宋_GB2312"/>
          <w:bCs/>
          <w:kern w:val="0"/>
          <w:sz w:val="32"/>
          <w:szCs w:val="32"/>
        </w:rPr>
        <w:t>（二）</w:t>
      </w:r>
      <w:r>
        <w:rPr>
          <w:rFonts w:hint="eastAsia" w:ascii="仿宋" w:hAnsi="仿宋" w:eastAsia="仿宋" w:cs="仿宋"/>
          <w:sz w:val="32"/>
          <w:szCs w:val="32"/>
        </w:rPr>
        <w:t>决算单位构成。怀化市城乡建设档案馆202</w:t>
      </w:r>
      <w:r>
        <w:rPr>
          <w:rFonts w:ascii="仿宋" w:hAnsi="仿宋" w:eastAsia="仿宋" w:cs="仿宋"/>
          <w:sz w:val="32"/>
          <w:szCs w:val="32"/>
        </w:rPr>
        <w:t>3</w:t>
      </w:r>
      <w:r>
        <w:rPr>
          <w:rFonts w:hint="eastAsia" w:ascii="仿宋" w:hAnsi="仿宋" w:eastAsia="仿宋" w:cs="仿宋"/>
          <w:sz w:val="32"/>
          <w:szCs w:val="32"/>
        </w:rPr>
        <w:t>年部门决算汇总公开单位构成包括：怀化市城乡建设档案馆本级。</w:t>
      </w:r>
    </w:p>
    <w:p w14:paraId="1D524DFC">
      <w:pPr>
        <w:jc w:val="center"/>
        <w:rPr>
          <w:rFonts w:ascii="黑体" w:hAnsi="黑体" w:eastAsia="黑体"/>
          <w:sz w:val="28"/>
          <w:szCs w:val="28"/>
        </w:rPr>
      </w:pPr>
    </w:p>
    <w:p w14:paraId="01075490">
      <w:pPr>
        <w:jc w:val="center"/>
        <w:rPr>
          <w:rFonts w:ascii="黑体" w:hAnsi="黑体" w:eastAsia="黑体"/>
          <w:sz w:val="28"/>
          <w:szCs w:val="28"/>
        </w:rPr>
      </w:pPr>
    </w:p>
    <w:p w14:paraId="1EE31329">
      <w:pPr>
        <w:jc w:val="center"/>
        <w:rPr>
          <w:rFonts w:ascii="黑体" w:hAnsi="黑体" w:eastAsia="黑体"/>
          <w:sz w:val="28"/>
          <w:szCs w:val="28"/>
        </w:rPr>
      </w:pPr>
    </w:p>
    <w:p w14:paraId="18B86BC2">
      <w:pPr>
        <w:jc w:val="center"/>
        <w:rPr>
          <w:rFonts w:ascii="黑体" w:hAnsi="黑体" w:eastAsia="黑体"/>
          <w:sz w:val="28"/>
          <w:szCs w:val="28"/>
        </w:rPr>
      </w:pPr>
    </w:p>
    <w:p w14:paraId="20790334">
      <w:pPr>
        <w:jc w:val="center"/>
        <w:rPr>
          <w:rFonts w:ascii="黑体" w:hAnsi="黑体" w:eastAsia="黑体"/>
          <w:sz w:val="28"/>
          <w:szCs w:val="28"/>
        </w:rPr>
      </w:pPr>
    </w:p>
    <w:p w14:paraId="15AF32A9">
      <w:pPr>
        <w:jc w:val="center"/>
        <w:rPr>
          <w:rFonts w:ascii="黑体" w:hAnsi="黑体" w:eastAsia="黑体"/>
          <w:sz w:val="28"/>
          <w:szCs w:val="28"/>
        </w:rPr>
      </w:pPr>
    </w:p>
    <w:p w14:paraId="7C2CB964">
      <w:pPr>
        <w:jc w:val="center"/>
        <w:rPr>
          <w:rFonts w:ascii="黑体" w:hAnsi="黑体" w:eastAsia="黑体"/>
          <w:sz w:val="28"/>
          <w:szCs w:val="28"/>
        </w:rPr>
      </w:pPr>
    </w:p>
    <w:p w14:paraId="00716963">
      <w:pPr>
        <w:jc w:val="center"/>
        <w:rPr>
          <w:rFonts w:ascii="黑体" w:hAnsi="黑体" w:eastAsia="黑体"/>
          <w:sz w:val="28"/>
          <w:szCs w:val="28"/>
        </w:rPr>
      </w:pPr>
    </w:p>
    <w:p w14:paraId="7FB02E4D">
      <w:pPr>
        <w:jc w:val="center"/>
        <w:rPr>
          <w:rFonts w:ascii="黑体" w:hAnsi="黑体" w:eastAsia="黑体"/>
          <w:sz w:val="28"/>
          <w:szCs w:val="28"/>
        </w:rPr>
      </w:pPr>
    </w:p>
    <w:p w14:paraId="75B0CC3E">
      <w:pPr>
        <w:jc w:val="center"/>
        <w:rPr>
          <w:rFonts w:ascii="黑体" w:hAnsi="黑体" w:eastAsia="黑体"/>
          <w:sz w:val="28"/>
          <w:szCs w:val="28"/>
        </w:rPr>
      </w:pPr>
    </w:p>
    <w:p w14:paraId="084028B7">
      <w:pPr>
        <w:pStyle w:val="13"/>
        <w:jc w:val="center"/>
        <w:rPr>
          <w:rFonts w:ascii="方正小标宋_GBK" w:hAnsi="方正小标宋_GBK" w:eastAsia="方正小标宋_GBK" w:cs="方正小标宋_GBK"/>
          <w:sz w:val="84"/>
          <w:szCs w:val="84"/>
        </w:rPr>
      </w:pPr>
    </w:p>
    <w:p w14:paraId="0F1BBFA3">
      <w:pPr>
        <w:pStyle w:val="13"/>
        <w:jc w:val="center"/>
        <w:rPr>
          <w:rFonts w:ascii="方正小标宋_GBK" w:hAnsi="方正小标宋_GBK" w:eastAsia="方正小标宋_GBK" w:cs="方正小标宋_GBK"/>
          <w:sz w:val="84"/>
          <w:szCs w:val="84"/>
        </w:rPr>
      </w:pPr>
    </w:p>
    <w:p w14:paraId="563F1A4D">
      <w:pPr>
        <w:pStyle w:val="13"/>
        <w:jc w:val="center"/>
        <w:rPr>
          <w:rFonts w:hAnsi="黑体" w:cs="方正小标宋_GBK"/>
          <w:sz w:val="52"/>
          <w:szCs w:val="52"/>
        </w:rPr>
      </w:pPr>
      <w:r>
        <w:rPr>
          <w:rFonts w:hint="eastAsia" w:hAnsi="黑体" w:cs="方正小标宋_GBK"/>
          <w:sz w:val="52"/>
          <w:szCs w:val="52"/>
        </w:rPr>
        <w:t>第二部分</w:t>
      </w:r>
    </w:p>
    <w:p w14:paraId="46FE1748">
      <w:pPr>
        <w:pStyle w:val="13"/>
        <w:jc w:val="center"/>
        <w:rPr>
          <w:rFonts w:hAnsi="黑体" w:cs="方正小标宋_GBK"/>
          <w:sz w:val="52"/>
          <w:szCs w:val="52"/>
        </w:rPr>
      </w:pPr>
    </w:p>
    <w:p w14:paraId="64CECDFA">
      <w:pPr>
        <w:pStyle w:val="13"/>
        <w:jc w:val="center"/>
        <w:rPr>
          <w:rFonts w:hAnsi="黑体" w:cs="方正小标宋_GBK"/>
          <w:sz w:val="52"/>
          <w:szCs w:val="52"/>
        </w:rPr>
      </w:pPr>
      <w:r>
        <w:rPr>
          <w:rFonts w:hint="eastAsia" w:hAnsi="黑体" w:cs="方正小标宋_GBK"/>
          <w:sz w:val="52"/>
          <w:szCs w:val="52"/>
        </w:rPr>
        <w:t>部门决算表</w:t>
      </w:r>
    </w:p>
    <w:p w14:paraId="2A69C3D5">
      <w:pPr>
        <w:jc w:val="center"/>
        <w:rPr>
          <w:sz w:val="72"/>
          <w:szCs w:val="72"/>
        </w:rPr>
      </w:pPr>
    </w:p>
    <w:p w14:paraId="2D5E7A9D">
      <w:pPr>
        <w:jc w:val="center"/>
        <w:rPr>
          <w:sz w:val="72"/>
          <w:szCs w:val="72"/>
        </w:rPr>
      </w:pPr>
    </w:p>
    <w:p w14:paraId="0A2ED9F2">
      <w:pPr>
        <w:jc w:val="center"/>
        <w:rPr>
          <w:sz w:val="72"/>
          <w:szCs w:val="72"/>
        </w:rPr>
      </w:pPr>
    </w:p>
    <w:p w14:paraId="0131AB4A">
      <w:pPr>
        <w:jc w:val="center"/>
        <w:rPr>
          <w:sz w:val="72"/>
          <w:szCs w:val="72"/>
        </w:rPr>
      </w:pPr>
    </w:p>
    <w:p w14:paraId="2D3B308C">
      <w:pPr>
        <w:jc w:val="left"/>
        <w:rPr>
          <w:rFonts w:asciiTheme="minorEastAsia" w:hAnsiTheme="minorEastAsia"/>
          <w:i/>
          <w:iCs/>
          <w:sz w:val="32"/>
          <w:szCs w:val="32"/>
        </w:rPr>
        <w:sectPr>
          <w:pgSz w:w="11906" w:h="16838"/>
          <w:pgMar w:top="720" w:right="720" w:bottom="720" w:left="720" w:header="851" w:footer="992" w:gutter="0"/>
          <w:cols w:space="425" w:num="1"/>
          <w:docGrid w:type="lines" w:linePitch="312" w:charSpace="0"/>
        </w:sectPr>
      </w:pPr>
    </w:p>
    <w:p w14:paraId="3C870C58">
      <w:r>
        <w:object>
          <v:shape id="_x0000_i1025" o:spt="75" type="#_x0000_t75" style="height:514.8pt;width:748.8pt;" o:ole="t" filled="f" o:preferrelative="t" stroked="f" coordsize="21600,21600">
            <v:path/>
            <v:fill on="f" focussize="0,0"/>
            <v:stroke on="f" joinstyle="miter"/>
            <v:imagedata r:id="rId5" o:title=""/>
            <o:lock v:ext="edit" aspectratio="t"/>
            <w10:wrap type="none"/>
            <w10:anchorlock/>
          </v:shape>
          <o:OLEObject Type="Embed" ProgID="Excel.Sheet.12" ShapeID="_x0000_i1025" DrawAspect="Content" ObjectID="_1468075725" r:id="rId4">
            <o:LockedField>false</o:LockedField>
          </o:OLEObject>
        </w:object>
      </w:r>
    </w:p>
    <w:p w14:paraId="454E6B1A">
      <w:pPr>
        <w:widowControl/>
        <w:jc w:val="left"/>
        <w:rPr>
          <w:rFonts w:hint="eastAsia"/>
        </w:rPr>
      </w:pPr>
      <w:r>
        <w:object>
          <v:shape id="_x0000_i1026" o:spt="75" type="#_x0000_t75" style="height:344.4pt;width:789.6pt;" o:ole="t" filled="f" o:preferrelative="t" stroked="f" coordsize="21600,21600">
            <v:path/>
            <v:fill on="f" focussize="0,0"/>
            <v:stroke on="f" joinstyle="miter"/>
            <v:imagedata r:id="rId7" o:title=""/>
            <o:lock v:ext="edit" aspectratio="t"/>
            <w10:wrap type="none"/>
            <w10:anchorlock/>
          </v:shape>
          <o:OLEObject Type="Embed" ProgID="Excel.Sheet.12" ShapeID="_x0000_i1026" DrawAspect="Content" ObjectID="_1468075726" r:id="rId6">
            <o:LockedField>false</o:LockedField>
          </o:OLEObject>
        </w:object>
      </w:r>
      <w:r>
        <w:br w:type="page"/>
      </w:r>
    </w:p>
    <w:p w14:paraId="04FA92F1">
      <w:pPr>
        <w:pStyle w:val="3"/>
        <w:ind w:firstLine="480"/>
      </w:pPr>
    </w:p>
    <w:p w14:paraId="65E5F833"/>
    <w:p w14:paraId="213E23A8">
      <w:pPr>
        <w:pStyle w:val="2"/>
      </w:pPr>
      <w:r>
        <w:object>
          <v:shape id="_x0000_i1027" o:spt="75" type="#_x0000_t75" style="height:344.4pt;width:757.2pt;" o:ole="t" filled="f" o:preferrelative="t" stroked="f" coordsize="21600,21600">
            <v:path/>
            <v:fill on="f" focussize="0,0"/>
            <v:stroke on="f" joinstyle="miter"/>
            <v:imagedata r:id="rId9" o:title=""/>
            <o:lock v:ext="edit" aspectratio="t"/>
            <w10:wrap type="none"/>
            <w10:anchorlock/>
          </v:shape>
          <o:OLEObject Type="Embed" ProgID="Excel.Sheet.12" ShapeID="_x0000_i1027" DrawAspect="Content" ObjectID="_1468075727" r:id="rId8">
            <o:LockedField>false</o:LockedField>
          </o:OLEObject>
        </w:object>
      </w:r>
    </w:p>
    <w:p w14:paraId="4B791067">
      <w:pPr>
        <w:pStyle w:val="3"/>
        <w:ind w:firstLine="480"/>
      </w:pPr>
    </w:p>
    <w:p w14:paraId="14A9808E">
      <w:pPr>
        <w:pStyle w:val="3"/>
        <w:ind w:firstLine="480"/>
      </w:pPr>
      <w:r>
        <w:object>
          <v:shape id="_x0000_i1028" o:spt="75" type="#_x0000_t75" style="height:540pt;width:699.6pt;" o:ole="t" filled="f" o:preferrelative="t" stroked="f" coordsize="21600,21600">
            <v:path/>
            <v:fill on="f" focussize="0,0"/>
            <v:stroke on="f" joinstyle="miter"/>
            <v:imagedata r:id="rId11" o:title=""/>
            <o:lock v:ext="edit" aspectratio="t"/>
            <w10:wrap type="none"/>
            <w10:anchorlock/>
          </v:shape>
          <o:OLEObject Type="Embed" ProgID="Excel.Sheet.12" ShapeID="_x0000_i1028" DrawAspect="Content" ObjectID="_1468075728" r:id="rId10">
            <o:LockedField>false</o:LockedField>
          </o:OLEObject>
        </w:object>
      </w:r>
    </w:p>
    <w:p w14:paraId="092040B5">
      <w:pPr>
        <w:autoSpaceDE w:val="0"/>
        <w:autoSpaceDN w:val="0"/>
        <w:adjustRightInd w:val="0"/>
        <w:ind w:left="315" w:leftChars="150"/>
        <w:jc w:val="left"/>
        <w:rPr>
          <w:rFonts w:ascii="宋体" w:eastAsia="宋体" w:cs="宋体"/>
          <w:kern w:val="0"/>
          <w:sz w:val="24"/>
          <w:szCs w:val="24"/>
        </w:rPr>
      </w:pPr>
    </w:p>
    <w:p w14:paraId="52CFA9BF">
      <w:pPr>
        <w:autoSpaceDE w:val="0"/>
        <w:autoSpaceDN w:val="0"/>
        <w:adjustRightInd w:val="0"/>
        <w:ind w:left="315" w:leftChars="150"/>
        <w:jc w:val="left"/>
        <w:rPr>
          <w:rFonts w:ascii="宋体" w:eastAsia="宋体" w:cs="宋体"/>
          <w:kern w:val="0"/>
          <w:sz w:val="24"/>
          <w:szCs w:val="24"/>
        </w:rPr>
      </w:pPr>
    </w:p>
    <w:p w14:paraId="7AC10456">
      <w:pPr>
        <w:autoSpaceDE w:val="0"/>
        <w:autoSpaceDN w:val="0"/>
        <w:adjustRightInd w:val="0"/>
        <w:ind w:left="315" w:leftChars="150"/>
        <w:jc w:val="left"/>
        <w:rPr>
          <w:rFonts w:ascii="宋体" w:eastAsia="宋体" w:cs="宋体"/>
          <w:kern w:val="0"/>
          <w:sz w:val="24"/>
          <w:szCs w:val="24"/>
        </w:rPr>
      </w:pPr>
    </w:p>
    <w:p w14:paraId="7BCF75C5">
      <w:pPr>
        <w:autoSpaceDE w:val="0"/>
        <w:autoSpaceDN w:val="0"/>
        <w:adjustRightInd w:val="0"/>
        <w:ind w:left="315" w:leftChars="150"/>
        <w:jc w:val="center"/>
        <w:rPr>
          <w:rFonts w:ascii="宋体" w:eastAsia="宋体" w:cs="宋体"/>
          <w:kern w:val="0"/>
          <w:sz w:val="24"/>
          <w:szCs w:val="24"/>
        </w:rPr>
      </w:pPr>
    </w:p>
    <w:p w14:paraId="79CBB869">
      <w:pPr>
        <w:widowControl/>
        <w:jc w:val="center"/>
        <w:rPr>
          <w:rFonts w:ascii="黑体" w:hAnsi="黑体" w:eastAsia="黑体"/>
          <w:szCs w:val="21"/>
        </w:rPr>
      </w:pPr>
      <w:r>
        <w:rPr>
          <w:rFonts w:ascii="黑体" w:hAnsi="黑体" w:eastAsia="黑体"/>
          <w:szCs w:val="21"/>
        </w:rPr>
        <w:object>
          <v:shape id="_x0000_i1029" o:spt="75" type="#_x0000_t75" style="height:316.8pt;width:562.8pt;" o:ole="t" filled="f" o:preferrelative="t" stroked="f" coordsize="21600,21600">
            <v:path/>
            <v:fill on="f" focussize="0,0"/>
            <v:stroke on="f" joinstyle="miter"/>
            <v:imagedata r:id="rId13" o:title=""/>
            <o:lock v:ext="edit" aspectratio="t"/>
            <w10:wrap type="none"/>
            <w10:anchorlock/>
          </v:shape>
          <o:OLEObject Type="Embed" ProgID="Excel.Sheet.12" ShapeID="_x0000_i1029" DrawAspect="Content" ObjectID="_1468075729" r:id="rId12">
            <o:LockedField>false</o:LockedField>
          </o:OLEObject>
        </w:object>
      </w:r>
    </w:p>
    <w:p w14:paraId="6FED9A10">
      <w:pPr>
        <w:widowControl/>
        <w:jc w:val="center"/>
        <w:rPr>
          <w:rFonts w:ascii="黑体" w:hAnsi="黑体" w:eastAsia="黑体"/>
          <w:szCs w:val="21"/>
        </w:rPr>
      </w:pPr>
    </w:p>
    <w:p w14:paraId="76EDB271">
      <w:pPr>
        <w:widowControl/>
        <w:jc w:val="center"/>
        <w:rPr>
          <w:rFonts w:ascii="黑体" w:hAnsi="黑体" w:eastAsia="黑体"/>
          <w:szCs w:val="21"/>
        </w:rPr>
      </w:pPr>
    </w:p>
    <w:p w14:paraId="1DFC94FE">
      <w:pPr>
        <w:widowControl/>
        <w:jc w:val="center"/>
        <w:rPr>
          <w:rFonts w:ascii="黑体" w:hAnsi="黑体" w:eastAsia="黑体"/>
          <w:szCs w:val="21"/>
        </w:rPr>
      </w:pPr>
    </w:p>
    <w:p w14:paraId="60A5E351">
      <w:pPr>
        <w:widowControl/>
        <w:jc w:val="center"/>
        <w:rPr>
          <w:rFonts w:ascii="黑体" w:hAnsi="黑体" w:eastAsia="黑体"/>
          <w:szCs w:val="21"/>
        </w:rPr>
      </w:pPr>
    </w:p>
    <w:p w14:paraId="186ECBD6">
      <w:pPr>
        <w:widowControl/>
        <w:jc w:val="center"/>
        <w:rPr>
          <w:rFonts w:ascii="黑体" w:hAnsi="黑体" w:eastAsia="黑体"/>
          <w:szCs w:val="21"/>
        </w:rPr>
      </w:pPr>
    </w:p>
    <w:p w14:paraId="17CCF383">
      <w:pPr>
        <w:widowControl/>
        <w:jc w:val="center"/>
        <w:rPr>
          <w:rFonts w:ascii="黑体" w:hAnsi="黑体" w:eastAsia="黑体"/>
          <w:szCs w:val="21"/>
        </w:rPr>
      </w:pPr>
    </w:p>
    <w:p w14:paraId="556593E5">
      <w:pPr>
        <w:widowControl/>
        <w:jc w:val="center"/>
        <w:rPr>
          <w:sz w:val="72"/>
          <w:szCs w:val="72"/>
        </w:rPr>
      </w:pPr>
      <w:r>
        <w:rPr>
          <w:sz w:val="72"/>
          <w:szCs w:val="72"/>
        </w:rPr>
        <w:object>
          <v:shape id="_x0000_i1030" o:spt="75" type="#_x0000_t75" style="height:475.2pt;width:772.8pt;" o:ole="t" filled="f" o:preferrelative="t" stroked="f" coordsize="21600,21600">
            <v:path/>
            <v:fill on="f" focussize="0,0"/>
            <v:stroke on="f" joinstyle="miter"/>
            <v:imagedata r:id="rId15" o:title=""/>
            <o:lock v:ext="edit" aspectratio="t"/>
            <w10:wrap type="none"/>
            <w10:anchorlock/>
          </v:shape>
          <o:OLEObject Type="Embed" ProgID="Excel.Sheet.12" ShapeID="_x0000_i1030" DrawAspect="Content" ObjectID="_1468075730" r:id="rId14">
            <o:LockedField>false</o:LockedField>
          </o:OLEObject>
        </w:object>
      </w:r>
    </w:p>
    <w:p w14:paraId="30044516">
      <w:pPr>
        <w:widowControl/>
        <w:jc w:val="center"/>
        <w:rPr>
          <w:sz w:val="72"/>
          <w:szCs w:val="72"/>
        </w:rPr>
      </w:pPr>
      <w:r>
        <w:rPr>
          <w:sz w:val="72"/>
          <w:szCs w:val="72"/>
        </w:rPr>
        <w:object>
          <v:shape id="_x0000_i1031" o:spt="75" type="#_x0000_t75" style="height:174pt;width:722.4pt;" o:ole="t" filled="f" o:preferrelative="t" stroked="f" coordsize="21600,21600">
            <v:path/>
            <v:fill on="f" focussize="0,0"/>
            <v:stroke on="f" joinstyle="miter"/>
            <v:imagedata r:id="rId17" o:title=""/>
            <o:lock v:ext="edit" aspectratio="t"/>
            <w10:wrap type="none"/>
            <w10:anchorlock/>
          </v:shape>
          <o:OLEObject Type="Embed" ProgID="Excel.Sheet.12" ShapeID="_x0000_i1031" DrawAspect="Content" ObjectID="_1468075731" r:id="rId16">
            <o:LockedField>false</o:LockedField>
          </o:OLEObject>
        </w:object>
      </w:r>
    </w:p>
    <w:p w14:paraId="1C5781AF">
      <w:pPr>
        <w:widowControl/>
        <w:jc w:val="center"/>
        <w:rPr>
          <w:sz w:val="72"/>
          <w:szCs w:val="72"/>
        </w:rPr>
      </w:pPr>
    </w:p>
    <w:p w14:paraId="6A16A718">
      <w:pPr>
        <w:widowControl/>
        <w:jc w:val="center"/>
        <w:rPr>
          <w:sz w:val="72"/>
          <w:szCs w:val="72"/>
        </w:rPr>
      </w:pPr>
    </w:p>
    <w:p w14:paraId="302EFE20">
      <w:pPr>
        <w:widowControl/>
        <w:jc w:val="center"/>
        <w:rPr>
          <w:sz w:val="72"/>
          <w:szCs w:val="72"/>
        </w:rPr>
      </w:pPr>
    </w:p>
    <w:p w14:paraId="6AEFD6FF">
      <w:pPr>
        <w:widowControl/>
        <w:jc w:val="center"/>
        <w:rPr>
          <w:sz w:val="72"/>
          <w:szCs w:val="72"/>
        </w:rPr>
      </w:pPr>
    </w:p>
    <w:p w14:paraId="324AD4D2">
      <w:pPr>
        <w:widowControl/>
        <w:jc w:val="center"/>
        <w:rPr>
          <w:sz w:val="72"/>
          <w:szCs w:val="72"/>
        </w:rPr>
      </w:pPr>
    </w:p>
    <w:p w14:paraId="0589FEA0">
      <w:pPr>
        <w:widowControl/>
        <w:jc w:val="center"/>
        <w:rPr>
          <w:sz w:val="72"/>
          <w:szCs w:val="72"/>
        </w:rPr>
      </w:pPr>
    </w:p>
    <w:p w14:paraId="41B2EA4F">
      <w:pPr>
        <w:widowControl/>
        <w:jc w:val="center"/>
        <w:rPr>
          <w:sz w:val="72"/>
          <w:szCs w:val="72"/>
        </w:rPr>
      </w:pPr>
    </w:p>
    <w:p w14:paraId="5A4F509D">
      <w:pPr>
        <w:widowControl/>
        <w:jc w:val="center"/>
        <w:rPr>
          <w:sz w:val="72"/>
          <w:szCs w:val="72"/>
        </w:rPr>
      </w:pPr>
    </w:p>
    <w:p w14:paraId="54425849">
      <w:pPr>
        <w:widowControl/>
        <w:jc w:val="center"/>
        <w:rPr>
          <w:sz w:val="72"/>
          <w:szCs w:val="72"/>
        </w:rPr>
      </w:pPr>
      <w:r>
        <w:rPr>
          <w:sz w:val="72"/>
          <w:szCs w:val="72"/>
        </w:rPr>
        <w:object>
          <v:shape id="_x0000_i1032" o:spt="75" type="#_x0000_t75" style="height:160.8pt;width:704.4pt;" o:ole="t" filled="f" o:preferrelative="t" stroked="f" coordsize="21600,21600">
            <v:path/>
            <v:fill on="f" focussize="0,0"/>
            <v:stroke on="f" joinstyle="miter"/>
            <v:imagedata r:id="rId19" o:title=""/>
            <o:lock v:ext="edit" aspectratio="t"/>
            <w10:wrap type="none"/>
            <w10:anchorlock/>
          </v:shape>
          <o:OLEObject Type="Embed" ProgID="Excel.Sheet.12" ShapeID="_x0000_i1032" DrawAspect="Content" ObjectID="_1468075732" r:id="rId18">
            <o:LockedField>false</o:LockedField>
          </o:OLEObject>
        </w:object>
      </w:r>
    </w:p>
    <w:p w14:paraId="61B7E6E8">
      <w:pPr>
        <w:widowControl/>
        <w:jc w:val="center"/>
        <w:rPr>
          <w:sz w:val="72"/>
          <w:szCs w:val="72"/>
        </w:rPr>
      </w:pPr>
    </w:p>
    <w:p w14:paraId="50771DA0">
      <w:pPr>
        <w:widowControl/>
        <w:jc w:val="center"/>
        <w:rPr>
          <w:sz w:val="72"/>
          <w:szCs w:val="72"/>
        </w:rPr>
      </w:pPr>
    </w:p>
    <w:p w14:paraId="3601D62C">
      <w:pPr>
        <w:widowControl/>
        <w:jc w:val="center"/>
        <w:rPr>
          <w:sz w:val="72"/>
          <w:szCs w:val="72"/>
        </w:rPr>
      </w:pPr>
    </w:p>
    <w:p w14:paraId="4F307396">
      <w:pPr>
        <w:widowControl/>
        <w:jc w:val="center"/>
        <w:rPr>
          <w:sz w:val="72"/>
          <w:szCs w:val="72"/>
        </w:rPr>
      </w:pPr>
    </w:p>
    <w:p w14:paraId="1965917A">
      <w:pPr>
        <w:widowControl/>
        <w:jc w:val="center"/>
        <w:rPr>
          <w:sz w:val="72"/>
          <w:szCs w:val="72"/>
        </w:rPr>
      </w:pPr>
    </w:p>
    <w:p w14:paraId="66435EC0">
      <w:pPr>
        <w:widowControl/>
        <w:jc w:val="center"/>
        <w:rPr>
          <w:sz w:val="72"/>
          <w:szCs w:val="72"/>
        </w:rPr>
      </w:pPr>
    </w:p>
    <w:p w14:paraId="3128A0DB">
      <w:pPr>
        <w:widowControl/>
        <w:jc w:val="center"/>
        <w:rPr>
          <w:sz w:val="72"/>
          <w:szCs w:val="72"/>
        </w:rPr>
      </w:pPr>
    </w:p>
    <w:p w14:paraId="4D4E107E">
      <w:pPr>
        <w:widowControl/>
        <w:jc w:val="center"/>
        <w:rPr>
          <w:sz w:val="72"/>
          <w:szCs w:val="72"/>
        </w:rPr>
      </w:pPr>
      <w:bookmarkStart w:id="1" w:name="_MON_1788632416"/>
      <w:bookmarkEnd w:id="1"/>
      <w:r>
        <w:rPr>
          <w:sz w:val="72"/>
          <w:szCs w:val="72"/>
        </w:rPr>
        <w:object>
          <v:shape id="_x0000_i1033" o:spt="75" type="#_x0000_t75" style="height:154.8pt;width:769.2pt;" o:ole="t" filled="f" o:preferrelative="t" stroked="f" coordsize="21600,21600">
            <v:path/>
            <v:fill on="f" focussize="0,0"/>
            <v:stroke on="f" joinstyle="miter"/>
            <v:imagedata r:id="rId21" o:title=""/>
            <o:lock v:ext="edit" aspectratio="t"/>
            <w10:wrap type="none"/>
            <w10:anchorlock/>
          </v:shape>
          <o:OLEObject Type="Embed" ProgID="Excel.Sheet.12" ShapeID="_x0000_i1033" DrawAspect="Content" ObjectID="_1468075733" r:id="rId20">
            <o:LockedField>false</o:LockedField>
          </o:OLEObject>
        </w:object>
      </w:r>
    </w:p>
    <w:p w14:paraId="7062722A">
      <w:pPr>
        <w:widowControl/>
        <w:jc w:val="center"/>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23D4C6F">
      <w:pPr>
        <w:pStyle w:val="13"/>
        <w:jc w:val="center"/>
        <w:rPr>
          <w:sz w:val="72"/>
          <w:szCs w:val="72"/>
        </w:rPr>
      </w:pPr>
    </w:p>
    <w:p w14:paraId="0648D22C">
      <w:pPr>
        <w:pStyle w:val="13"/>
        <w:jc w:val="center"/>
        <w:rPr>
          <w:sz w:val="72"/>
          <w:szCs w:val="72"/>
        </w:rPr>
      </w:pPr>
    </w:p>
    <w:p w14:paraId="2DCD154D">
      <w:pPr>
        <w:pStyle w:val="13"/>
        <w:jc w:val="center"/>
        <w:rPr>
          <w:sz w:val="72"/>
          <w:szCs w:val="72"/>
        </w:rPr>
      </w:pPr>
    </w:p>
    <w:p w14:paraId="270A55E1">
      <w:pPr>
        <w:pStyle w:val="13"/>
        <w:jc w:val="center"/>
        <w:rPr>
          <w:sz w:val="72"/>
          <w:szCs w:val="72"/>
        </w:rPr>
      </w:pPr>
    </w:p>
    <w:p w14:paraId="2AFD160F">
      <w:pPr>
        <w:pStyle w:val="13"/>
        <w:jc w:val="center"/>
        <w:rPr>
          <w:sz w:val="72"/>
          <w:szCs w:val="72"/>
        </w:rPr>
      </w:pPr>
    </w:p>
    <w:p w14:paraId="7C8BE06F">
      <w:pPr>
        <w:pStyle w:val="13"/>
        <w:jc w:val="center"/>
        <w:rPr>
          <w:rFonts w:hAnsi="黑体" w:cs="方正小标宋_GBK"/>
          <w:sz w:val="52"/>
          <w:szCs w:val="52"/>
        </w:rPr>
      </w:pPr>
      <w:r>
        <w:rPr>
          <w:rFonts w:hint="eastAsia" w:hAnsi="黑体" w:cs="方正小标宋_GBK"/>
          <w:sz w:val="52"/>
          <w:szCs w:val="52"/>
        </w:rPr>
        <w:t>第三部分</w:t>
      </w:r>
    </w:p>
    <w:p w14:paraId="3DA12B50">
      <w:pPr>
        <w:pStyle w:val="13"/>
        <w:jc w:val="center"/>
        <w:rPr>
          <w:rFonts w:hAnsi="黑体" w:cs="方正小标宋_GBK"/>
          <w:sz w:val="52"/>
          <w:szCs w:val="52"/>
        </w:rPr>
      </w:pPr>
    </w:p>
    <w:p w14:paraId="13FAB7C1">
      <w:pPr>
        <w:pStyle w:val="13"/>
        <w:jc w:val="center"/>
        <w:rPr>
          <w:rFonts w:hAnsi="黑体" w:cs="方正小标宋_GBK"/>
          <w:sz w:val="52"/>
          <w:szCs w:val="52"/>
        </w:rPr>
      </w:pPr>
      <w:r>
        <w:rPr>
          <w:rFonts w:hint="eastAsia" w:hAnsi="黑体" w:cs="方正小标宋_GBK"/>
          <w:sz w:val="52"/>
          <w:szCs w:val="52"/>
        </w:rPr>
        <w:t>2023年度部门决算情况说明</w:t>
      </w:r>
    </w:p>
    <w:p w14:paraId="644C2F59">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01AB4BC8">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49EE5658">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2023年度收、支总计</w:t>
      </w:r>
      <w:r>
        <w:rPr>
          <w:rFonts w:ascii="仿宋" w:hAnsi="仿宋" w:eastAsia="仿宋" w:cs="仿宋"/>
          <w:color w:val="auto"/>
          <w:kern w:val="2"/>
          <w:sz w:val="32"/>
          <w:szCs w:val="32"/>
        </w:rPr>
        <w:t>298.47</w:t>
      </w:r>
      <w:r>
        <w:rPr>
          <w:rFonts w:hint="eastAsia" w:ascii="仿宋" w:hAnsi="仿宋" w:eastAsia="仿宋" w:cs="仿宋"/>
          <w:color w:val="auto"/>
          <w:kern w:val="2"/>
          <w:sz w:val="32"/>
          <w:szCs w:val="32"/>
        </w:rPr>
        <w:t>万元。与上年相比，增加1</w:t>
      </w:r>
      <w:r>
        <w:rPr>
          <w:rFonts w:ascii="仿宋" w:hAnsi="仿宋" w:eastAsia="仿宋" w:cs="仿宋"/>
          <w:color w:val="auto"/>
          <w:kern w:val="2"/>
          <w:sz w:val="32"/>
          <w:szCs w:val="32"/>
        </w:rPr>
        <w:t>9.63</w:t>
      </w:r>
      <w:r>
        <w:rPr>
          <w:rFonts w:hint="eastAsia" w:ascii="仿宋" w:hAnsi="仿宋" w:eastAsia="仿宋" w:cs="仿宋"/>
          <w:color w:val="auto"/>
          <w:kern w:val="2"/>
          <w:sz w:val="32"/>
          <w:szCs w:val="32"/>
        </w:rPr>
        <w:t>万元，增长</w:t>
      </w:r>
      <w:r>
        <w:rPr>
          <w:rFonts w:ascii="仿宋" w:hAnsi="仿宋" w:eastAsia="仿宋" w:cs="仿宋"/>
          <w:color w:val="auto"/>
          <w:kern w:val="2"/>
          <w:sz w:val="32"/>
          <w:szCs w:val="32"/>
        </w:rPr>
        <w:t>7.04</w:t>
      </w:r>
      <w:r>
        <w:rPr>
          <w:rFonts w:hint="eastAsia" w:ascii="仿宋" w:hAnsi="仿宋" w:eastAsia="仿宋" w:cs="仿宋"/>
          <w:color w:val="auto"/>
          <w:kern w:val="2"/>
          <w:sz w:val="32"/>
          <w:szCs w:val="32"/>
        </w:rPr>
        <w:t>%，主要是因为项目支出拨款增加。</w:t>
      </w:r>
    </w:p>
    <w:p w14:paraId="58B27FDC">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3D56152E">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2023年度收入合计</w:t>
      </w:r>
      <w:r>
        <w:rPr>
          <w:rFonts w:ascii="仿宋" w:hAnsi="仿宋" w:eastAsia="仿宋" w:cs="仿宋"/>
          <w:color w:val="auto"/>
          <w:kern w:val="2"/>
          <w:sz w:val="32"/>
          <w:szCs w:val="32"/>
        </w:rPr>
        <w:t>298.47</w:t>
      </w:r>
      <w:r>
        <w:rPr>
          <w:rFonts w:hint="eastAsia" w:ascii="仿宋" w:hAnsi="仿宋" w:eastAsia="仿宋" w:cs="仿宋"/>
          <w:color w:val="auto"/>
          <w:kern w:val="2"/>
          <w:sz w:val="32"/>
          <w:szCs w:val="32"/>
        </w:rPr>
        <w:t>万元，其中：财政拨款收入</w:t>
      </w:r>
      <w:r>
        <w:rPr>
          <w:rFonts w:ascii="仿宋" w:hAnsi="仿宋" w:eastAsia="仿宋" w:cs="仿宋"/>
          <w:color w:val="auto"/>
          <w:kern w:val="2"/>
          <w:sz w:val="32"/>
          <w:szCs w:val="32"/>
        </w:rPr>
        <w:t>298.47</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%；上级补助收入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%；事业收入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%；经营收入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%；附属单位上缴收入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%；其他收入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w:t>
      </w:r>
    </w:p>
    <w:p w14:paraId="1D4250F7">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08E15DC0">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2023年度支出合计</w:t>
      </w:r>
      <w:r>
        <w:rPr>
          <w:rFonts w:ascii="仿宋" w:hAnsi="仿宋" w:eastAsia="仿宋" w:cs="仿宋"/>
          <w:color w:val="auto"/>
          <w:kern w:val="2"/>
          <w:sz w:val="32"/>
          <w:szCs w:val="32"/>
        </w:rPr>
        <w:t>298.47</w:t>
      </w:r>
      <w:r>
        <w:rPr>
          <w:rFonts w:hint="eastAsia" w:ascii="仿宋" w:hAnsi="仿宋" w:eastAsia="仿宋" w:cs="仿宋"/>
          <w:color w:val="auto"/>
          <w:kern w:val="2"/>
          <w:sz w:val="32"/>
          <w:szCs w:val="32"/>
        </w:rPr>
        <w:t>万元，其中：基本支出</w:t>
      </w:r>
      <w:r>
        <w:rPr>
          <w:rFonts w:ascii="仿宋" w:hAnsi="仿宋" w:eastAsia="仿宋" w:cs="仿宋"/>
          <w:color w:val="auto"/>
          <w:kern w:val="2"/>
          <w:sz w:val="32"/>
          <w:szCs w:val="32"/>
        </w:rPr>
        <w:t>218.18</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73.10</w:t>
      </w:r>
      <w:r>
        <w:rPr>
          <w:rFonts w:hint="eastAsia" w:ascii="仿宋" w:hAnsi="仿宋" w:eastAsia="仿宋" w:cs="仿宋"/>
          <w:color w:val="auto"/>
          <w:kern w:val="2"/>
          <w:sz w:val="32"/>
          <w:szCs w:val="32"/>
        </w:rPr>
        <w:t>%；项目支出</w:t>
      </w:r>
      <w:r>
        <w:rPr>
          <w:rFonts w:ascii="仿宋" w:hAnsi="仿宋" w:eastAsia="仿宋" w:cs="仿宋"/>
          <w:color w:val="auto"/>
          <w:kern w:val="2"/>
          <w:sz w:val="32"/>
          <w:szCs w:val="32"/>
        </w:rPr>
        <w:t>80.29</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26.90</w:t>
      </w:r>
      <w:r>
        <w:rPr>
          <w:rFonts w:hint="eastAsia" w:ascii="仿宋" w:hAnsi="仿宋" w:eastAsia="仿宋" w:cs="仿宋"/>
          <w:color w:val="auto"/>
          <w:kern w:val="2"/>
          <w:sz w:val="32"/>
          <w:szCs w:val="32"/>
        </w:rPr>
        <w:t>%；上缴上级支出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%；经营支出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%；对附属单位补助支出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w:t>
      </w:r>
    </w:p>
    <w:p w14:paraId="3FAA0386">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7152F83D">
      <w:pPr>
        <w:pStyle w:val="13"/>
        <w:spacing w:line="600" w:lineRule="exact"/>
        <w:ind w:firstLine="640" w:firstLineChars="200"/>
        <w:jc w:val="both"/>
        <w:rPr>
          <w:rFonts w:ascii="仿宋" w:hAnsi="仿宋" w:eastAsia="仿宋" w:cs="仿宋"/>
          <w:color w:val="auto"/>
          <w:kern w:val="2"/>
          <w:sz w:val="32"/>
          <w:szCs w:val="32"/>
        </w:rPr>
      </w:pPr>
      <w:r>
        <w:rPr>
          <w:rFonts w:hint="eastAsia" w:ascii="Times New Roman" w:hAnsi="Times New Roman" w:eastAsia="仿宋_GB2312"/>
          <w:sz w:val="32"/>
          <w:szCs w:val="32"/>
        </w:rPr>
        <w:t xml:space="preserve">   </w:t>
      </w:r>
      <w:r>
        <w:rPr>
          <w:rFonts w:hint="eastAsia" w:ascii="仿宋" w:hAnsi="仿宋" w:eastAsia="仿宋" w:cs="仿宋"/>
          <w:color w:val="auto"/>
          <w:kern w:val="2"/>
          <w:sz w:val="32"/>
          <w:szCs w:val="32"/>
        </w:rPr>
        <w:t xml:space="preserve"> 2023年度财政拨款收、支总计</w:t>
      </w:r>
      <w:r>
        <w:rPr>
          <w:rFonts w:ascii="仿宋" w:hAnsi="仿宋" w:eastAsia="仿宋" w:cs="仿宋"/>
          <w:color w:val="auto"/>
          <w:kern w:val="2"/>
          <w:sz w:val="32"/>
          <w:szCs w:val="32"/>
        </w:rPr>
        <w:t>298.47</w:t>
      </w:r>
      <w:r>
        <w:rPr>
          <w:rFonts w:hint="eastAsia" w:ascii="仿宋" w:hAnsi="仿宋" w:eastAsia="仿宋" w:cs="仿宋"/>
          <w:color w:val="auto"/>
          <w:kern w:val="2"/>
          <w:sz w:val="32"/>
          <w:szCs w:val="32"/>
        </w:rPr>
        <w:t>万元，与上年相比，增加1</w:t>
      </w:r>
      <w:r>
        <w:rPr>
          <w:rFonts w:ascii="仿宋" w:hAnsi="仿宋" w:eastAsia="仿宋" w:cs="仿宋"/>
          <w:color w:val="auto"/>
          <w:kern w:val="2"/>
          <w:sz w:val="32"/>
          <w:szCs w:val="32"/>
        </w:rPr>
        <w:t>9.84</w:t>
      </w:r>
      <w:r>
        <w:rPr>
          <w:rFonts w:hint="eastAsia" w:ascii="仿宋" w:hAnsi="仿宋" w:eastAsia="仿宋" w:cs="仿宋"/>
          <w:color w:val="auto"/>
          <w:kern w:val="2"/>
          <w:sz w:val="32"/>
          <w:szCs w:val="32"/>
        </w:rPr>
        <w:t>万元,增长7</w:t>
      </w:r>
      <w:r>
        <w:rPr>
          <w:rFonts w:ascii="仿宋" w:hAnsi="仿宋" w:eastAsia="仿宋" w:cs="仿宋"/>
          <w:color w:val="auto"/>
          <w:kern w:val="2"/>
          <w:sz w:val="32"/>
          <w:szCs w:val="32"/>
        </w:rPr>
        <w:t>.12</w:t>
      </w:r>
      <w:r>
        <w:rPr>
          <w:rFonts w:hint="eastAsia" w:ascii="仿宋" w:hAnsi="仿宋" w:eastAsia="仿宋" w:cs="仿宋"/>
          <w:color w:val="auto"/>
          <w:kern w:val="2"/>
          <w:sz w:val="32"/>
          <w:szCs w:val="32"/>
        </w:rPr>
        <w:t>%，主要是因为项目支出拨款增加。</w:t>
      </w:r>
    </w:p>
    <w:p w14:paraId="3714B3C0">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6970C005">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0D4A3E08">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2023年度财政拨款支出</w:t>
      </w:r>
      <w:r>
        <w:rPr>
          <w:rFonts w:ascii="仿宋" w:hAnsi="仿宋" w:eastAsia="仿宋" w:cs="仿宋"/>
          <w:color w:val="auto"/>
          <w:kern w:val="2"/>
          <w:sz w:val="32"/>
          <w:szCs w:val="32"/>
        </w:rPr>
        <w:t>271.47</w:t>
      </w:r>
      <w:r>
        <w:rPr>
          <w:rFonts w:hint="eastAsia" w:ascii="仿宋" w:hAnsi="仿宋" w:eastAsia="仿宋" w:cs="仿宋"/>
          <w:color w:val="auto"/>
          <w:kern w:val="2"/>
          <w:sz w:val="32"/>
          <w:szCs w:val="32"/>
        </w:rPr>
        <w:t>万元，占本年支出合计的</w:t>
      </w:r>
      <w:r>
        <w:rPr>
          <w:rFonts w:ascii="仿宋" w:hAnsi="仿宋" w:eastAsia="仿宋" w:cs="仿宋"/>
          <w:color w:val="auto"/>
          <w:kern w:val="2"/>
          <w:sz w:val="32"/>
          <w:szCs w:val="32"/>
        </w:rPr>
        <w:t>90.95</w:t>
      </w:r>
      <w:r>
        <w:rPr>
          <w:rFonts w:hint="eastAsia" w:ascii="仿宋" w:hAnsi="仿宋" w:eastAsia="仿宋" w:cs="仿宋"/>
          <w:color w:val="auto"/>
          <w:kern w:val="2"/>
          <w:sz w:val="32"/>
          <w:szCs w:val="32"/>
        </w:rPr>
        <w:t>%，与上年相比，财政拨款支出减少7</w:t>
      </w:r>
      <w:r>
        <w:rPr>
          <w:rFonts w:ascii="仿宋" w:hAnsi="仿宋" w:eastAsia="仿宋" w:cs="仿宋"/>
          <w:color w:val="auto"/>
          <w:kern w:val="2"/>
          <w:sz w:val="32"/>
          <w:szCs w:val="32"/>
        </w:rPr>
        <w:t>.16</w:t>
      </w:r>
      <w:r>
        <w:rPr>
          <w:rFonts w:hint="eastAsia" w:ascii="仿宋" w:hAnsi="仿宋" w:eastAsia="仿宋" w:cs="仿宋"/>
          <w:color w:val="auto"/>
          <w:kern w:val="2"/>
          <w:sz w:val="32"/>
          <w:szCs w:val="32"/>
        </w:rPr>
        <w:t>万元，减少2</w:t>
      </w:r>
      <w:r>
        <w:rPr>
          <w:rFonts w:ascii="仿宋" w:hAnsi="仿宋" w:eastAsia="仿宋" w:cs="仿宋"/>
          <w:color w:val="auto"/>
          <w:kern w:val="2"/>
          <w:sz w:val="32"/>
          <w:szCs w:val="32"/>
        </w:rPr>
        <w:t>.57</w:t>
      </w:r>
      <w:r>
        <w:rPr>
          <w:rFonts w:hint="eastAsia" w:ascii="仿宋" w:hAnsi="仿宋" w:eastAsia="仿宋" w:cs="仿宋"/>
          <w:color w:val="auto"/>
          <w:kern w:val="2"/>
          <w:sz w:val="32"/>
          <w:szCs w:val="32"/>
        </w:rPr>
        <w:t>%，主要是因为一般公共预算财政拨款项目支出拨款减少。</w:t>
      </w:r>
    </w:p>
    <w:p w14:paraId="40D73F68">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1F426A2">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2023年度财政拨款支出</w:t>
      </w:r>
      <w:r>
        <w:rPr>
          <w:rFonts w:ascii="仿宋" w:hAnsi="仿宋" w:eastAsia="仿宋" w:cs="仿宋"/>
          <w:color w:val="auto"/>
          <w:kern w:val="2"/>
          <w:sz w:val="32"/>
          <w:szCs w:val="32"/>
        </w:rPr>
        <w:t>271.47</w:t>
      </w:r>
      <w:r>
        <w:rPr>
          <w:rFonts w:hint="eastAsia" w:ascii="仿宋" w:hAnsi="仿宋" w:eastAsia="仿宋" w:cs="仿宋"/>
          <w:color w:val="auto"/>
          <w:kern w:val="2"/>
          <w:sz w:val="32"/>
          <w:szCs w:val="32"/>
        </w:rPr>
        <w:t>万元，主要用于以下方面：社会保障和就业（类）支出</w:t>
      </w:r>
      <w:r>
        <w:rPr>
          <w:rFonts w:ascii="仿宋" w:hAnsi="仿宋" w:eastAsia="仿宋" w:cs="仿宋"/>
          <w:color w:val="auto"/>
          <w:kern w:val="2"/>
          <w:sz w:val="32"/>
          <w:szCs w:val="32"/>
        </w:rPr>
        <w:t>41.32</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15.22</w:t>
      </w:r>
      <w:r>
        <w:rPr>
          <w:rFonts w:hint="eastAsia" w:ascii="仿宋" w:hAnsi="仿宋" w:eastAsia="仿宋" w:cs="仿宋"/>
          <w:color w:val="auto"/>
          <w:kern w:val="2"/>
          <w:sz w:val="32"/>
          <w:szCs w:val="32"/>
        </w:rPr>
        <w:t>%；卫生健康（类）支出</w:t>
      </w:r>
      <w:r>
        <w:rPr>
          <w:rFonts w:ascii="仿宋" w:hAnsi="仿宋" w:eastAsia="仿宋" w:cs="仿宋"/>
          <w:color w:val="auto"/>
          <w:kern w:val="2"/>
          <w:sz w:val="32"/>
          <w:szCs w:val="32"/>
        </w:rPr>
        <w:t>8.72</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3.21</w:t>
      </w:r>
      <w:r>
        <w:rPr>
          <w:rFonts w:hint="eastAsia" w:ascii="仿宋" w:hAnsi="仿宋" w:eastAsia="仿宋" w:cs="仿宋"/>
          <w:color w:val="auto"/>
          <w:kern w:val="2"/>
          <w:sz w:val="32"/>
          <w:szCs w:val="32"/>
        </w:rPr>
        <w:t>%;城乡社区（类）支出2</w:t>
      </w:r>
      <w:r>
        <w:rPr>
          <w:rFonts w:ascii="仿宋" w:hAnsi="仿宋" w:eastAsia="仿宋" w:cs="仿宋"/>
          <w:color w:val="auto"/>
          <w:kern w:val="2"/>
          <w:sz w:val="32"/>
          <w:szCs w:val="32"/>
        </w:rPr>
        <w:t>21.43</w:t>
      </w:r>
      <w:r>
        <w:rPr>
          <w:rFonts w:hint="eastAsia" w:ascii="仿宋" w:hAnsi="仿宋" w:eastAsia="仿宋" w:cs="仿宋"/>
          <w:color w:val="auto"/>
          <w:kern w:val="2"/>
          <w:sz w:val="32"/>
          <w:szCs w:val="32"/>
        </w:rPr>
        <w:t>万元，占8</w:t>
      </w:r>
      <w:r>
        <w:rPr>
          <w:rFonts w:ascii="仿宋" w:hAnsi="仿宋" w:eastAsia="仿宋" w:cs="仿宋"/>
          <w:color w:val="auto"/>
          <w:kern w:val="2"/>
          <w:sz w:val="32"/>
          <w:szCs w:val="32"/>
        </w:rPr>
        <w:t>1.57%</w:t>
      </w:r>
      <w:r>
        <w:rPr>
          <w:rFonts w:hint="eastAsia" w:ascii="仿宋" w:hAnsi="仿宋" w:eastAsia="仿宋" w:cs="仿宋"/>
          <w:color w:val="auto"/>
          <w:kern w:val="2"/>
          <w:sz w:val="32"/>
          <w:szCs w:val="32"/>
        </w:rPr>
        <w:t>。</w:t>
      </w:r>
    </w:p>
    <w:p w14:paraId="25E22CA3">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147EE0DC">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2023年度财政拨款支出年初预算数为</w:t>
      </w:r>
      <w:r>
        <w:rPr>
          <w:rFonts w:ascii="仿宋" w:hAnsi="仿宋" w:eastAsia="仿宋" w:cs="仿宋"/>
          <w:color w:val="auto"/>
          <w:kern w:val="2"/>
          <w:sz w:val="32"/>
          <w:szCs w:val="32"/>
        </w:rPr>
        <w:t>232.88</w:t>
      </w:r>
      <w:r>
        <w:rPr>
          <w:rFonts w:hint="eastAsia" w:ascii="仿宋" w:hAnsi="仿宋" w:eastAsia="仿宋" w:cs="仿宋"/>
          <w:color w:val="auto"/>
          <w:kern w:val="2"/>
          <w:sz w:val="32"/>
          <w:szCs w:val="32"/>
        </w:rPr>
        <w:t>万元，支出决算数为</w:t>
      </w:r>
      <w:r>
        <w:rPr>
          <w:rFonts w:ascii="仿宋" w:hAnsi="仿宋" w:eastAsia="仿宋" w:cs="仿宋"/>
          <w:color w:val="auto"/>
          <w:kern w:val="2"/>
          <w:sz w:val="32"/>
          <w:szCs w:val="32"/>
        </w:rPr>
        <w:t>271.47</w:t>
      </w:r>
      <w:r>
        <w:rPr>
          <w:rFonts w:hint="eastAsia" w:ascii="仿宋" w:hAnsi="仿宋" w:eastAsia="仿宋" w:cs="仿宋"/>
          <w:color w:val="auto"/>
          <w:kern w:val="2"/>
          <w:sz w:val="32"/>
          <w:szCs w:val="32"/>
        </w:rPr>
        <w:t>万元，完成年初预算的</w:t>
      </w:r>
      <w:r>
        <w:rPr>
          <w:rFonts w:ascii="仿宋" w:hAnsi="仿宋" w:eastAsia="仿宋" w:cs="仿宋"/>
          <w:color w:val="auto"/>
          <w:kern w:val="2"/>
          <w:sz w:val="32"/>
          <w:szCs w:val="32"/>
        </w:rPr>
        <w:t>116.57</w:t>
      </w:r>
      <w:r>
        <w:rPr>
          <w:rFonts w:hint="eastAsia" w:ascii="仿宋" w:hAnsi="仿宋" w:eastAsia="仿宋" w:cs="仿宋"/>
          <w:color w:val="auto"/>
          <w:kern w:val="2"/>
          <w:sz w:val="32"/>
          <w:szCs w:val="32"/>
        </w:rPr>
        <w:t>%，其中：</w:t>
      </w:r>
    </w:p>
    <w:p w14:paraId="5B2B0194">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1、社会保障和就业支出（类）行政事业单位养老支出（款）事业单位离退休（项）。</w:t>
      </w:r>
    </w:p>
    <w:p w14:paraId="4D0C32A5">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年初预算为1.25万元，支出决算为1.25万元，完成年初预算的100%，决算数等于年初预算数的主要原因是：年初预算精准。</w:t>
      </w:r>
    </w:p>
    <w:p w14:paraId="4115EB82">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2、社会保障和就业支出（类）行政事业单位养老支出（款）机关事业单位基本养老保险缴费支出（项）。</w:t>
      </w:r>
    </w:p>
    <w:p w14:paraId="4C6F1761">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18.46</w:t>
      </w:r>
      <w:r>
        <w:rPr>
          <w:rFonts w:hint="eastAsia" w:ascii="仿宋" w:hAnsi="仿宋" w:eastAsia="仿宋" w:cs="仿宋"/>
          <w:color w:val="auto"/>
          <w:kern w:val="2"/>
          <w:sz w:val="32"/>
          <w:szCs w:val="32"/>
        </w:rPr>
        <w:t>万元，支出决算</w:t>
      </w:r>
      <w:r>
        <w:rPr>
          <w:rFonts w:ascii="仿宋" w:hAnsi="仿宋" w:eastAsia="仿宋" w:cs="仿宋"/>
          <w:color w:val="auto"/>
          <w:kern w:val="2"/>
          <w:sz w:val="32"/>
          <w:szCs w:val="32"/>
        </w:rPr>
        <w:t>21.83</w:t>
      </w:r>
      <w:r>
        <w:rPr>
          <w:rFonts w:hint="eastAsia" w:ascii="仿宋" w:hAnsi="仿宋" w:eastAsia="仿宋" w:cs="仿宋"/>
          <w:color w:val="auto"/>
          <w:kern w:val="2"/>
          <w:sz w:val="32"/>
          <w:szCs w:val="32"/>
        </w:rPr>
        <w:t>万元，完成年初预算的</w:t>
      </w:r>
      <w:r>
        <w:rPr>
          <w:rFonts w:ascii="仿宋" w:hAnsi="仿宋" w:eastAsia="仿宋" w:cs="仿宋"/>
          <w:color w:val="auto"/>
          <w:kern w:val="2"/>
          <w:sz w:val="32"/>
          <w:szCs w:val="32"/>
        </w:rPr>
        <w:t>118.26</w:t>
      </w:r>
      <w:r>
        <w:rPr>
          <w:rFonts w:hint="eastAsia" w:ascii="仿宋" w:hAnsi="仿宋" w:eastAsia="仿宋" w:cs="仿宋"/>
          <w:color w:val="auto"/>
          <w:kern w:val="2"/>
          <w:sz w:val="32"/>
          <w:szCs w:val="32"/>
        </w:rPr>
        <w:t>%，决算数大于年初预算数的主要原因是：</w:t>
      </w:r>
      <w:bookmarkStart w:id="2" w:name="_Hlk177157371"/>
      <w:r>
        <w:rPr>
          <w:rFonts w:hint="eastAsia" w:ascii="仿宋" w:hAnsi="仿宋" w:eastAsia="仿宋" w:cs="仿宋"/>
          <w:color w:val="auto"/>
          <w:kern w:val="2"/>
          <w:sz w:val="32"/>
          <w:szCs w:val="32"/>
        </w:rPr>
        <w:t>年中调整养老保险缴费基础调</w:t>
      </w:r>
      <w:bookmarkEnd w:id="2"/>
      <w:r>
        <w:rPr>
          <w:rFonts w:hint="eastAsia" w:ascii="仿宋" w:hAnsi="仿宋" w:eastAsia="仿宋" w:cs="仿宋"/>
          <w:color w:val="auto"/>
          <w:kern w:val="2"/>
          <w:sz w:val="32"/>
          <w:szCs w:val="32"/>
        </w:rPr>
        <w:t>整。</w:t>
      </w:r>
    </w:p>
    <w:p w14:paraId="2C3416C1">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3、社会保障和就业支出（类）行政事业单位养老支出（款）其他行政事业单位养老支出（项）。</w:t>
      </w:r>
    </w:p>
    <w:p w14:paraId="2FC7CEB7">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19.50</w:t>
      </w:r>
      <w:r>
        <w:rPr>
          <w:rFonts w:hint="eastAsia" w:ascii="仿宋" w:hAnsi="仿宋" w:eastAsia="仿宋" w:cs="仿宋"/>
          <w:color w:val="auto"/>
          <w:kern w:val="2"/>
          <w:sz w:val="32"/>
          <w:szCs w:val="32"/>
        </w:rPr>
        <w:t>元，支出决算</w:t>
      </w:r>
      <w:r>
        <w:rPr>
          <w:rFonts w:ascii="仿宋" w:hAnsi="仿宋" w:eastAsia="仿宋" w:cs="仿宋"/>
          <w:color w:val="auto"/>
          <w:kern w:val="2"/>
          <w:sz w:val="32"/>
          <w:szCs w:val="32"/>
        </w:rPr>
        <w:t>18.24</w:t>
      </w:r>
      <w:r>
        <w:rPr>
          <w:rFonts w:hint="eastAsia" w:ascii="仿宋" w:hAnsi="仿宋" w:eastAsia="仿宋" w:cs="仿宋"/>
          <w:color w:val="auto"/>
          <w:kern w:val="2"/>
          <w:sz w:val="32"/>
          <w:szCs w:val="32"/>
        </w:rPr>
        <w:t>万元，完成年初预算的9</w:t>
      </w:r>
      <w:r>
        <w:rPr>
          <w:rFonts w:ascii="仿宋" w:hAnsi="仿宋" w:eastAsia="仿宋" w:cs="仿宋"/>
          <w:color w:val="auto"/>
          <w:kern w:val="2"/>
          <w:sz w:val="32"/>
          <w:szCs w:val="32"/>
        </w:rPr>
        <w:t>3.54%</w:t>
      </w:r>
      <w:r>
        <w:rPr>
          <w:rFonts w:hint="eastAsia" w:ascii="仿宋" w:hAnsi="仿宋" w:eastAsia="仿宋" w:cs="仿宋"/>
          <w:color w:val="auto"/>
          <w:kern w:val="2"/>
          <w:sz w:val="32"/>
          <w:szCs w:val="32"/>
        </w:rPr>
        <w:t>，决算数小于预算数的原因是：年初预算欠精准。</w:t>
      </w:r>
    </w:p>
    <w:p w14:paraId="58B2B891">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4、卫生健康支出（类）行政事业单位医疗（款）行政单位医疗（项）</w:t>
      </w:r>
    </w:p>
    <w:p w14:paraId="7FA955A4">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7.85</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8.72</w:t>
      </w:r>
      <w:r>
        <w:rPr>
          <w:rFonts w:hint="eastAsia" w:ascii="仿宋" w:hAnsi="仿宋" w:eastAsia="仿宋" w:cs="仿宋"/>
          <w:color w:val="auto"/>
          <w:kern w:val="2"/>
          <w:sz w:val="32"/>
          <w:szCs w:val="32"/>
        </w:rPr>
        <w:t>万元，完成年初预算的1</w:t>
      </w:r>
      <w:r>
        <w:rPr>
          <w:rFonts w:ascii="仿宋" w:hAnsi="仿宋" w:eastAsia="仿宋" w:cs="仿宋"/>
          <w:color w:val="auto"/>
          <w:kern w:val="2"/>
          <w:sz w:val="32"/>
          <w:szCs w:val="32"/>
        </w:rPr>
        <w:t>11.08%</w:t>
      </w:r>
      <w:r>
        <w:rPr>
          <w:rFonts w:hint="eastAsia" w:ascii="仿宋" w:hAnsi="仿宋" w:eastAsia="仿宋" w:cs="仿宋"/>
          <w:color w:val="auto"/>
          <w:kern w:val="2"/>
          <w:sz w:val="32"/>
          <w:szCs w:val="32"/>
        </w:rPr>
        <w:t>，决算数大于年初预算数的主要原因是：年中调整基本医疗保险缴费基数。</w:t>
      </w:r>
    </w:p>
    <w:p w14:paraId="22CD9F81">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5、城乡社区支出（类）城乡社区管理事务（款）行政运行（项）。</w:t>
      </w:r>
    </w:p>
    <w:p w14:paraId="2B98F569">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154.82</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154.47</w:t>
      </w:r>
      <w:r>
        <w:rPr>
          <w:rFonts w:hint="eastAsia" w:ascii="仿宋" w:hAnsi="仿宋" w:eastAsia="仿宋" w:cs="仿宋"/>
          <w:color w:val="auto"/>
          <w:kern w:val="2"/>
          <w:sz w:val="32"/>
          <w:szCs w:val="32"/>
        </w:rPr>
        <w:t>万元，完成年初预算的</w:t>
      </w:r>
      <w:r>
        <w:rPr>
          <w:rFonts w:ascii="仿宋" w:hAnsi="仿宋" w:eastAsia="仿宋" w:cs="仿宋"/>
          <w:color w:val="auto"/>
          <w:kern w:val="2"/>
          <w:sz w:val="32"/>
          <w:szCs w:val="32"/>
        </w:rPr>
        <w:t>99.77%</w:t>
      </w:r>
      <w:r>
        <w:rPr>
          <w:rFonts w:hint="eastAsia" w:ascii="仿宋" w:hAnsi="仿宋" w:eastAsia="仿宋" w:cs="仿宋"/>
          <w:color w:val="auto"/>
          <w:kern w:val="2"/>
          <w:sz w:val="32"/>
          <w:szCs w:val="32"/>
        </w:rPr>
        <w:t>，决算数与年初预算数基本一致，年初预算较精准。</w:t>
      </w:r>
    </w:p>
    <w:p w14:paraId="2972E93A">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6、城乡社区支出（类）城乡社区管理事务（款）其他城乡社区管理事务支出（项）。</w:t>
      </w:r>
    </w:p>
    <w:p w14:paraId="56F7A577">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31</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20</w:t>
      </w:r>
      <w:r>
        <w:rPr>
          <w:rFonts w:hint="eastAsia" w:ascii="仿宋" w:hAnsi="仿宋" w:eastAsia="仿宋" w:cs="仿宋"/>
          <w:color w:val="auto"/>
          <w:kern w:val="2"/>
          <w:sz w:val="32"/>
          <w:szCs w:val="32"/>
        </w:rPr>
        <w:t>万元，完成年初预算的</w:t>
      </w:r>
      <w:r>
        <w:rPr>
          <w:rFonts w:ascii="仿宋" w:hAnsi="仿宋" w:eastAsia="仿宋" w:cs="仿宋"/>
          <w:color w:val="auto"/>
          <w:kern w:val="2"/>
          <w:sz w:val="32"/>
          <w:szCs w:val="32"/>
        </w:rPr>
        <w:t>64.52</w:t>
      </w:r>
      <w:r>
        <w:rPr>
          <w:rFonts w:hint="eastAsia" w:ascii="仿宋" w:hAnsi="仿宋" w:eastAsia="仿宋" w:cs="仿宋"/>
          <w:color w:val="auto"/>
          <w:kern w:val="2"/>
          <w:sz w:val="32"/>
          <w:szCs w:val="32"/>
        </w:rPr>
        <w:t>%，决算数小于预算数的主要原因是：预算欠精准。</w:t>
      </w:r>
    </w:p>
    <w:p w14:paraId="554388A5">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7、城乡社区支出（类）其他城乡社区支出（款）其他城乡社区支出（项）。</w:t>
      </w:r>
    </w:p>
    <w:p w14:paraId="5A60C3D2">
      <w:pPr>
        <w:pStyle w:val="13"/>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46.96</w:t>
      </w:r>
      <w:r>
        <w:rPr>
          <w:rFonts w:hint="eastAsia" w:ascii="仿宋" w:hAnsi="仿宋" w:eastAsia="仿宋" w:cs="仿宋"/>
          <w:color w:val="auto"/>
          <w:kern w:val="2"/>
          <w:sz w:val="32"/>
          <w:szCs w:val="32"/>
        </w:rPr>
        <w:t>万元，财政结转上年未完工项目质保金，年中调整预算。</w:t>
      </w:r>
    </w:p>
    <w:p w14:paraId="046E0C2F">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6ABEB844">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2023年度财政拨款基本支出</w:t>
      </w:r>
      <w:r>
        <w:rPr>
          <w:rFonts w:ascii="仿宋" w:hAnsi="仿宋" w:eastAsia="仿宋" w:cs="仿宋"/>
          <w:color w:val="auto"/>
          <w:kern w:val="2"/>
          <w:sz w:val="32"/>
          <w:szCs w:val="32"/>
        </w:rPr>
        <w:t>218.18</w:t>
      </w:r>
      <w:r>
        <w:rPr>
          <w:rFonts w:hint="eastAsia" w:ascii="仿宋" w:hAnsi="仿宋" w:eastAsia="仿宋" w:cs="仿宋"/>
          <w:color w:val="auto"/>
          <w:kern w:val="2"/>
          <w:sz w:val="32"/>
          <w:szCs w:val="32"/>
        </w:rPr>
        <w:t>万元，其中：</w:t>
      </w:r>
    </w:p>
    <w:p w14:paraId="7198E45F">
      <w:pPr>
        <w:pStyle w:val="13"/>
        <w:spacing w:line="600" w:lineRule="exact"/>
        <w:ind w:firstLine="640" w:firstLineChars="200"/>
        <w:jc w:val="both"/>
        <w:rPr>
          <w:rFonts w:ascii="仿宋" w:hAnsi="仿宋" w:eastAsia="仿宋" w:cs="仿宋"/>
          <w:color w:val="auto"/>
          <w:kern w:val="2"/>
          <w:sz w:val="32"/>
          <w:szCs w:val="32"/>
        </w:rPr>
      </w:pPr>
      <w:r>
        <w:rPr>
          <w:rFonts w:hint="eastAsia" w:ascii="Times New Roman" w:hAnsi="Times New Roman" w:eastAsia="仿宋_GB2312"/>
          <w:b/>
          <w:bCs/>
          <w:sz w:val="32"/>
          <w:szCs w:val="32"/>
        </w:rPr>
        <w:t>人员经费</w:t>
      </w:r>
      <w:r>
        <w:rPr>
          <w:rFonts w:ascii="仿宋" w:hAnsi="仿宋" w:eastAsia="仿宋" w:cs="仿宋"/>
          <w:color w:val="auto"/>
          <w:kern w:val="2"/>
          <w:sz w:val="32"/>
          <w:szCs w:val="32"/>
        </w:rPr>
        <w:t>208.38</w:t>
      </w:r>
      <w:r>
        <w:rPr>
          <w:rFonts w:hint="eastAsia" w:ascii="仿宋" w:hAnsi="仿宋" w:eastAsia="仿宋" w:cs="仿宋"/>
          <w:color w:val="auto"/>
          <w:kern w:val="2"/>
          <w:sz w:val="32"/>
          <w:szCs w:val="32"/>
        </w:rPr>
        <w:t>万元，占基本支出的</w:t>
      </w:r>
      <w:r>
        <w:rPr>
          <w:rFonts w:ascii="仿宋" w:hAnsi="仿宋" w:eastAsia="仿宋" w:cs="仿宋"/>
          <w:color w:val="auto"/>
          <w:kern w:val="2"/>
          <w:sz w:val="32"/>
          <w:szCs w:val="32"/>
        </w:rPr>
        <w:t>95.51</w:t>
      </w:r>
      <w:r>
        <w:rPr>
          <w:rFonts w:hint="eastAsia" w:ascii="仿宋" w:hAnsi="仿宋" w:eastAsia="仿宋" w:cs="仿宋"/>
          <w:color w:val="auto"/>
          <w:kern w:val="2"/>
          <w:sz w:val="32"/>
          <w:szCs w:val="32"/>
        </w:rPr>
        <w:t>%,主要包括基本工资、津贴补贴、奖金、绩效工资、机关事业单位基本养老保险缴费支出、职工基本医疗保险缴费1</w:t>
      </w:r>
      <w:r>
        <w:rPr>
          <w:rFonts w:ascii="仿宋" w:hAnsi="仿宋" w:eastAsia="仿宋" w:cs="仿宋"/>
          <w:color w:val="auto"/>
          <w:kern w:val="2"/>
          <w:sz w:val="32"/>
          <w:szCs w:val="32"/>
        </w:rPr>
        <w:t>2.50</w:t>
      </w:r>
      <w:r>
        <w:rPr>
          <w:rFonts w:hint="eastAsia" w:ascii="仿宋" w:hAnsi="仿宋" w:eastAsia="仿宋" w:cs="仿宋"/>
          <w:color w:val="auto"/>
          <w:kern w:val="2"/>
          <w:sz w:val="32"/>
          <w:szCs w:val="32"/>
        </w:rPr>
        <w:t>万元、其他社会保险缴费2</w:t>
      </w:r>
      <w:r>
        <w:rPr>
          <w:rFonts w:ascii="仿宋" w:hAnsi="仿宋" w:eastAsia="仿宋" w:cs="仿宋"/>
          <w:color w:val="auto"/>
          <w:kern w:val="2"/>
          <w:sz w:val="32"/>
          <w:szCs w:val="32"/>
        </w:rPr>
        <w:t>.28</w:t>
      </w:r>
      <w:r>
        <w:rPr>
          <w:rFonts w:hint="eastAsia" w:ascii="仿宋" w:hAnsi="仿宋" w:eastAsia="仿宋" w:cs="仿宋"/>
          <w:color w:val="auto"/>
          <w:kern w:val="2"/>
          <w:sz w:val="32"/>
          <w:szCs w:val="32"/>
        </w:rPr>
        <w:t>万元、生活补助1</w:t>
      </w:r>
      <w:r>
        <w:rPr>
          <w:rFonts w:ascii="仿宋" w:hAnsi="仿宋" w:eastAsia="仿宋" w:cs="仿宋"/>
          <w:color w:val="auto"/>
          <w:kern w:val="2"/>
          <w:sz w:val="32"/>
          <w:szCs w:val="32"/>
        </w:rPr>
        <w:t>9.01</w:t>
      </w:r>
      <w:r>
        <w:rPr>
          <w:rFonts w:hint="eastAsia" w:ascii="仿宋" w:hAnsi="仿宋" w:eastAsia="仿宋" w:cs="仿宋"/>
          <w:color w:val="auto"/>
          <w:kern w:val="2"/>
          <w:sz w:val="32"/>
          <w:szCs w:val="32"/>
        </w:rPr>
        <w:t xml:space="preserve">万元等。 </w:t>
      </w:r>
      <w:r>
        <w:rPr>
          <w:rFonts w:ascii="Times New Roman" w:hAnsi="Times New Roman" w:eastAsia="仿宋_GB2312"/>
          <w:sz w:val="32"/>
          <w:szCs w:val="32"/>
        </w:rPr>
        <w:t xml:space="preserve">         </w:t>
      </w:r>
      <w:r>
        <w:rPr>
          <w:rFonts w:hint="eastAsia" w:ascii="Times New Roman" w:hAnsi="Times New Roman" w:eastAsia="仿宋_GB2312"/>
          <w:b/>
          <w:bCs/>
          <w:sz w:val="32"/>
          <w:szCs w:val="32"/>
        </w:rPr>
        <w:t>公用经费</w:t>
      </w:r>
      <w:r>
        <w:rPr>
          <w:rFonts w:ascii="仿宋" w:hAnsi="仿宋" w:eastAsia="仿宋" w:cs="仿宋"/>
          <w:color w:val="auto"/>
          <w:kern w:val="2"/>
          <w:sz w:val="32"/>
          <w:szCs w:val="32"/>
        </w:rPr>
        <w:t>9.80</w:t>
      </w:r>
      <w:r>
        <w:rPr>
          <w:rFonts w:hint="eastAsia" w:ascii="仿宋" w:hAnsi="仿宋" w:eastAsia="仿宋" w:cs="仿宋"/>
          <w:color w:val="auto"/>
          <w:kern w:val="2"/>
          <w:sz w:val="32"/>
          <w:szCs w:val="32"/>
        </w:rPr>
        <w:t>万元，占基本支出的</w:t>
      </w:r>
      <w:r>
        <w:rPr>
          <w:rFonts w:ascii="仿宋" w:hAnsi="仿宋" w:eastAsia="仿宋" w:cs="仿宋"/>
          <w:color w:val="auto"/>
          <w:kern w:val="2"/>
          <w:sz w:val="32"/>
          <w:szCs w:val="32"/>
        </w:rPr>
        <w:t>4.49</w:t>
      </w:r>
      <w:r>
        <w:rPr>
          <w:rFonts w:hint="eastAsia" w:ascii="仿宋" w:hAnsi="仿宋" w:eastAsia="仿宋" w:cs="仿宋"/>
          <w:color w:val="auto"/>
          <w:kern w:val="2"/>
          <w:sz w:val="32"/>
          <w:szCs w:val="32"/>
        </w:rPr>
        <w:t>%，主要包括办公费、电费、维修（护）费、委托业务费、工会经费、福利费、其他商品和服务支出。</w:t>
      </w:r>
    </w:p>
    <w:p w14:paraId="7EADDFBB">
      <w:pPr>
        <w:pStyle w:val="13"/>
        <w:spacing w:line="600" w:lineRule="exact"/>
        <w:ind w:firstLine="640" w:firstLineChars="200"/>
        <w:rPr>
          <w:rFonts w:hAnsi="黑体"/>
          <w:bCs/>
          <w:sz w:val="32"/>
          <w:szCs w:val="32"/>
        </w:rPr>
      </w:pPr>
      <w:r>
        <w:rPr>
          <w:rFonts w:hint="eastAsia" w:hAnsi="黑体"/>
          <w:bCs/>
          <w:sz w:val="32"/>
          <w:szCs w:val="32"/>
        </w:rPr>
        <w:t>七、财政拨款三公经费支出决算情况说明</w:t>
      </w:r>
    </w:p>
    <w:p w14:paraId="61D2C674">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416967B9">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“三公”经费财政拨款支出预算为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%，决算数等于预算数的主要原因是严格控制“三公经费”支出，</w:t>
      </w:r>
      <w:bookmarkStart w:id="3" w:name="_Hlk177158709"/>
      <w:r>
        <w:rPr>
          <w:rFonts w:hint="eastAsia" w:ascii="仿宋" w:hAnsi="仿宋" w:eastAsia="仿宋" w:cs="仿宋"/>
          <w:color w:val="auto"/>
          <w:kern w:val="2"/>
          <w:sz w:val="32"/>
          <w:szCs w:val="32"/>
        </w:rPr>
        <w:t>厉行节约</w:t>
      </w:r>
      <w:bookmarkEnd w:id="3"/>
      <w:r>
        <w:rPr>
          <w:rFonts w:hint="eastAsia" w:ascii="仿宋" w:hAnsi="仿宋" w:eastAsia="仿宋" w:cs="仿宋"/>
          <w:color w:val="auto"/>
          <w:kern w:val="2"/>
          <w:sz w:val="32"/>
          <w:szCs w:val="32"/>
        </w:rPr>
        <w:t>。其中：</w:t>
      </w:r>
    </w:p>
    <w:p w14:paraId="2CE77433">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因公出国（境）费支出预算为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%，决算数等于预算数的主要原因是单位厉行节约。</w:t>
      </w:r>
    </w:p>
    <w:p w14:paraId="5C8BE318">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公务接待费支出预算为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%，决算数等于预算数的主要原因是厉行节约、杜绝餐桌上的浪费。与上年一样，公务接待费支出与上年一样，都为0万元。</w:t>
      </w:r>
    </w:p>
    <w:p w14:paraId="2FE3C6A8">
      <w:pPr>
        <w:pStyle w:val="13"/>
        <w:spacing w:line="600" w:lineRule="exact"/>
        <w:ind w:firstLine="800" w:firstLineChars="250"/>
        <w:rPr>
          <w:rFonts w:ascii="仿宋" w:hAnsi="仿宋" w:eastAsia="仿宋" w:cs="仿宋"/>
          <w:color w:val="auto"/>
          <w:kern w:val="2"/>
          <w:sz w:val="32"/>
          <w:szCs w:val="32"/>
        </w:rPr>
      </w:pPr>
      <w:bookmarkStart w:id="4" w:name="_Hlk177158897"/>
      <w:r>
        <w:rPr>
          <w:rFonts w:hint="eastAsia" w:ascii="仿宋" w:hAnsi="仿宋" w:eastAsia="仿宋" w:cs="仿宋"/>
          <w:color w:val="auto"/>
          <w:kern w:val="2"/>
          <w:sz w:val="32"/>
          <w:szCs w:val="32"/>
        </w:rPr>
        <w:t>公务用车购置费支出</w:t>
      </w:r>
      <w:bookmarkEnd w:id="4"/>
      <w:r>
        <w:rPr>
          <w:rFonts w:hint="eastAsia" w:ascii="仿宋" w:hAnsi="仿宋" w:eastAsia="仿宋" w:cs="仿宋"/>
          <w:color w:val="auto"/>
          <w:kern w:val="2"/>
          <w:sz w:val="32"/>
          <w:szCs w:val="32"/>
        </w:rPr>
        <w:t>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%，决算数等于预算数的主要原因是单位无公务用车购置需求，</w:t>
      </w:r>
      <w:bookmarkStart w:id="5" w:name="_Hlk177159028"/>
      <w:r>
        <w:rPr>
          <w:rFonts w:hint="eastAsia" w:ascii="仿宋" w:hAnsi="仿宋" w:eastAsia="仿宋" w:cs="仿宋"/>
          <w:color w:val="auto"/>
          <w:kern w:val="2"/>
          <w:sz w:val="32"/>
          <w:szCs w:val="32"/>
        </w:rPr>
        <w:t>与上年一样</w:t>
      </w:r>
      <w:bookmarkEnd w:id="5"/>
      <w:r>
        <w:rPr>
          <w:rFonts w:hint="eastAsia" w:ascii="仿宋" w:hAnsi="仿宋" w:eastAsia="仿宋" w:cs="仿宋"/>
          <w:color w:val="auto"/>
          <w:kern w:val="2"/>
          <w:sz w:val="32"/>
          <w:szCs w:val="32"/>
        </w:rPr>
        <w:t>，公务用车购置费支出都为0万元。</w:t>
      </w:r>
    </w:p>
    <w:p w14:paraId="57A50ECA">
      <w:pPr>
        <w:pStyle w:val="13"/>
        <w:spacing w:line="600" w:lineRule="exact"/>
        <w:ind w:firstLine="800" w:firstLineChars="250"/>
        <w:rPr>
          <w:rFonts w:ascii="仿宋" w:hAnsi="仿宋" w:eastAsia="仿宋" w:cs="仿宋"/>
          <w:color w:val="auto"/>
          <w:kern w:val="2"/>
          <w:sz w:val="32"/>
          <w:szCs w:val="32"/>
        </w:rPr>
      </w:pPr>
      <w:bookmarkStart w:id="6" w:name="_Hlk177159044"/>
      <w:r>
        <w:rPr>
          <w:rFonts w:hint="eastAsia" w:ascii="仿宋" w:hAnsi="仿宋" w:eastAsia="仿宋" w:cs="仿宋"/>
          <w:color w:val="auto"/>
          <w:kern w:val="2"/>
          <w:sz w:val="32"/>
          <w:szCs w:val="32"/>
        </w:rPr>
        <w:t>公务用车运行维护费支出</w:t>
      </w:r>
      <w:bookmarkEnd w:id="6"/>
      <w:r>
        <w:rPr>
          <w:rFonts w:hint="eastAsia" w:ascii="仿宋" w:hAnsi="仿宋" w:eastAsia="仿宋" w:cs="仿宋"/>
          <w:color w:val="auto"/>
          <w:kern w:val="2"/>
          <w:sz w:val="32"/>
          <w:szCs w:val="32"/>
        </w:rPr>
        <w:t>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w:t>
      </w:r>
      <w:r>
        <w:rPr>
          <w:rFonts w:ascii="仿宋" w:hAnsi="仿宋" w:eastAsia="仿宋" w:cs="仿宋"/>
          <w:color w:val="auto"/>
          <w:kern w:val="2"/>
          <w:sz w:val="32"/>
          <w:szCs w:val="32"/>
        </w:rPr>
        <w:t>等于预</w:t>
      </w:r>
      <w:r>
        <w:rPr>
          <w:rFonts w:hint="eastAsia" w:ascii="仿宋" w:hAnsi="仿宋" w:eastAsia="仿宋" w:cs="仿宋"/>
          <w:color w:val="auto"/>
          <w:kern w:val="2"/>
          <w:sz w:val="32"/>
          <w:szCs w:val="32"/>
        </w:rPr>
        <w:t>算数的主要原因是单位已无公务车辆，与上年一样，公务用车运行维护费支出都为0万元。</w:t>
      </w:r>
    </w:p>
    <w:p w14:paraId="3F54B6BD">
      <w:pPr>
        <w:pStyle w:val="13"/>
        <w:spacing w:line="600" w:lineRule="exact"/>
        <w:ind w:firstLine="800" w:firstLineChars="25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235ADA0B">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2023年度“三公”经费财政拨款支出决算中，公务接待费支出决算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%,因公出国（境）费支出决算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%,公务用车购置费及运行维护费支出决算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%。其中：</w:t>
      </w:r>
    </w:p>
    <w:p w14:paraId="1AC74D2A">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1、因公出国（境）费支出决算为0万元，全年安排因公出国（境）团组0个，累计0人次。</w:t>
      </w:r>
    </w:p>
    <w:p w14:paraId="16DDF556">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2、公务接待费支出决算为0万元，全年共接待来访团组0个、来宾0人次。</w:t>
      </w:r>
    </w:p>
    <w:p w14:paraId="6187F26E">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3、公务用车购置费及运行维护费支出决算为0万元，其中：公务用车购置费0万元。公务用车运行维护费0万元，截止202</w:t>
      </w:r>
      <w:r>
        <w:rPr>
          <w:rFonts w:ascii="仿宋" w:hAnsi="仿宋" w:eastAsia="仿宋" w:cs="仿宋"/>
          <w:color w:val="auto"/>
          <w:kern w:val="2"/>
          <w:sz w:val="32"/>
          <w:szCs w:val="32"/>
        </w:rPr>
        <w:t>3</w:t>
      </w:r>
      <w:r>
        <w:rPr>
          <w:rFonts w:hint="eastAsia" w:ascii="仿宋" w:hAnsi="仿宋" w:eastAsia="仿宋" w:cs="仿宋"/>
          <w:color w:val="auto"/>
          <w:kern w:val="2"/>
          <w:sz w:val="32"/>
          <w:szCs w:val="32"/>
        </w:rPr>
        <w:t>年12月31日，我单位开支财政拨款的公务用车保有量为0辆。</w:t>
      </w:r>
    </w:p>
    <w:p w14:paraId="5AB0AAF3">
      <w:pPr>
        <w:pStyle w:val="13"/>
        <w:spacing w:line="600" w:lineRule="exact"/>
        <w:ind w:firstLine="640" w:firstLineChars="200"/>
        <w:rPr>
          <w:rFonts w:hAnsi="黑体"/>
          <w:bCs/>
          <w:sz w:val="32"/>
          <w:szCs w:val="32"/>
        </w:rPr>
      </w:pPr>
      <w:r>
        <w:rPr>
          <w:rFonts w:hint="eastAsia" w:hAnsi="黑体"/>
          <w:bCs/>
          <w:sz w:val="32"/>
          <w:szCs w:val="32"/>
        </w:rPr>
        <w:t>八、</w:t>
      </w:r>
      <w:bookmarkStart w:id="7" w:name="_Hlk178020085"/>
      <w:r>
        <w:rPr>
          <w:rFonts w:hint="eastAsia" w:hAnsi="黑体"/>
          <w:bCs/>
          <w:sz w:val="32"/>
          <w:szCs w:val="32"/>
        </w:rPr>
        <w:t>政府性基金预算收入支出决算情况</w:t>
      </w:r>
    </w:p>
    <w:bookmarkEnd w:id="7"/>
    <w:p w14:paraId="0F0C9333">
      <w:pPr>
        <w:pStyle w:val="13"/>
        <w:spacing w:line="600" w:lineRule="exact"/>
        <w:ind w:firstLine="800" w:firstLineChars="250"/>
        <w:jc w:val="both"/>
        <w:rPr>
          <w:rFonts w:ascii="仿宋" w:hAnsi="仿宋" w:eastAsia="仿宋" w:cs="仿宋"/>
          <w:color w:val="auto"/>
          <w:kern w:val="2"/>
          <w:sz w:val="32"/>
          <w:szCs w:val="32"/>
        </w:rPr>
      </w:pPr>
      <w:r>
        <w:rPr>
          <w:rFonts w:hint="eastAsia" w:ascii="Times New Roman" w:hAnsi="Times New Roman" w:eastAsia="仿宋_GB2312"/>
          <w:sz w:val="32"/>
          <w:szCs w:val="32"/>
        </w:rPr>
        <w:t xml:space="preserve"> </w:t>
      </w:r>
      <w:bookmarkStart w:id="8" w:name="_Hlk178020128"/>
      <w:r>
        <w:rPr>
          <w:rFonts w:hint="eastAsia" w:ascii="仿宋" w:hAnsi="仿宋" w:eastAsia="仿宋" w:cs="仿宋"/>
          <w:color w:val="auto"/>
          <w:kern w:val="2"/>
          <w:sz w:val="32"/>
          <w:szCs w:val="32"/>
        </w:rPr>
        <w:t>2023年度政府性基金预算财政拨款收入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万元；年初结转和结余万元；支出</w:t>
      </w:r>
      <w:r>
        <w:rPr>
          <w:rFonts w:ascii="仿宋" w:hAnsi="仿宋" w:eastAsia="仿宋" w:cs="仿宋"/>
          <w:color w:val="auto"/>
          <w:kern w:val="2"/>
          <w:sz w:val="32"/>
          <w:szCs w:val="32"/>
        </w:rPr>
        <w:t>27</w:t>
      </w:r>
      <w:r>
        <w:rPr>
          <w:rFonts w:hint="eastAsia" w:ascii="仿宋" w:hAnsi="仿宋" w:eastAsia="仿宋" w:cs="仿宋"/>
          <w:color w:val="auto"/>
          <w:kern w:val="2"/>
          <w:sz w:val="32"/>
          <w:szCs w:val="32"/>
        </w:rPr>
        <w:t>万元</w:t>
      </w:r>
      <w:bookmarkStart w:id="9" w:name="_GoBack"/>
      <w:bookmarkEnd w:id="9"/>
      <w:r>
        <w:rPr>
          <w:rFonts w:hint="eastAsia" w:ascii="仿宋" w:hAnsi="仿宋" w:eastAsia="仿宋" w:cs="仿宋"/>
          <w:color w:val="auto"/>
          <w:kern w:val="2"/>
          <w:sz w:val="32"/>
          <w:szCs w:val="32"/>
        </w:rPr>
        <w:t>，其中基本支出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万元，项目支出</w:t>
      </w:r>
      <w:r>
        <w:rPr>
          <w:rFonts w:ascii="仿宋" w:hAnsi="仿宋" w:eastAsia="仿宋" w:cs="仿宋"/>
          <w:color w:val="auto"/>
          <w:kern w:val="2"/>
          <w:sz w:val="32"/>
          <w:szCs w:val="32"/>
        </w:rPr>
        <w:t>27</w:t>
      </w:r>
      <w:r>
        <w:rPr>
          <w:rFonts w:hint="eastAsia" w:ascii="仿宋" w:hAnsi="仿宋" w:eastAsia="仿宋" w:cs="仿宋"/>
          <w:color w:val="auto"/>
          <w:kern w:val="2"/>
          <w:sz w:val="32"/>
          <w:szCs w:val="32"/>
        </w:rPr>
        <w:t>万元；年末结转和结余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w:t>
      </w:r>
      <w:bookmarkEnd w:id="8"/>
      <w:r>
        <w:rPr>
          <w:rFonts w:hint="eastAsia" w:ascii="仿宋" w:hAnsi="仿宋" w:eastAsia="仿宋" w:cs="仿宋"/>
          <w:color w:val="auto"/>
          <w:kern w:val="2"/>
          <w:sz w:val="32"/>
          <w:szCs w:val="32"/>
        </w:rPr>
        <w:t>具体情况如下：</w:t>
      </w:r>
    </w:p>
    <w:p w14:paraId="67B15E41">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1、城乡社区支出（类）城市基础设施配套费安排的支出（款）其他城市基础设施配套费安排的支出（项）。</w:t>
      </w:r>
    </w:p>
    <w:p w14:paraId="431B3004">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27</w:t>
      </w:r>
      <w:r>
        <w:rPr>
          <w:rFonts w:hint="eastAsia" w:ascii="仿宋" w:hAnsi="仿宋" w:eastAsia="仿宋" w:cs="仿宋"/>
          <w:color w:val="auto"/>
          <w:kern w:val="2"/>
          <w:sz w:val="32"/>
          <w:szCs w:val="32"/>
        </w:rPr>
        <w:t>万元，年初预算为0，无法计算预算完成率，决算数大于年初预算数的主要原因是：年中调整预算。</w:t>
      </w:r>
    </w:p>
    <w:p w14:paraId="65B1C897">
      <w:pPr>
        <w:pStyle w:val="13"/>
        <w:spacing w:line="600" w:lineRule="exact"/>
        <w:ind w:firstLine="640" w:firstLineChars="200"/>
        <w:rPr>
          <w:rFonts w:hAnsi="黑体"/>
          <w:bCs/>
          <w:sz w:val="32"/>
          <w:szCs w:val="32"/>
        </w:rPr>
      </w:pPr>
      <w:r>
        <w:rPr>
          <w:rFonts w:hint="eastAsia" w:hAnsi="黑体"/>
          <w:bCs/>
          <w:sz w:val="32"/>
          <w:szCs w:val="32"/>
        </w:rPr>
        <w:t>九、国有资本经营预算收入支出决算情况</w:t>
      </w:r>
    </w:p>
    <w:p w14:paraId="28A24256">
      <w:pPr>
        <w:pStyle w:val="13"/>
        <w:spacing w:line="600" w:lineRule="exact"/>
        <w:ind w:firstLine="800" w:firstLineChars="250"/>
        <w:jc w:val="both"/>
        <w:rPr>
          <w:rFonts w:hAnsi="黑体"/>
          <w:bCs/>
          <w:color w:val="auto"/>
          <w:sz w:val="32"/>
          <w:szCs w:val="32"/>
        </w:rPr>
      </w:pPr>
      <w:r>
        <w:rPr>
          <w:rFonts w:hint="eastAsia" w:ascii="仿宋" w:hAnsi="仿宋" w:eastAsia="仿宋" w:cs="仿宋"/>
          <w:color w:val="auto"/>
          <w:kern w:val="2"/>
          <w:sz w:val="32"/>
          <w:szCs w:val="32"/>
        </w:rPr>
        <w:t>2023年度国有资本经营预算财政拨款收入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万元；年初结转和结余万元；支出</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万元，其中基本支出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万元，项目支出</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万元；年末结转和结余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w:t>
      </w:r>
    </w:p>
    <w:p w14:paraId="25734FB8">
      <w:pPr>
        <w:pStyle w:val="13"/>
        <w:spacing w:line="600" w:lineRule="exact"/>
        <w:ind w:firstLine="640" w:firstLineChars="200"/>
        <w:jc w:val="both"/>
        <w:rPr>
          <w:rFonts w:hAnsi="黑体"/>
          <w:bCs/>
          <w:sz w:val="32"/>
          <w:szCs w:val="32"/>
        </w:rPr>
      </w:pPr>
      <w:r>
        <w:rPr>
          <w:rFonts w:hint="eastAsia" w:hAnsi="黑体"/>
          <w:bCs/>
          <w:sz w:val="32"/>
          <w:szCs w:val="32"/>
        </w:rPr>
        <w:t>十、关于机关运行经费支出说明</w:t>
      </w:r>
    </w:p>
    <w:p w14:paraId="3BCB9AD9">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本部门2023年度机关运行经费支出</w:t>
      </w:r>
      <w:r>
        <w:rPr>
          <w:rFonts w:ascii="仿宋" w:hAnsi="仿宋" w:eastAsia="仿宋" w:cs="仿宋"/>
          <w:color w:val="auto"/>
          <w:kern w:val="2"/>
          <w:sz w:val="32"/>
          <w:szCs w:val="32"/>
        </w:rPr>
        <w:t>9.80</w:t>
      </w:r>
      <w:r>
        <w:rPr>
          <w:rFonts w:hint="eastAsia" w:ascii="仿宋" w:hAnsi="仿宋" w:eastAsia="仿宋" w:cs="仿宋"/>
          <w:color w:val="auto"/>
          <w:kern w:val="2"/>
          <w:sz w:val="32"/>
          <w:szCs w:val="32"/>
        </w:rPr>
        <w:t>万元，比上年决算数减少</w:t>
      </w:r>
      <w:r>
        <w:rPr>
          <w:rFonts w:ascii="仿宋" w:hAnsi="仿宋" w:eastAsia="仿宋" w:cs="仿宋"/>
          <w:color w:val="auto"/>
          <w:kern w:val="2"/>
          <w:sz w:val="32"/>
          <w:szCs w:val="32"/>
        </w:rPr>
        <w:t>3.44</w:t>
      </w:r>
      <w:r>
        <w:rPr>
          <w:rFonts w:hint="eastAsia" w:ascii="仿宋" w:hAnsi="仿宋" w:eastAsia="仿宋" w:cs="仿宋"/>
          <w:color w:val="auto"/>
          <w:kern w:val="2"/>
          <w:sz w:val="32"/>
          <w:szCs w:val="32"/>
        </w:rPr>
        <w:t xml:space="preserve"> 万元，降低2</w:t>
      </w:r>
      <w:r>
        <w:rPr>
          <w:rFonts w:ascii="仿宋" w:hAnsi="仿宋" w:eastAsia="仿宋" w:cs="仿宋"/>
          <w:color w:val="auto"/>
          <w:kern w:val="2"/>
          <w:sz w:val="32"/>
          <w:szCs w:val="32"/>
        </w:rPr>
        <w:t>5.98</w:t>
      </w:r>
      <w:r>
        <w:rPr>
          <w:rFonts w:hint="eastAsia" w:ascii="仿宋" w:hAnsi="仿宋" w:eastAsia="仿宋" w:cs="仿宋"/>
          <w:color w:val="auto"/>
          <w:kern w:val="2"/>
          <w:sz w:val="32"/>
          <w:szCs w:val="32"/>
        </w:rPr>
        <w:t>%。主要原因是：单位占用了公用经费支付工伤、失业保险、生育保险等。</w:t>
      </w:r>
    </w:p>
    <w:p w14:paraId="1753E692">
      <w:pPr>
        <w:pStyle w:val="13"/>
        <w:spacing w:line="600" w:lineRule="exact"/>
        <w:ind w:firstLine="640" w:firstLineChars="200"/>
        <w:rPr>
          <w:rFonts w:hAnsi="黑体"/>
          <w:bCs/>
          <w:sz w:val="32"/>
          <w:szCs w:val="32"/>
        </w:rPr>
      </w:pPr>
      <w:r>
        <w:rPr>
          <w:rFonts w:hint="eastAsia" w:hAnsi="黑体"/>
          <w:bCs/>
          <w:sz w:val="32"/>
          <w:szCs w:val="32"/>
        </w:rPr>
        <w:t>十一、一般性支出情况说明</w:t>
      </w:r>
    </w:p>
    <w:p w14:paraId="183766EF">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w:t>
      </w:r>
      <w:r>
        <w:rPr>
          <w:rFonts w:ascii="仿宋" w:hAnsi="仿宋" w:eastAsia="仿宋" w:cs="仿宋"/>
          <w:color w:val="auto"/>
          <w:kern w:val="2"/>
          <w:sz w:val="32"/>
          <w:szCs w:val="32"/>
        </w:rPr>
        <w:t>3</w:t>
      </w:r>
      <w:r>
        <w:rPr>
          <w:rFonts w:hint="eastAsia" w:ascii="仿宋" w:hAnsi="仿宋" w:eastAsia="仿宋" w:cs="仿宋"/>
          <w:color w:val="auto"/>
          <w:kern w:val="2"/>
          <w:sz w:val="32"/>
          <w:szCs w:val="32"/>
        </w:rPr>
        <w:t>年本部门会议费预算0万元，实际开支会议费0万元，培训费预算为0万元，开支培训费0万元。单位未开展节庆、晚会、论谈、赛事活动。</w:t>
      </w:r>
    </w:p>
    <w:p w14:paraId="6215F139">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十二、关于政府采购支出说明</w:t>
      </w:r>
    </w:p>
    <w:p w14:paraId="3D8DF7DC">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本部门2023年度政府采购支出总额</w:t>
      </w:r>
      <w:r>
        <w:rPr>
          <w:rFonts w:ascii="仿宋" w:hAnsi="仿宋" w:eastAsia="仿宋" w:cs="仿宋"/>
          <w:color w:val="auto"/>
          <w:kern w:val="2"/>
          <w:sz w:val="32"/>
          <w:szCs w:val="32"/>
        </w:rPr>
        <w:t>33.29</w:t>
      </w:r>
      <w:r>
        <w:rPr>
          <w:rFonts w:hint="eastAsia" w:ascii="仿宋" w:hAnsi="仿宋" w:eastAsia="仿宋" w:cs="仿宋"/>
          <w:color w:val="auto"/>
          <w:kern w:val="2"/>
          <w:sz w:val="32"/>
          <w:szCs w:val="32"/>
        </w:rPr>
        <w:t>万元，其中：政府采购货物支出</w:t>
      </w:r>
      <w:r>
        <w:rPr>
          <w:rFonts w:ascii="仿宋" w:hAnsi="仿宋" w:eastAsia="仿宋" w:cs="仿宋"/>
          <w:color w:val="auto"/>
          <w:kern w:val="2"/>
          <w:sz w:val="32"/>
          <w:szCs w:val="32"/>
        </w:rPr>
        <w:t>33.29</w:t>
      </w:r>
      <w:r>
        <w:rPr>
          <w:rFonts w:hint="eastAsia" w:ascii="仿宋" w:hAnsi="仿宋" w:eastAsia="仿宋" w:cs="仿宋"/>
          <w:color w:val="auto"/>
          <w:kern w:val="2"/>
          <w:sz w:val="32"/>
          <w:szCs w:val="32"/>
        </w:rPr>
        <w:t>万元、政府采购工程支出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万元、政府采购服务支出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万元。授予中小企业合同金额</w:t>
      </w:r>
      <w:r>
        <w:rPr>
          <w:rFonts w:ascii="仿宋" w:hAnsi="仿宋" w:eastAsia="仿宋" w:cs="仿宋"/>
          <w:color w:val="auto"/>
          <w:kern w:val="2"/>
          <w:sz w:val="32"/>
          <w:szCs w:val="32"/>
        </w:rPr>
        <w:t>33.29</w:t>
      </w:r>
      <w:r>
        <w:rPr>
          <w:rFonts w:hint="eastAsia" w:ascii="仿宋" w:hAnsi="仿宋" w:eastAsia="仿宋" w:cs="仿宋"/>
          <w:color w:val="auto"/>
          <w:kern w:val="2"/>
          <w:sz w:val="32"/>
          <w:szCs w:val="32"/>
        </w:rPr>
        <w:t>万元，占政府采购支出总额的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%，其中：授予小微企业合同金额</w:t>
      </w:r>
      <w:r>
        <w:rPr>
          <w:rFonts w:ascii="仿宋" w:hAnsi="仿宋" w:eastAsia="仿宋" w:cs="仿宋"/>
          <w:color w:val="auto"/>
          <w:kern w:val="2"/>
          <w:sz w:val="32"/>
          <w:szCs w:val="32"/>
        </w:rPr>
        <w:t>33.29</w:t>
      </w:r>
      <w:r>
        <w:rPr>
          <w:rFonts w:hint="eastAsia" w:ascii="仿宋" w:hAnsi="仿宋" w:eastAsia="仿宋" w:cs="仿宋"/>
          <w:color w:val="auto"/>
          <w:kern w:val="2"/>
          <w:sz w:val="32"/>
          <w:szCs w:val="32"/>
        </w:rPr>
        <w:t>万元，占授予中小企业合同金额的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%。货物采购授予中小企业合同金额占货物支出金额的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%，工程采购授予中小企业合同金额占工程支出金额的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%，服务采购授予中小企业合同金额占服务支出金额的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w:t>
      </w:r>
    </w:p>
    <w:p w14:paraId="726348D7">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57E4598D">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截至2023年12月31日，部门（单位）共有车辆</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辆，其中，副部（省）级及以上领导用车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辆、主要负责人用车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辆、机要通信用车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辆、应急保障用车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辆、执法执勤用车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辆、特种专业技术用车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辆、离退休干部服务用车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辆、其他用车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辆，单位价值100万元以上设备（不含车辆）</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台（套）。</w:t>
      </w:r>
    </w:p>
    <w:p w14:paraId="2A1447D8">
      <w:pPr>
        <w:pStyle w:val="13"/>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077EEF5C">
      <w:pPr>
        <w:pStyle w:val="13"/>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792D4734">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我单位按照市级部门预决算编制通知和有关要求，按时完成预决算编制工作，并及时在网上进行预决算公开。部门整体绩效目标编制完整、合理，项目绩效目标编制明确、量化。按要求严格预算执行管理，及时足额将专项资金拨付。严格执行“三公经费”预算，按要求及时公开预算、决算、绩效等信息。按要求及时、准确、全面开展资产清查工作，上报国有资产报表数据真实性、准确性、全面性。内部控制制度健全完整并执行良好，在本年度内未出现廉政风险。2023年，我单位深入学习贯彻党的二十大精神，扎实开展学习贯彻习近平新时代中国特色社会主义思想主题教育，深刻领会“两个确立”决定性意义，做到“两个维护”，扎实抓好城建档案各项工作，结合上级优化营商环境的要求，我单位不断优化办事流程、主动创新服务方式，不断提高城建档案工作水平和服务效能。</w:t>
      </w:r>
    </w:p>
    <w:p w14:paraId="1E237AD9">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02B21C6D">
      <w:pPr>
        <w:pStyle w:val="13"/>
        <w:spacing w:line="600" w:lineRule="exact"/>
        <w:ind w:firstLine="800" w:firstLineChars="250"/>
        <w:jc w:val="both"/>
        <w:rPr>
          <w:rFonts w:ascii="仿宋" w:hAnsi="仿宋" w:eastAsia="仿宋" w:cs="仿宋"/>
          <w:color w:val="auto"/>
          <w:kern w:val="2"/>
          <w:sz w:val="32"/>
          <w:szCs w:val="32"/>
        </w:rPr>
      </w:pPr>
      <w:r>
        <w:rPr>
          <w:rFonts w:hint="eastAsia" w:ascii="Times New Roman" w:hAnsi="Times New Roman" w:eastAsia="仿宋_GB2312"/>
          <w:sz w:val="32"/>
          <w:szCs w:val="32"/>
        </w:rPr>
        <w:t>20</w:t>
      </w:r>
      <w:r>
        <w:rPr>
          <w:rFonts w:hint="eastAsia" w:ascii="仿宋" w:hAnsi="仿宋" w:eastAsia="仿宋" w:cs="仿宋"/>
          <w:color w:val="auto"/>
          <w:kern w:val="2"/>
          <w:sz w:val="32"/>
          <w:szCs w:val="32"/>
        </w:rPr>
        <w:t>23年，在市住建局的正确领导和上级主管业务部门的精心指导下，我单位扎实抓好城建档案各项工作，整体支出绩效情况如下：</w:t>
      </w:r>
    </w:p>
    <w:p w14:paraId="3F3154BA">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1.加大城建档案工作的宣传力度</w:t>
      </w:r>
    </w:p>
    <w:p w14:paraId="5A7D1CD8">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为进一步扩大城建档案工作的社会影响力，增强社会各界对城建档案的关注度，充分发挥城建档案在记录历史、传承文明、服务社会、造福群众中的特殊作用，根据湖南省住房和城乡建设厅办公室《关于组织开展2023年国际档案日宣传活动的通知》要求，我馆组织工作人员在市民广场、政务中心开展城建档案宣传活动，向社会群众和服务对象发放宣传资料100余份，解答社会各界关于城建档案方面的提问30余个，收到了较好的效果，通过宣传活动，形成了大家共同关注、支持城建档案工作的良好氛围。</w:t>
      </w:r>
    </w:p>
    <w:p w14:paraId="4B9F2C45">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2.积极改善档案库房条件</w:t>
      </w:r>
    </w:p>
    <w:p w14:paraId="7F869C3B">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我馆现有档案库房位于市政务中心一楼，当初并没有按照档案库房的标准进行建设，保管条件远达不到要求，每到梅雨天气，库房湿度超标，不利于档案的长期保存。为改善档案保管条件，我馆积极想办法，邀请专业人员现场商讨解决方案，向财政申请资金47万元对档案库房进行提质改造，建立一套集恒温恒湿视频监控于一体的档案库房综合智能管理系统，实现了档案库房安全管理由传统的人工管理模式向现代化、智能化、科学化管理模式的转变。大大改善库房条件，也减轻档案库房管理人员的工作量，管理人员只需在电脑前就可以掌握档案库房的情况，并控制设备的运行。</w:t>
      </w:r>
    </w:p>
    <w:p w14:paraId="4ED46C3D">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3.优化城建档案验收流程</w:t>
      </w:r>
    </w:p>
    <w:p w14:paraId="22A6D34A">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按照容缺办理的原则，对城建档案验收实行告知承诺制。为提高各企业城建档案在工改平台的验收通过率，城建档案馆想方设法优化办事流程，减少不必要的环节。在企业发起联合验收前，先派业务骨干对主审资料的收集整理情况进行审核，对于存在的问题进行一次性告知，并积极协助各资料员补齐所欠缺的资料，待主审资料合格后，再通知企业在工改平台发起联合验收，同步出具《建设工程档案专项验收意见书》，其余非主审件在工程竣工备案3个月内补齐。避免发生因主审资料不合格而被驳回的现象，提高了联合验收的通过率，最大限度地为企业节约时间成本。2023年共出具《建设工程档案专项验收意见书》93份。</w:t>
      </w:r>
    </w:p>
    <w:p w14:paraId="47FF4A72">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4.做好档案的数字化和查阅利用工作</w:t>
      </w:r>
    </w:p>
    <w:p w14:paraId="228D37D1">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2023年，市城建档案馆数字化处理案卷14000余卷，扫描文字、图纸30余万张，接待档案查阅人员236人次，查阅档案1243卷，复印相关档案资料6000余张。为人民群众在房屋改扩建、产权办理、职称业绩证明、解决纠纷及司法、纪检部门办案取证方面提供了便利和依据，最大限度地发挥了城建档案的利用价值。</w:t>
      </w:r>
    </w:p>
    <w:p w14:paraId="5FFBDFE1">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5.加强城建档案业务指导</w:t>
      </w:r>
    </w:p>
    <w:p w14:paraId="01597D7A">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为更好的解决城建档案验收中的堵点、难点、痛点问题，城建档案馆变被动受理为主动服务，经常组织业务骨干深入各建筑工地进行业务指导，面对面进行交流，认真听取他们对于城建档案工作方面的意见和建议，不断改进工作方式方法，千方百计帮助企业解决档案收集过程中遇到的各种难题。同时，根据实际情况，采取电话、微信等不见面的服务方式，做好城建档案业务指导工作，让企业少走弯路。对于一些新手资料员，业务骨干都能不厌其烦地讲解城建档案收集整理的要求，并手把手地进行帮带，使他们尽快掌握城建档案收集整理的方法。避免出现因档案收集、整理不规范而不能入库的现象。</w:t>
      </w:r>
    </w:p>
    <w:p w14:paraId="5F30911C">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6.及时跟进新馆建设相关事宜</w:t>
      </w:r>
    </w:p>
    <w:p w14:paraId="2D70C8E7">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由于我馆档案库房严重不足，新馆建设已经迫在眉睫，经市政府同意，由城投修建怀化市城市建设档案馆，供我馆及自规局、城管局、组织部四家单位使用，我馆多次与自规局、城投及设计单位进行对接。目前，新馆的图纸会审已完成。</w:t>
      </w:r>
    </w:p>
    <w:p w14:paraId="27296A1D">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7.持续优化营商环境</w:t>
      </w:r>
    </w:p>
    <w:p w14:paraId="22BFF5C1">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按照市住建局关于优化发展环境持久仗和营商环境的要求，我馆定期召开馆务会认真查找工作中存在的短板弱项，积极进行改进，尽最大限度地为办事各方提供良好的办事环境，并积极撰写典型经验媒体稿及助企纾困诉求件。2023年共完成典型经验媒体稿1篇、助企纾困诉求件10条。</w:t>
      </w:r>
    </w:p>
    <w:p w14:paraId="06C5F647">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（三）存在的问题及原因分析</w:t>
      </w:r>
    </w:p>
    <w:p w14:paraId="4A6E5BC7">
      <w:pPr>
        <w:pStyle w:val="13"/>
        <w:spacing w:line="600" w:lineRule="exact"/>
        <w:ind w:firstLine="800" w:firstLineChars="25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1.全面预算绩效管理工作经验不太丰富，绩效管理专业人员匮乏，规范管理有盲点。绩效管理念待加强。</w:t>
      </w:r>
    </w:p>
    <w:p w14:paraId="2BF45B0F">
      <w:pPr>
        <w:pStyle w:val="13"/>
        <w:spacing w:line="600" w:lineRule="exact"/>
        <w:ind w:firstLine="800" w:firstLineChars="250"/>
        <w:jc w:val="both"/>
        <w:rPr>
          <w:sz w:val="72"/>
          <w:szCs w:val="72"/>
        </w:rPr>
      </w:pPr>
      <w:r>
        <w:rPr>
          <w:rFonts w:hint="eastAsia" w:ascii="仿宋" w:hAnsi="仿宋" w:eastAsia="仿宋" w:cs="仿宋"/>
          <w:color w:val="auto"/>
          <w:kern w:val="2"/>
          <w:sz w:val="32"/>
          <w:szCs w:val="32"/>
        </w:rPr>
        <w:t>2.部门预算编制的科学化、精细化有待提高。目前，预算编制要求经济科目细化到款级，但在实际编制过程中，由于有的预算支出项目具有预测性和不确定性等特点，造成实际支出与预算编制不符</w:t>
      </w:r>
      <w:r>
        <w:rPr>
          <w:rFonts w:hint="eastAsia" w:ascii="Times New Roman" w:hAnsi="Times New Roman" w:eastAsia="仿宋_GB2312"/>
          <w:sz w:val="32"/>
          <w:szCs w:val="32"/>
        </w:rPr>
        <w:t>。</w:t>
      </w:r>
    </w:p>
    <w:p w14:paraId="182F487F">
      <w:pPr>
        <w:pStyle w:val="13"/>
        <w:jc w:val="center"/>
        <w:rPr>
          <w:sz w:val="72"/>
          <w:szCs w:val="72"/>
        </w:rPr>
      </w:pPr>
    </w:p>
    <w:p w14:paraId="60A48290">
      <w:pPr>
        <w:pStyle w:val="13"/>
        <w:jc w:val="both"/>
        <w:rPr>
          <w:rFonts w:ascii="方正小标宋_GBK" w:hAnsi="方正小标宋_GBK" w:eastAsia="方正小标宋_GBK" w:cs="方正小标宋_GBK"/>
          <w:sz w:val="72"/>
          <w:szCs w:val="72"/>
        </w:rPr>
      </w:pPr>
    </w:p>
    <w:p w14:paraId="37DD2BE3">
      <w:pPr>
        <w:pStyle w:val="13"/>
        <w:jc w:val="center"/>
        <w:rPr>
          <w:rFonts w:ascii="方正小标宋_GBK" w:hAnsi="方正小标宋_GBK" w:eastAsia="方正小标宋_GBK" w:cs="方正小标宋_GBK"/>
          <w:sz w:val="72"/>
          <w:szCs w:val="72"/>
        </w:rPr>
      </w:pPr>
    </w:p>
    <w:p w14:paraId="22791AE2">
      <w:pPr>
        <w:pStyle w:val="13"/>
        <w:jc w:val="center"/>
        <w:rPr>
          <w:rFonts w:ascii="方正小标宋_GBK" w:hAnsi="方正小标宋_GBK" w:eastAsia="方正小标宋_GBK" w:cs="方正小标宋_GBK"/>
          <w:sz w:val="72"/>
          <w:szCs w:val="72"/>
        </w:rPr>
      </w:pPr>
    </w:p>
    <w:p w14:paraId="4DAF955B">
      <w:pPr>
        <w:pStyle w:val="13"/>
        <w:jc w:val="center"/>
        <w:rPr>
          <w:rFonts w:ascii="方正小标宋_GBK" w:hAnsi="方正小标宋_GBK" w:eastAsia="方正小标宋_GBK" w:cs="方正小标宋_GBK"/>
          <w:sz w:val="72"/>
          <w:szCs w:val="72"/>
        </w:rPr>
      </w:pPr>
    </w:p>
    <w:p w14:paraId="0E4CA28C">
      <w:pPr>
        <w:pStyle w:val="13"/>
        <w:jc w:val="center"/>
        <w:rPr>
          <w:rFonts w:ascii="方正小标宋_GBK" w:hAnsi="方正小标宋_GBK" w:eastAsia="方正小标宋_GBK" w:cs="方正小标宋_GBK"/>
          <w:sz w:val="72"/>
          <w:szCs w:val="72"/>
        </w:rPr>
      </w:pPr>
    </w:p>
    <w:p w14:paraId="7803A0BE">
      <w:pPr>
        <w:pStyle w:val="13"/>
        <w:jc w:val="center"/>
        <w:rPr>
          <w:rFonts w:ascii="方正小标宋_GBK" w:hAnsi="方正小标宋_GBK" w:eastAsia="方正小标宋_GBK" w:cs="方正小标宋_GBK"/>
          <w:sz w:val="72"/>
          <w:szCs w:val="72"/>
        </w:rPr>
      </w:pPr>
    </w:p>
    <w:p w14:paraId="586291A8">
      <w:pPr>
        <w:pStyle w:val="13"/>
        <w:jc w:val="both"/>
        <w:rPr>
          <w:rFonts w:ascii="方正小标宋_GBK" w:hAnsi="方正小标宋_GBK" w:eastAsia="方正小标宋_GBK" w:cs="方正小标宋_GBK"/>
          <w:sz w:val="72"/>
          <w:szCs w:val="72"/>
        </w:rPr>
      </w:pPr>
    </w:p>
    <w:p w14:paraId="72F538ED">
      <w:pPr>
        <w:pStyle w:val="13"/>
        <w:jc w:val="center"/>
        <w:rPr>
          <w:rFonts w:hAnsi="黑体" w:cs="方正小标宋_GBK"/>
          <w:sz w:val="52"/>
          <w:szCs w:val="52"/>
        </w:rPr>
      </w:pPr>
      <w:r>
        <w:rPr>
          <w:rFonts w:hint="eastAsia" w:hAnsi="黑体" w:cs="方正小标宋_GBK"/>
          <w:sz w:val="52"/>
          <w:szCs w:val="52"/>
        </w:rPr>
        <w:t>第四部分</w:t>
      </w:r>
    </w:p>
    <w:p w14:paraId="5AC03E1A">
      <w:pPr>
        <w:pStyle w:val="13"/>
        <w:jc w:val="center"/>
        <w:rPr>
          <w:rFonts w:hAnsi="黑体" w:cs="方正小标宋_GBK"/>
          <w:sz w:val="52"/>
          <w:szCs w:val="52"/>
        </w:rPr>
      </w:pPr>
    </w:p>
    <w:p w14:paraId="1C2D9F7C">
      <w:pPr>
        <w:pStyle w:val="13"/>
        <w:jc w:val="center"/>
        <w:rPr>
          <w:rFonts w:hAnsi="黑体" w:cs="方正小标宋_GBK"/>
          <w:sz w:val="52"/>
          <w:szCs w:val="52"/>
        </w:rPr>
      </w:pPr>
      <w:r>
        <w:rPr>
          <w:rFonts w:hint="eastAsia" w:hAnsi="黑体" w:cs="方正小标宋_GBK"/>
          <w:sz w:val="52"/>
          <w:szCs w:val="52"/>
        </w:rPr>
        <w:t>名词解释</w:t>
      </w:r>
    </w:p>
    <w:p w14:paraId="52A5BB6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587841E">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一、财政拨款收入：指财政当年拨付的资金。包括一般公共预算财政拨款和政府性基金财政拨款。</w:t>
      </w:r>
    </w:p>
    <w:p w14:paraId="5A238E5F">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二、上级补助收入：指事业单位从主管部门和上级单位取得的非财政补助收入。</w:t>
      </w:r>
    </w:p>
    <w:p w14:paraId="7496D7B8">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三、事业收入：指事业单位开展专业业务活动及辅助活动所取得的收入。</w:t>
      </w:r>
    </w:p>
    <w:p w14:paraId="58E1E1A4">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四、经营收入：指事业单位在专业业务活动及其辅助活动之外开展非独立核算经营活动取得的收入。</w:t>
      </w:r>
    </w:p>
    <w:p w14:paraId="0111C029">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五、附属单位上缴收入：指事业单位附属独立核算单位按照有关规定上缴的收入。</w:t>
      </w:r>
    </w:p>
    <w:p w14:paraId="2ADF1C18">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六、其他收入：指除上述“财政拨款收入”、“事业收入”、“经营收入”等以外的收入。</w:t>
      </w:r>
    </w:p>
    <w:p w14:paraId="5D3C0DB2">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F2AF630">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八、年初结转和结余：指以前年度尚未完成、结转到本年按有关规定继续使用的资金。</w:t>
      </w:r>
    </w:p>
    <w:p w14:paraId="4BD450F7">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九、结余分配：指事业单位按规定从非财政补助结余中分配的事业基金和职工福利基金等。</w:t>
      </w:r>
    </w:p>
    <w:p w14:paraId="5BB5C453">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十、年末结转和结余：指本年度或以前年度预算安排、因客观条件发生变化无法按原计划实施，需要延迟到以后年度按有关规定继续使用的资金。</w:t>
      </w:r>
    </w:p>
    <w:p w14:paraId="1D6971D0">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十一、基本支出：指为保障机构正常运转、完成日常工作任务而发生的人员支出和公用支出。</w:t>
      </w:r>
    </w:p>
    <w:p w14:paraId="0234E082">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十二、项目支出：指在基本支出之外为完成特定行政任务和事业发展目标所发生的支出。</w:t>
      </w:r>
    </w:p>
    <w:p w14:paraId="1EF5DA88">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十三、经营支出：指事业单位在专业业务活动及其辅助活动之外开展非独立核算经营活动所发生的支出。</w:t>
      </w:r>
    </w:p>
    <w:p w14:paraId="4D254784">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四、“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08ECE359">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5B2A8858">
      <w:pPr>
        <w:pStyle w:val="13"/>
        <w:jc w:val="center"/>
        <w:rPr>
          <w:rFonts w:ascii="仿宋" w:hAnsi="仿宋" w:eastAsia="仿宋" w:cs="仿宋"/>
          <w:color w:val="auto"/>
          <w:kern w:val="2"/>
          <w:sz w:val="32"/>
          <w:szCs w:val="32"/>
        </w:rPr>
      </w:pPr>
    </w:p>
    <w:p w14:paraId="45F27E61">
      <w:pPr>
        <w:pStyle w:val="13"/>
        <w:jc w:val="center"/>
        <w:rPr>
          <w:rFonts w:ascii="Times New Roman" w:hAnsi="Times New Roman" w:eastAsia="仿宋_GB2312"/>
          <w:sz w:val="32"/>
          <w:szCs w:val="32"/>
        </w:rPr>
      </w:pPr>
    </w:p>
    <w:p w14:paraId="713DA62A">
      <w:pPr>
        <w:pStyle w:val="13"/>
        <w:jc w:val="center"/>
        <w:rPr>
          <w:rFonts w:ascii="Times New Roman" w:hAnsi="Times New Roman" w:eastAsia="仿宋_GB2312"/>
          <w:sz w:val="32"/>
          <w:szCs w:val="32"/>
        </w:rPr>
      </w:pPr>
    </w:p>
    <w:p w14:paraId="6C68CA42">
      <w:pPr>
        <w:pStyle w:val="13"/>
        <w:jc w:val="center"/>
        <w:rPr>
          <w:rFonts w:ascii="Times New Roman" w:hAnsi="Times New Roman" w:eastAsia="仿宋_GB2312"/>
          <w:sz w:val="32"/>
          <w:szCs w:val="32"/>
        </w:rPr>
      </w:pPr>
    </w:p>
    <w:p w14:paraId="64AB1683">
      <w:pPr>
        <w:pStyle w:val="13"/>
        <w:jc w:val="center"/>
        <w:rPr>
          <w:rFonts w:ascii="Times New Roman" w:hAnsi="Times New Roman" w:eastAsia="仿宋_GB2312"/>
          <w:sz w:val="32"/>
          <w:szCs w:val="32"/>
        </w:rPr>
      </w:pPr>
    </w:p>
    <w:p w14:paraId="7F706653">
      <w:pPr>
        <w:pStyle w:val="13"/>
        <w:jc w:val="center"/>
        <w:rPr>
          <w:rFonts w:ascii="Times New Roman" w:hAnsi="Times New Roman" w:eastAsia="仿宋_GB2312"/>
          <w:sz w:val="32"/>
          <w:szCs w:val="32"/>
        </w:rPr>
      </w:pPr>
    </w:p>
    <w:p w14:paraId="2F3D11AA">
      <w:pPr>
        <w:pStyle w:val="13"/>
        <w:jc w:val="center"/>
        <w:rPr>
          <w:sz w:val="72"/>
          <w:szCs w:val="72"/>
        </w:rPr>
      </w:pPr>
    </w:p>
    <w:p w14:paraId="1C86F363">
      <w:pPr>
        <w:pStyle w:val="13"/>
        <w:jc w:val="center"/>
        <w:rPr>
          <w:sz w:val="72"/>
          <w:szCs w:val="72"/>
        </w:rPr>
      </w:pPr>
    </w:p>
    <w:p w14:paraId="7DB31FCC">
      <w:pPr>
        <w:rPr>
          <w:sz w:val="72"/>
          <w:szCs w:val="72"/>
        </w:rPr>
      </w:pPr>
      <w:r>
        <w:rPr>
          <w:sz w:val="72"/>
          <w:szCs w:val="72"/>
        </w:rPr>
        <w:br w:type="page"/>
      </w:r>
    </w:p>
    <w:p w14:paraId="20FFB2D1">
      <w:pPr>
        <w:pStyle w:val="13"/>
        <w:jc w:val="center"/>
        <w:rPr>
          <w:rFonts w:ascii="方正小标宋_GBK" w:hAnsi="方正小标宋_GBK" w:eastAsia="方正小标宋_GBK" w:cs="方正小标宋_GBK"/>
          <w:sz w:val="72"/>
          <w:szCs w:val="72"/>
        </w:rPr>
      </w:pPr>
    </w:p>
    <w:p w14:paraId="1BDA2FC0">
      <w:pPr>
        <w:pStyle w:val="13"/>
        <w:jc w:val="center"/>
        <w:rPr>
          <w:rFonts w:ascii="方正小标宋_GBK" w:hAnsi="方正小标宋_GBK" w:eastAsia="方正小标宋_GBK" w:cs="方正小标宋_GBK"/>
          <w:sz w:val="72"/>
          <w:szCs w:val="72"/>
        </w:rPr>
      </w:pPr>
    </w:p>
    <w:p w14:paraId="105CCD42">
      <w:pPr>
        <w:pStyle w:val="13"/>
        <w:jc w:val="center"/>
        <w:rPr>
          <w:rFonts w:ascii="方正小标宋_GBK" w:hAnsi="方正小标宋_GBK" w:eastAsia="方正小标宋_GBK" w:cs="方正小标宋_GBK"/>
          <w:sz w:val="72"/>
          <w:szCs w:val="72"/>
        </w:rPr>
      </w:pPr>
    </w:p>
    <w:p w14:paraId="342FC547">
      <w:pPr>
        <w:pStyle w:val="13"/>
        <w:jc w:val="center"/>
        <w:rPr>
          <w:rFonts w:ascii="方正小标宋_GBK" w:hAnsi="方正小标宋_GBK" w:eastAsia="方正小标宋_GBK" w:cs="方正小标宋_GBK"/>
          <w:sz w:val="72"/>
          <w:szCs w:val="72"/>
        </w:rPr>
      </w:pPr>
    </w:p>
    <w:p w14:paraId="301C2A5F">
      <w:pPr>
        <w:pStyle w:val="13"/>
        <w:jc w:val="center"/>
        <w:rPr>
          <w:rFonts w:ascii="方正小标宋_GBK" w:hAnsi="方正小标宋_GBK" w:eastAsia="方正小标宋_GBK" w:cs="方正小标宋_GBK"/>
          <w:sz w:val="72"/>
          <w:szCs w:val="72"/>
        </w:rPr>
      </w:pPr>
    </w:p>
    <w:p w14:paraId="6BEDFACB">
      <w:pPr>
        <w:pStyle w:val="13"/>
        <w:jc w:val="center"/>
        <w:rPr>
          <w:rFonts w:hAnsi="黑体" w:cs="方正小标宋_GBK"/>
          <w:sz w:val="52"/>
          <w:szCs w:val="52"/>
        </w:rPr>
      </w:pPr>
      <w:r>
        <w:rPr>
          <w:rFonts w:hint="eastAsia" w:hAnsi="黑体" w:cs="方正小标宋_GBK"/>
          <w:sz w:val="52"/>
          <w:szCs w:val="52"/>
        </w:rPr>
        <w:t>第五部分</w:t>
      </w:r>
    </w:p>
    <w:p w14:paraId="4A3E9411">
      <w:pPr>
        <w:pStyle w:val="13"/>
        <w:jc w:val="center"/>
        <w:rPr>
          <w:rFonts w:hAnsi="黑体" w:cs="方正小标宋_GBK"/>
          <w:sz w:val="52"/>
          <w:szCs w:val="52"/>
        </w:rPr>
      </w:pPr>
    </w:p>
    <w:p w14:paraId="3A91AEE8">
      <w:pPr>
        <w:pStyle w:val="13"/>
        <w:jc w:val="center"/>
        <w:rPr>
          <w:rFonts w:hAnsi="黑体" w:cs="方正小标宋_GBK"/>
          <w:sz w:val="52"/>
          <w:szCs w:val="52"/>
        </w:rPr>
      </w:pPr>
      <w:r>
        <w:rPr>
          <w:rFonts w:hint="eastAsia" w:hAnsi="黑体" w:cs="方正小标宋_GBK"/>
          <w:sz w:val="52"/>
          <w:szCs w:val="52"/>
        </w:rPr>
        <w:t>附 件</w:t>
      </w:r>
    </w:p>
    <w:p w14:paraId="643BF7B3">
      <w:pPr>
        <w:rPr>
          <w:sz w:val="72"/>
          <w:szCs w:val="72"/>
        </w:rPr>
      </w:pPr>
      <w:r>
        <w:rPr>
          <w:sz w:val="72"/>
          <w:szCs w:val="72"/>
        </w:rPr>
        <w:br w:type="page"/>
      </w:r>
    </w:p>
    <w:p w14:paraId="532D9DB8">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一、2023年度部门整体支出绩效自评报告。</w:t>
      </w:r>
    </w:p>
    <w:p w14:paraId="2DA07621">
      <w:pPr>
        <w:pStyle w:val="13"/>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二、2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年度部门项目绩效自评报告</w:t>
      </w:r>
    </w:p>
    <w:p w14:paraId="7657C7DF">
      <w:pPr>
        <w:pStyle w:val="13"/>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二、2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年部门预算公开表</w:t>
      </w:r>
    </w:p>
    <w:p w14:paraId="0FCA98D8">
      <w:pPr>
        <w:pStyle w:val="13"/>
        <w:jc w:val="both"/>
        <w:rPr>
          <w:rFonts w:ascii="仿宋" w:hAnsi="仿宋" w:eastAsia="仿宋" w:cs="仿宋"/>
          <w:color w:val="auto"/>
          <w:kern w:val="2"/>
          <w:sz w:val="32"/>
          <w:szCs w:val="32"/>
        </w:rPr>
      </w:pPr>
    </w:p>
    <w:p w14:paraId="76663871">
      <w:pPr>
        <w:pStyle w:val="13"/>
        <w:jc w:val="center"/>
        <w:rPr>
          <w:sz w:val="72"/>
          <w:szCs w:val="72"/>
        </w:rPr>
      </w:pPr>
    </w:p>
    <w:p w14:paraId="12E8C45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876152C"/>
    <w:multiLevelType w:val="multilevel"/>
    <w:tmpl w:val="7876152C"/>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MzNjMGVmYzllMjcxZDljMzNkMTQzODA4NDFmYzEifQ=="/>
  </w:docVars>
  <w:rsids>
    <w:rsidRoot w:val="004506F9"/>
    <w:rsid w:val="0001067C"/>
    <w:rsid w:val="00015700"/>
    <w:rsid w:val="0002189F"/>
    <w:rsid w:val="0002229B"/>
    <w:rsid w:val="000273BD"/>
    <w:rsid w:val="00040CBC"/>
    <w:rsid w:val="000415B7"/>
    <w:rsid w:val="00041E3F"/>
    <w:rsid w:val="000443E1"/>
    <w:rsid w:val="00055DAA"/>
    <w:rsid w:val="00061F7B"/>
    <w:rsid w:val="000658A3"/>
    <w:rsid w:val="000732B2"/>
    <w:rsid w:val="00074155"/>
    <w:rsid w:val="00084EFE"/>
    <w:rsid w:val="000A3F69"/>
    <w:rsid w:val="000B7A56"/>
    <w:rsid w:val="000C28BC"/>
    <w:rsid w:val="000C46AA"/>
    <w:rsid w:val="000C7C7C"/>
    <w:rsid w:val="000D1713"/>
    <w:rsid w:val="00103957"/>
    <w:rsid w:val="00115C58"/>
    <w:rsid w:val="00127F30"/>
    <w:rsid w:val="001470CA"/>
    <w:rsid w:val="00152C6D"/>
    <w:rsid w:val="00155E30"/>
    <w:rsid w:val="00162D39"/>
    <w:rsid w:val="001678BD"/>
    <w:rsid w:val="00182373"/>
    <w:rsid w:val="00197B58"/>
    <w:rsid w:val="001A67DB"/>
    <w:rsid w:val="001C3C29"/>
    <w:rsid w:val="001D51E5"/>
    <w:rsid w:val="001E080D"/>
    <w:rsid w:val="001E53D0"/>
    <w:rsid w:val="001F0C3B"/>
    <w:rsid w:val="001F659A"/>
    <w:rsid w:val="00202C82"/>
    <w:rsid w:val="0020535C"/>
    <w:rsid w:val="00214427"/>
    <w:rsid w:val="00226CB7"/>
    <w:rsid w:val="00231A08"/>
    <w:rsid w:val="00232788"/>
    <w:rsid w:val="00233319"/>
    <w:rsid w:val="00237892"/>
    <w:rsid w:val="0025007F"/>
    <w:rsid w:val="00262C86"/>
    <w:rsid w:val="00264552"/>
    <w:rsid w:val="00264EF9"/>
    <w:rsid w:val="0026567A"/>
    <w:rsid w:val="00265724"/>
    <w:rsid w:val="00266E51"/>
    <w:rsid w:val="0027426B"/>
    <w:rsid w:val="002A3464"/>
    <w:rsid w:val="002A4122"/>
    <w:rsid w:val="002C052E"/>
    <w:rsid w:val="002C1DA6"/>
    <w:rsid w:val="002D2F13"/>
    <w:rsid w:val="002E0A30"/>
    <w:rsid w:val="002E1280"/>
    <w:rsid w:val="00307276"/>
    <w:rsid w:val="00311E3C"/>
    <w:rsid w:val="003130C4"/>
    <w:rsid w:val="00316C4B"/>
    <w:rsid w:val="0032192B"/>
    <w:rsid w:val="00341B27"/>
    <w:rsid w:val="00343E2D"/>
    <w:rsid w:val="003479BD"/>
    <w:rsid w:val="00357737"/>
    <w:rsid w:val="0036378E"/>
    <w:rsid w:val="00366912"/>
    <w:rsid w:val="0037197D"/>
    <w:rsid w:val="003768D5"/>
    <w:rsid w:val="00381842"/>
    <w:rsid w:val="00381E97"/>
    <w:rsid w:val="003926B9"/>
    <w:rsid w:val="003948D8"/>
    <w:rsid w:val="003A31E7"/>
    <w:rsid w:val="003A3B03"/>
    <w:rsid w:val="003C47E6"/>
    <w:rsid w:val="003C4FC2"/>
    <w:rsid w:val="003E6711"/>
    <w:rsid w:val="003F1178"/>
    <w:rsid w:val="00416E61"/>
    <w:rsid w:val="00417413"/>
    <w:rsid w:val="00422B08"/>
    <w:rsid w:val="00423F26"/>
    <w:rsid w:val="0042790C"/>
    <w:rsid w:val="004506F9"/>
    <w:rsid w:val="004717A2"/>
    <w:rsid w:val="00473DF3"/>
    <w:rsid w:val="00475D4C"/>
    <w:rsid w:val="00483C6F"/>
    <w:rsid w:val="00487911"/>
    <w:rsid w:val="00491741"/>
    <w:rsid w:val="004A03C4"/>
    <w:rsid w:val="004A35AF"/>
    <w:rsid w:val="004B0CEE"/>
    <w:rsid w:val="004B159C"/>
    <w:rsid w:val="004C5F90"/>
    <w:rsid w:val="004F442C"/>
    <w:rsid w:val="004F5A05"/>
    <w:rsid w:val="00500E5F"/>
    <w:rsid w:val="005122EF"/>
    <w:rsid w:val="0051441A"/>
    <w:rsid w:val="00517C33"/>
    <w:rsid w:val="00517D5F"/>
    <w:rsid w:val="00523644"/>
    <w:rsid w:val="00527D5C"/>
    <w:rsid w:val="005355C1"/>
    <w:rsid w:val="0054069E"/>
    <w:rsid w:val="00544866"/>
    <w:rsid w:val="00566E9B"/>
    <w:rsid w:val="005767CC"/>
    <w:rsid w:val="005841F7"/>
    <w:rsid w:val="00590D9F"/>
    <w:rsid w:val="00595D26"/>
    <w:rsid w:val="005A74E6"/>
    <w:rsid w:val="005B404E"/>
    <w:rsid w:val="005D4D55"/>
    <w:rsid w:val="005E0D32"/>
    <w:rsid w:val="005E2CFB"/>
    <w:rsid w:val="005F2103"/>
    <w:rsid w:val="005F3D1C"/>
    <w:rsid w:val="006120FA"/>
    <w:rsid w:val="0062378F"/>
    <w:rsid w:val="0062384C"/>
    <w:rsid w:val="00641842"/>
    <w:rsid w:val="00651EEC"/>
    <w:rsid w:val="006560CF"/>
    <w:rsid w:val="00676F28"/>
    <w:rsid w:val="00685C3A"/>
    <w:rsid w:val="00686673"/>
    <w:rsid w:val="0068694A"/>
    <w:rsid w:val="00691E8C"/>
    <w:rsid w:val="00692B92"/>
    <w:rsid w:val="0069711B"/>
    <w:rsid w:val="006A2002"/>
    <w:rsid w:val="006A22C4"/>
    <w:rsid w:val="006A351B"/>
    <w:rsid w:val="006B0422"/>
    <w:rsid w:val="006B1250"/>
    <w:rsid w:val="006B20F4"/>
    <w:rsid w:val="006C1B53"/>
    <w:rsid w:val="006C215E"/>
    <w:rsid w:val="006D3680"/>
    <w:rsid w:val="006D7730"/>
    <w:rsid w:val="006E12C1"/>
    <w:rsid w:val="006E5284"/>
    <w:rsid w:val="006E766F"/>
    <w:rsid w:val="006F3EB5"/>
    <w:rsid w:val="006F4C5F"/>
    <w:rsid w:val="00702E34"/>
    <w:rsid w:val="00704395"/>
    <w:rsid w:val="00710FE7"/>
    <w:rsid w:val="00711870"/>
    <w:rsid w:val="007141C8"/>
    <w:rsid w:val="0071595D"/>
    <w:rsid w:val="00717621"/>
    <w:rsid w:val="00720FF1"/>
    <w:rsid w:val="00727A53"/>
    <w:rsid w:val="007338D5"/>
    <w:rsid w:val="00740EE0"/>
    <w:rsid w:val="007415C6"/>
    <w:rsid w:val="00754338"/>
    <w:rsid w:val="00765551"/>
    <w:rsid w:val="00782DAA"/>
    <w:rsid w:val="00787B42"/>
    <w:rsid w:val="00793EAF"/>
    <w:rsid w:val="00797324"/>
    <w:rsid w:val="007A7FA3"/>
    <w:rsid w:val="007B4C4D"/>
    <w:rsid w:val="007C4539"/>
    <w:rsid w:val="007E12C3"/>
    <w:rsid w:val="007F3657"/>
    <w:rsid w:val="00801C07"/>
    <w:rsid w:val="00812ED5"/>
    <w:rsid w:val="008169C5"/>
    <w:rsid w:val="008277D9"/>
    <w:rsid w:val="0084478C"/>
    <w:rsid w:val="00845F4F"/>
    <w:rsid w:val="0086638C"/>
    <w:rsid w:val="00871216"/>
    <w:rsid w:val="0087197B"/>
    <w:rsid w:val="008A1464"/>
    <w:rsid w:val="008A3E8D"/>
    <w:rsid w:val="008C7916"/>
    <w:rsid w:val="008E37CB"/>
    <w:rsid w:val="008F5F17"/>
    <w:rsid w:val="0091237D"/>
    <w:rsid w:val="009237C4"/>
    <w:rsid w:val="009335C1"/>
    <w:rsid w:val="00944C48"/>
    <w:rsid w:val="00950252"/>
    <w:rsid w:val="00954F1B"/>
    <w:rsid w:val="00967F5D"/>
    <w:rsid w:val="00975977"/>
    <w:rsid w:val="009A0F95"/>
    <w:rsid w:val="009A66C5"/>
    <w:rsid w:val="009B0547"/>
    <w:rsid w:val="009B3ADF"/>
    <w:rsid w:val="009C37CA"/>
    <w:rsid w:val="009C3B52"/>
    <w:rsid w:val="009E6007"/>
    <w:rsid w:val="009E6817"/>
    <w:rsid w:val="009E6E9A"/>
    <w:rsid w:val="009F15E0"/>
    <w:rsid w:val="009F4500"/>
    <w:rsid w:val="00A01D2B"/>
    <w:rsid w:val="00A140C5"/>
    <w:rsid w:val="00A32BE5"/>
    <w:rsid w:val="00A42218"/>
    <w:rsid w:val="00A52EB7"/>
    <w:rsid w:val="00A643CF"/>
    <w:rsid w:val="00A70249"/>
    <w:rsid w:val="00A70B02"/>
    <w:rsid w:val="00A71D9F"/>
    <w:rsid w:val="00A92E9F"/>
    <w:rsid w:val="00AB18FF"/>
    <w:rsid w:val="00AC2A00"/>
    <w:rsid w:val="00B33BEA"/>
    <w:rsid w:val="00B53974"/>
    <w:rsid w:val="00B57C9F"/>
    <w:rsid w:val="00B63572"/>
    <w:rsid w:val="00B64735"/>
    <w:rsid w:val="00B845B3"/>
    <w:rsid w:val="00B85D8B"/>
    <w:rsid w:val="00BA63D4"/>
    <w:rsid w:val="00BB4A40"/>
    <w:rsid w:val="00BC5200"/>
    <w:rsid w:val="00BD6C3E"/>
    <w:rsid w:val="00BE3674"/>
    <w:rsid w:val="00BE685A"/>
    <w:rsid w:val="00C05123"/>
    <w:rsid w:val="00C10681"/>
    <w:rsid w:val="00C11CFD"/>
    <w:rsid w:val="00C3049A"/>
    <w:rsid w:val="00C31B1E"/>
    <w:rsid w:val="00C57B93"/>
    <w:rsid w:val="00C65EC8"/>
    <w:rsid w:val="00C77645"/>
    <w:rsid w:val="00C809C7"/>
    <w:rsid w:val="00CE04C3"/>
    <w:rsid w:val="00CE0E99"/>
    <w:rsid w:val="00CE76A0"/>
    <w:rsid w:val="00CF0933"/>
    <w:rsid w:val="00CF385D"/>
    <w:rsid w:val="00D148C6"/>
    <w:rsid w:val="00D17A8A"/>
    <w:rsid w:val="00D17D6A"/>
    <w:rsid w:val="00D415BA"/>
    <w:rsid w:val="00D54877"/>
    <w:rsid w:val="00D63780"/>
    <w:rsid w:val="00D644EE"/>
    <w:rsid w:val="00D645A9"/>
    <w:rsid w:val="00D74431"/>
    <w:rsid w:val="00D82B5F"/>
    <w:rsid w:val="00D86A31"/>
    <w:rsid w:val="00D9024D"/>
    <w:rsid w:val="00DD06FF"/>
    <w:rsid w:val="00DD5FE9"/>
    <w:rsid w:val="00DE206E"/>
    <w:rsid w:val="00E00C7A"/>
    <w:rsid w:val="00E24871"/>
    <w:rsid w:val="00E27B59"/>
    <w:rsid w:val="00E32C3A"/>
    <w:rsid w:val="00E36C55"/>
    <w:rsid w:val="00E37D6C"/>
    <w:rsid w:val="00E55B68"/>
    <w:rsid w:val="00E561AE"/>
    <w:rsid w:val="00E67BE6"/>
    <w:rsid w:val="00E8683C"/>
    <w:rsid w:val="00E9065B"/>
    <w:rsid w:val="00EA2B72"/>
    <w:rsid w:val="00EE23A5"/>
    <w:rsid w:val="00F15AFE"/>
    <w:rsid w:val="00F37A4E"/>
    <w:rsid w:val="00F723D8"/>
    <w:rsid w:val="00F74360"/>
    <w:rsid w:val="00F766DA"/>
    <w:rsid w:val="00F9050F"/>
    <w:rsid w:val="00F9754F"/>
    <w:rsid w:val="00FA2563"/>
    <w:rsid w:val="00FB192D"/>
    <w:rsid w:val="00FB2775"/>
    <w:rsid w:val="00FB462F"/>
    <w:rsid w:val="00FE1434"/>
    <w:rsid w:val="00FE16FA"/>
    <w:rsid w:val="00FE328A"/>
    <w:rsid w:val="00FE6269"/>
    <w:rsid w:val="00FF5CD6"/>
    <w:rsid w:val="120002D9"/>
    <w:rsid w:val="1D97DEFF"/>
    <w:rsid w:val="1DFF72E5"/>
    <w:rsid w:val="1EFC6F07"/>
    <w:rsid w:val="2FDF85B8"/>
    <w:rsid w:val="2FFFEE04"/>
    <w:rsid w:val="34DF85B0"/>
    <w:rsid w:val="3B8F36BC"/>
    <w:rsid w:val="491FF225"/>
    <w:rsid w:val="4FFD214C"/>
    <w:rsid w:val="5777D4F5"/>
    <w:rsid w:val="59DD8326"/>
    <w:rsid w:val="5DEF592A"/>
    <w:rsid w:val="5E89793E"/>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字符"/>
    <w:basedOn w:val="10"/>
    <w:link w:val="8"/>
    <w:qFormat/>
    <w:uiPriority w:val="99"/>
    <w:rPr>
      <w:sz w:val="18"/>
      <w:szCs w:val="18"/>
    </w:rPr>
  </w:style>
  <w:style w:type="character" w:customStyle="1" w:styleId="12">
    <w:name w:val="页脚 字符"/>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4正文"/>
    <w:basedOn w:val="1"/>
    <w:link w:val="20"/>
    <w:qFormat/>
    <w:uiPriority w:val="0"/>
    <w:pPr>
      <w:snapToGrid w:val="0"/>
      <w:spacing w:line="440" w:lineRule="exact"/>
      <w:ind w:firstLine="200" w:firstLineChars="200"/>
    </w:pPr>
    <w:rPr>
      <w:rFonts w:ascii="Times New Roman" w:hAnsi="Times New Roman" w:eastAsia="宋体"/>
      <w:sz w:val="24"/>
    </w:rPr>
  </w:style>
  <w:style w:type="character" w:customStyle="1" w:styleId="20">
    <w:name w:val="4正文 字符"/>
    <w:basedOn w:val="10"/>
    <w:link w:val="19"/>
    <w:qFormat/>
    <w:uiPriority w:val="0"/>
    <w:rPr>
      <w:rFonts w:cstheme="minorBidi"/>
      <w:kern w:val="2"/>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package" Target="embeddings/Workbook3.xlsx"/><Relationship Id="rId7" Type="http://schemas.openxmlformats.org/officeDocument/2006/relationships/image" Target="media/image2.emf"/><Relationship Id="rId6" Type="http://schemas.openxmlformats.org/officeDocument/2006/relationships/package" Target="embeddings/Workbook2.xlsx"/><Relationship Id="rId5" Type="http://schemas.openxmlformats.org/officeDocument/2006/relationships/image" Target="media/image1.emf"/><Relationship Id="rId4" Type="http://schemas.openxmlformats.org/officeDocument/2006/relationships/package" Target="embeddings/Workbook1.xlsx"/><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emf"/><Relationship Id="rId20" Type="http://schemas.openxmlformats.org/officeDocument/2006/relationships/package" Target="embeddings/Workbook9.xlsx"/><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package" Target="embeddings/Workbook8.xlsx"/><Relationship Id="rId17" Type="http://schemas.openxmlformats.org/officeDocument/2006/relationships/image" Target="media/image7.emf"/><Relationship Id="rId16" Type="http://schemas.openxmlformats.org/officeDocument/2006/relationships/package" Target="embeddings/Workbook7.xlsx"/><Relationship Id="rId15" Type="http://schemas.openxmlformats.org/officeDocument/2006/relationships/image" Target="media/image6.emf"/><Relationship Id="rId14" Type="http://schemas.openxmlformats.org/officeDocument/2006/relationships/package" Target="embeddings/Workbook6.xlsx"/><Relationship Id="rId13" Type="http://schemas.openxmlformats.org/officeDocument/2006/relationships/image" Target="media/image5.emf"/><Relationship Id="rId12" Type="http://schemas.openxmlformats.org/officeDocument/2006/relationships/package" Target="embeddings/Workbook5.xlsx"/><Relationship Id="rId11" Type="http://schemas.openxmlformats.org/officeDocument/2006/relationships/image" Target="media/image4.emf"/><Relationship Id="rId10" Type="http://schemas.openxmlformats.org/officeDocument/2006/relationships/package" Target="embeddings/Workbook4.xlsx"/><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73585-6EB6-4000-93C4-A4B414FCCD9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6805</Words>
  <Characters>7229</Characters>
  <Lines>55</Lines>
  <Paragraphs>15</Paragraphs>
  <TotalTime>392</TotalTime>
  <ScaleCrop>false</ScaleCrop>
  <LinksUpToDate>false</LinksUpToDate>
  <CharactersWithSpaces>7258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草莓酱</cp:lastModifiedBy>
  <cp:lastPrinted>2024-08-08T10:20:00Z</cp:lastPrinted>
  <dcterms:modified xsi:type="dcterms:W3CDTF">2024-09-24T01:42:52Z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80D4BB6278F640FB97AA22641CE7B0D7_12</vt:lpwstr>
  </property>
</Properties>
</file>