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2"/>
        <w:ind w:firstLine="480"/>
        <w:jc w:val="left"/>
        <w:rPr>
          <w:shd w:val="clear" w:color="auto" w:fill="FFFFFF"/>
        </w:rPr>
      </w:pPr>
      <w:r>
        <w:rPr>
          <w:rFonts w:hint="eastAsia"/>
          <w:shd w:val="clear" w:color="auto" w:fill="FFFFFF"/>
        </w:rPr>
        <w:t>附件2</w:t>
      </w:r>
    </w:p>
    <w:p>
      <w:pPr>
        <w:pStyle w:val="42"/>
        <w:ind w:firstLine="480"/>
      </w:pPr>
      <w:bookmarkStart w:id="47" w:name="_GoBack"/>
      <w:bookmarkEnd w:id="47"/>
    </w:p>
    <w:p>
      <w:pPr>
        <w:pStyle w:val="64"/>
        <w:rPr>
          <w:rFonts w:hint="eastAsia"/>
          <w:shd w:val="clear" w:color="auto" w:fill="FFFFFF"/>
          <w:lang w:eastAsia="zh-CN"/>
        </w:rPr>
      </w:pPr>
      <w:r>
        <w:rPr>
          <w:rFonts w:hint="eastAsia"/>
          <w:shd w:val="clear" w:color="auto" w:fill="FFFFFF"/>
          <w:lang w:eastAsia="zh-CN"/>
        </w:rPr>
        <w:t>怀化市城乡建设事务中心</w:t>
      </w:r>
    </w:p>
    <w:p>
      <w:pPr>
        <w:pStyle w:val="64"/>
        <w:rPr>
          <w:shd w:val="clear" w:color="auto" w:fill="FFFFFF"/>
        </w:rPr>
      </w:pPr>
      <w:r>
        <w:rPr>
          <w:rFonts w:hint="eastAsia"/>
          <w:shd w:val="clear" w:color="auto" w:fill="FFFFFF"/>
          <w:lang w:val="en-US" w:eastAsia="zh-CN"/>
        </w:rPr>
        <w:t>2023年</w:t>
      </w:r>
      <w:r>
        <w:rPr>
          <w:rFonts w:hint="eastAsia"/>
          <w:shd w:val="clear" w:color="auto" w:fill="FFFFFF"/>
        </w:rPr>
        <w:t>项目支出绩效自评报告</w:t>
      </w:r>
    </w:p>
    <w:p>
      <w:pPr>
        <w:pStyle w:val="42"/>
        <w:ind w:firstLine="480"/>
        <w:rPr>
          <w:shd w:val="clear" w:color="auto" w:fill="FFFFFF"/>
        </w:rPr>
      </w:pPr>
    </w:p>
    <w:p>
      <w:pPr>
        <w:pStyle w:val="18"/>
        <w:ind w:firstLine="602"/>
        <w:rPr>
          <w:shd w:val="clear" w:color="auto" w:fill="FFFFFF"/>
        </w:rPr>
      </w:pPr>
      <w:r>
        <w:rPr>
          <w:rFonts w:hint="eastAsia"/>
          <w:shd w:val="clear" w:color="auto" w:fill="FFFFFF"/>
        </w:rPr>
        <w:t>一、项目基本情况</w:t>
      </w:r>
    </w:p>
    <w:p>
      <w:pPr>
        <w:pStyle w:val="19"/>
        <w:ind w:firstLine="562"/>
        <w:rPr>
          <w:shd w:val="clear" w:color="auto" w:fill="FFFFFF"/>
        </w:rPr>
      </w:pPr>
      <w:r>
        <w:rPr>
          <w:rFonts w:hint="eastAsia"/>
          <w:shd w:val="clear" w:color="auto" w:fill="FFFFFF"/>
        </w:rPr>
        <w:t>（一）项目概况</w:t>
      </w:r>
    </w:p>
    <w:p>
      <w:pPr>
        <w:pStyle w:val="11"/>
        <w:ind w:firstLine="482"/>
        <w:rPr>
          <w:shd w:val="clear" w:color="auto" w:fill="FFFFFF"/>
          <w:lang w:bidi="ar"/>
        </w:rPr>
      </w:pPr>
      <w:r>
        <w:rPr>
          <w:rFonts w:hint="eastAsia"/>
          <w:shd w:val="clear" w:color="auto" w:fill="FFFFFF"/>
          <w:lang w:bidi="ar"/>
        </w:rPr>
        <w:t>1.项目决策背景</w:t>
      </w:r>
    </w:p>
    <w:p>
      <w:pPr>
        <w:pStyle w:val="42"/>
        <w:ind w:firstLine="480"/>
        <w:rPr>
          <w:rFonts w:ascii="宋体" w:hAnsi="宋体" w:cs="仿宋_GB2312"/>
          <w:shd w:val="clear" w:color="auto" w:fill="FFFFFF"/>
          <w:lang w:bidi="ar"/>
        </w:rPr>
      </w:pPr>
      <w:r>
        <w:rPr>
          <w:rFonts w:hint="eastAsia" w:ascii="宋体" w:hAnsi="宋体" w:cs="仿宋_GB2312"/>
          <w:shd w:val="clear" w:color="auto" w:fill="FFFFFF"/>
          <w:lang w:bidi="ar"/>
        </w:rPr>
        <w:t>为切实加强财政专项支出预算绩效管理，进一步提高财政资金使用效益，根据《中共湖南省委办公厅 湖南省人民政府办公厅关于全面实施预算绩效管理的实施意见》（湘办发〔2019〕10号）、《湖南省财政厅关于印发〈湖南省预算支出绩效评价管理办法〉的通知》（湘财绩〔2020〕7号）等有关规定，随着城乡建设事务工作的不断深入与发展，本单位项目旨在，深化整治插手干预工程建设项目招投标问题、燃气安全整治、准确收集、整理、测算、上报怀化市典型工程造价指标及建筑工程成本信息，完成材料价格信息发布工作，为全市招投标、工程预结算提供了依据和参考、持续推进太平溪流域水环境问题巡视整改，深入开展城市黑臭水体排查整治、市政污泥处置、截污干管运行维护、鹤中一体化燃气规划编制等，项目的目标在于通过科学合理的支出安排，实现怀化市城乡建设事务中心各项工作的顺利推进，同时确保资金使用效益最大化。</w:t>
      </w:r>
    </w:p>
    <w:p>
      <w:pPr>
        <w:pStyle w:val="11"/>
        <w:ind w:firstLine="482"/>
        <w:rPr>
          <w:shd w:val="clear" w:color="auto" w:fill="FFFFFF"/>
          <w:lang w:bidi="ar"/>
        </w:rPr>
      </w:pPr>
      <w:r>
        <w:rPr>
          <w:rFonts w:hint="eastAsia"/>
          <w:shd w:val="clear" w:color="auto" w:fill="FFFFFF"/>
          <w:lang w:bidi="ar"/>
        </w:rPr>
        <w:t>2.项目主要内容</w:t>
      </w:r>
    </w:p>
    <w:p>
      <w:pPr>
        <w:pStyle w:val="42"/>
        <w:ind w:firstLine="480"/>
        <w:rPr>
          <w:rFonts w:ascii="宋体" w:hAnsi="宋体" w:cs="仿宋_GB2312"/>
          <w:shd w:val="clear" w:color="auto" w:fill="FFFFFF"/>
          <w:lang w:bidi="ar"/>
        </w:rPr>
      </w:pPr>
      <w:r>
        <w:rPr>
          <w:rFonts w:hint="eastAsia" w:ascii="宋体" w:hAnsi="宋体" w:cs="仿宋_GB2312"/>
          <w:shd w:val="clear" w:color="auto" w:fill="FFFFFF"/>
          <w:lang w:bidi="ar"/>
        </w:rPr>
        <w:t>我单位项目支出297.87万元，包括：污水处理专项业务费、污水截污干管费、污泥干化处置费、鹤中一体化燃气规划专项经费、专项（业务）费、</w:t>
      </w:r>
      <w:bookmarkStart w:id="0" w:name="_Hlk170902944"/>
      <w:r>
        <w:rPr>
          <w:rFonts w:hint="eastAsia" w:ascii="宋体" w:hAnsi="宋体" w:cs="仿宋_GB2312"/>
          <w:shd w:val="clear" w:color="auto" w:fill="FFFFFF"/>
          <w:lang w:bidi="ar"/>
        </w:rPr>
        <w:t>城市配套设施费安排的支出。</w:t>
      </w:r>
    </w:p>
    <w:bookmarkEnd w:id="0"/>
    <w:p>
      <w:pPr>
        <w:pStyle w:val="11"/>
        <w:ind w:firstLine="482"/>
        <w:rPr>
          <w:shd w:val="clear" w:color="auto" w:fill="FFFFFF"/>
          <w:lang w:bidi="ar"/>
        </w:rPr>
      </w:pPr>
      <w:r>
        <w:rPr>
          <w:rFonts w:hint="eastAsia"/>
          <w:shd w:val="clear" w:color="auto" w:fill="FFFFFF"/>
          <w:lang w:bidi="ar"/>
        </w:rPr>
        <w:t>3.项目组织管理机构</w:t>
      </w:r>
    </w:p>
    <w:p>
      <w:pPr>
        <w:pStyle w:val="42"/>
        <w:ind w:firstLine="480"/>
        <w:rPr>
          <w:rFonts w:ascii="宋体" w:hAnsi="宋体" w:cs="仿宋_GB2312"/>
          <w:shd w:val="clear" w:color="auto" w:fill="FFFFFF"/>
          <w:lang w:bidi="ar"/>
        </w:rPr>
      </w:pPr>
      <w:r>
        <w:rPr>
          <w:rFonts w:hint="eastAsia" w:ascii="宋体" w:hAnsi="宋体" w:cs="仿宋_GB2312"/>
          <w:shd w:val="clear" w:color="auto" w:fill="FFFFFF"/>
          <w:lang w:bidi="ar"/>
        </w:rPr>
        <w:t>项目都为怀化市城乡建设事务中心本级项目，项目组织管理机构为怀化市城乡建设事务中心本级。</w:t>
      </w:r>
    </w:p>
    <w:p>
      <w:pPr>
        <w:pStyle w:val="19"/>
        <w:ind w:firstLine="562"/>
        <w:rPr>
          <w:shd w:val="clear" w:color="auto" w:fill="FFFFFF"/>
        </w:rPr>
      </w:pPr>
      <w:r>
        <w:rPr>
          <w:rFonts w:hint="eastAsia"/>
          <w:shd w:val="clear" w:color="auto" w:fill="FFFFFF"/>
        </w:rPr>
        <w:t>（二）预算资金使用管理情况</w:t>
      </w:r>
    </w:p>
    <w:p>
      <w:pPr>
        <w:pStyle w:val="11"/>
        <w:ind w:firstLine="482"/>
        <w:rPr>
          <w:shd w:val="clear" w:color="auto" w:fill="FFFFFF"/>
          <w:lang w:bidi="ar"/>
        </w:rPr>
      </w:pPr>
      <w:bookmarkStart w:id="1" w:name="_Toc10810"/>
      <w:r>
        <w:rPr>
          <w:rFonts w:hint="eastAsia"/>
          <w:shd w:val="clear" w:color="auto" w:fill="FFFFFF"/>
          <w:lang w:bidi="ar"/>
        </w:rPr>
        <w:t>1.预算资金安排及管理情况</w:t>
      </w:r>
      <w:bookmarkEnd w:id="1"/>
    </w:p>
    <w:p>
      <w:pPr>
        <w:pStyle w:val="42"/>
        <w:ind w:firstLine="480"/>
        <w:rPr>
          <w:rFonts w:ascii="宋体" w:hAnsi="宋体" w:cs="仿宋_GB2312"/>
          <w:shd w:val="clear" w:color="auto" w:fill="FFFFFF"/>
          <w:lang w:bidi="ar"/>
        </w:rPr>
      </w:pPr>
      <w:r>
        <w:rPr>
          <w:rFonts w:hint="eastAsia" w:ascii="宋体" w:hAnsi="宋体" w:cs="仿宋_GB2312"/>
          <w:shd w:val="clear" w:color="auto" w:fill="FFFFFF"/>
          <w:lang w:bidi="ar"/>
        </w:rPr>
        <w:t>（1）资金来源及拨付流程</w:t>
      </w:r>
    </w:p>
    <w:p>
      <w:pPr>
        <w:pStyle w:val="42"/>
        <w:ind w:firstLine="480"/>
        <w:rPr>
          <w:rFonts w:ascii="宋体" w:hAnsi="宋体" w:cs="仿宋_GB2312"/>
          <w:shd w:val="clear" w:color="auto" w:fill="FFFFFF"/>
          <w:lang w:bidi="ar"/>
        </w:rPr>
      </w:pPr>
      <w:r>
        <w:rPr>
          <w:rFonts w:hint="eastAsia" w:ascii="宋体" w:hAnsi="宋体" w:cs="仿宋_GB2312"/>
          <w:shd w:val="clear" w:color="auto" w:fill="FFFFFF"/>
          <w:lang w:bidi="ar"/>
        </w:rPr>
        <w:t>项目资金全年到位数 297.87 万元，其中：一般公共预算拨款193.06万元，政府性基金预算拨款104.81万元、纳入财政专户管理的非税收入拨款0万元 ，国有资本经营预算拨款0万元。实施流程由业务部门进行项目相关资料收集审核，办公室复核，分管领导复核，单位主要负责人终审。资金支付由报账人填报—经办人审核—财务审核—分管领导签审。</w:t>
      </w:r>
    </w:p>
    <w:p>
      <w:pPr>
        <w:pStyle w:val="42"/>
        <w:ind w:firstLine="480"/>
        <w:rPr>
          <w:rFonts w:ascii="宋体" w:hAnsi="宋体" w:cs="仿宋_GB2312"/>
          <w:shd w:val="clear" w:color="auto" w:fill="FFFFFF"/>
          <w:lang w:bidi="ar"/>
        </w:rPr>
      </w:pPr>
      <w:r>
        <w:rPr>
          <w:rFonts w:hint="eastAsia" w:ascii="宋体" w:hAnsi="宋体" w:cs="仿宋_GB2312"/>
          <w:shd w:val="clear" w:color="auto" w:fill="FFFFFF"/>
          <w:lang w:bidi="ar"/>
        </w:rPr>
        <w:t>（2）资金到位情况</w:t>
      </w:r>
    </w:p>
    <w:p>
      <w:pPr>
        <w:pStyle w:val="42"/>
        <w:ind w:firstLine="480"/>
        <w:rPr>
          <w:rFonts w:ascii="仿宋_GB2312" w:hAnsi="仿宋_GB2312" w:eastAsia="仿宋_GB2312" w:cs="仿宋_GB2312"/>
          <w:shd w:val="clear" w:color="auto" w:fill="FFFFFF"/>
          <w:lang w:bidi="ar"/>
        </w:rPr>
      </w:pPr>
      <w:r>
        <w:rPr>
          <w:rFonts w:hint="eastAsia" w:ascii="宋体" w:hAnsi="宋体" w:cs="仿宋_GB2312"/>
          <w:shd w:val="clear" w:color="auto" w:fill="FFFFFF"/>
          <w:lang w:bidi="ar"/>
        </w:rPr>
        <w:t>项目支出年初预算数120 万元，实际到位297.87 万元。由于原怀化市城市管理事务管理中心并入，财政追加预算，包括污水处理业务费25.13万元、城市基础设施配套费安排的支出32万元、污水截污干管费81.80万元、污泥干化处置费72.81万元。</w:t>
      </w:r>
    </w:p>
    <w:p>
      <w:pPr>
        <w:topLinePunct/>
        <w:spacing w:line="600" w:lineRule="exact"/>
        <w:ind w:firstLine="1575" w:firstLineChars="750"/>
        <w:jc w:val="center"/>
        <w:rPr>
          <w:rFonts w:ascii="宋体" w:hAnsi="宋体" w:eastAsia="宋体" w:cs="仿宋_GB2312"/>
          <w:bCs/>
          <w:kern w:val="0"/>
          <w:szCs w:val="21"/>
          <w:shd w:val="clear" w:color="auto" w:fill="FFFFFF"/>
          <w:lang w:bidi="ar"/>
        </w:rPr>
      </w:pPr>
      <w:r>
        <w:rPr>
          <w:rFonts w:hint="eastAsia" w:ascii="宋体" w:hAnsi="宋体" w:eastAsia="宋体" w:cs="仿宋_GB2312"/>
          <w:bCs/>
          <w:kern w:val="0"/>
          <w:szCs w:val="21"/>
          <w:shd w:val="clear" w:color="auto" w:fill="FFFFFF"/>
          <w:lang w:bidi="ar"/>
        </w:rPr>
        <w:t>项目资金到位情况</w:t>
      </w:r>
    </w:p>
    <w:tbl>
      <w:tblPr>
        <w:tblStyle w:val="27"/>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3"/>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一级项目名称</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专项（业务）费</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5</w:t>
            </w:r>
            <w:r>
              <w:rPr>
                <w:rFonts w:ascii="宋体" w:hAnsi="宋体" w:eastAsia="宋体" w:cs="宋体"/>
                <w:color w:val="000000"/>
                <w:sz w:val="22"/>
              </w:rPr>
              <w:t>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污水处理业务费</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2</w:t>
            </w:r>
            <w:r>
              <w:rPr>
                <w:rFonts w:ascii="宋体" w:hAnsi="宋体" w:eastAsia="宋体" w:cs="宋体"/>
                <w:color w:val="000000"/>
                <w:sz w:val="22"/>
              </w:rPr>
              <w:t>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污泥干化处置费</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7</w:t>
            </w:r>
            <w:r>
              <w:rPr>
                <w:rFonts w:ascii="宋体" w:hAnsi="宋体" w:eastAsia="宋体" w:cs="宋体"/>
                <w:color w:val="000000"/>
                <w:sz w:val="22"/>
              </w:rPr>
              <w:t>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污水截污干管费</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8</w:t>
            </w:r>
            <w:r>
              <w:rPr>
                <w:rFonts w:ascii="宋体" w:hAnsi="宋体" w:eastAsia="宋体" w:cs="宋体"/>
                <w:color w:val="000000"/>
                <w:sz w:val="22"/>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鹤中一体化燃气规划专项经费</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2</w:t>
            </w:r>
            <w:r>
              <w:rPr>
                <w:rFonts w:ascii="宋体" w:hAnsi="宋体" w:eastAsia="宋体" w:cs="宋体"/>
                <w:color w:val="000000"/>
                <w:sz w:val="22"/>
              </w:rPr>
              <w:t>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sz w:val="22"/>
              </w:rPr>
            </w:pPr>
            <w:bookmarkStart w:id="2" w:name="_Hlk170903438"/>
            <w:r>
              <w:rPr>
                <w:rFonts w:hint="eastAsia" w:ascii="宋体" w:hAnsi="宋体" w:eastAsia="宋体" w:cs="宋体"/>
                <w:color w:val="000000"/>
                <w:kern w:val="0"/>
                <w:sz w:val="22"/>
                <w:lang w:bidi="ar"/>
              </w:rPr>
              <w:t>城市基础设施配套费安排的支出</w:t>
            </w:r>
            <w:bookmarkEnd w:id="2"/>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3</w:t>
            </w:r>
            <w:r>
              <w:rPr>
                <w:rFonts w:ascii="宋体" w:hAnsi="宋体" w:eastAsia="宋体" w:cs="宋体"/>
                <w:color w:val="000000"/>
                <w:sz w:val="22"/>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93" w:type="pct"/>
            <w:shd w:val="clear" w:color="auto" w:fill="FFFFFF"/>
            <w:noWrap/>
            <w:vAlign w:val="center"/>
          </w:tcPr>
          <w:p>
            <w:pPr>
              <w:widowControl/>
              <w:ind w:firstLine="440"/>
              <w:jc w:val="center"/>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总计</w:t>
            </w:r>
          </w:p>
        </w:tc>
        <w:tc>
          <w:tcPr>
            <w:tcW w:w="1207" w:type="pct"/>
            <w:shd w:val="clear" w:color="auto" w:fill="FFFFFF"/>
            <w:noWrap/>
            <w:vAlign w:val="center"/>
          </w:tcPr>
          <w:p>
            <w:pPr>
              <w:widowControl/>
              <w:ind w:firstLine="440"/>
              <w:jc w:val="center"/>
              <w:textAlignment w:val="center"/>
              <w:rPr>
                <w:rFonts w:ascii="宋体" w:hAnsi="宋体" w:eastAsia="宋体" w:cs="宋体"/>
                <w:color w:val="000000"/>
                <w:sz w:val="22"/>
              </w:rPr>
            </w:pPr>
            <w:r>
              <w:rPr>
                <w:rFonts w:hint="eastAsia" w:ascii="宋体" w:hAnsi="宋体" w:eastAsia="宋体" w:cs="宋体"/>
                <w:color w:val="000000"/>
                <w:sz w:val="22"/>
              </w:rPr>
              <w:t>2</w:t>
            </w:r>
            <w:r>
              <w:rPr>
                <w:rFonts w:ascii="宋体" w:hAnsi="宋体" w:eastAsia="宋体" w:cs="宋体"/>
                <w:color w:val="000000"/>
                <w:sz w:val="22"/>
              </w:rPr>
              <w:t>97.87</w:t>
            </w:r>
          </w:p>
        </w:tc>
      </w:tr>
    </w:tbl>
    <w:p>
      <w:pPr>
        <w:pStyle w:val="42"/>
        <w:ind w:firstLine="480"/>
        <w:rPr>
          <w:shd w:val="clear" w:color="auto" w:fill="FFFFFF"/>
          <w:lang w:bidi="ar"/>
        </w:rPr>
      </w:pPr>
      <w:r>
        <w:rPr>
          <w:rFonts w:hint="eastAsia"/>
          <w:shd w:val="clear" w:color="auto" w:fill="FFFFFF"/>
          <w:lang w:bidi="ar"/>
        </w:rPr>
        <w:t>（3）资金使用情况</w:t>
      </w:r>
    </w:p>
    <w:p>
      <w:pPr>
        <w:pStyle w:val="42"/>
        <w:ind w:firstLine="480"/>
        <w:rPr>
          <w:shd w:val="clear" w:color="auto" w:fill="FFFFFF"/>
          <w:lang w:bidi="ar"/>
        </w:rPr>
      </w:pPr>
      <w:r>
        <w:rPr>
          <w:rFonts w:hint="eastAsia"/>
          <w:shd w:val="clear" w:color="auto" w:fill="FFFFFF"/>
          <w:lang w:bidi="ar"/>
        </w:rPr>
        <w:t>项目支出年初预算数 120.00 万元，实际到位 297.87万元。实际支出297.87 万元，保持收支平衡。</w:t>
      </w:r>
    </w:p>
    <w:p>
      <w:pPr>
        <w:pStyle w:val="42"/>
        <w:ind w:firstLine="480"/>
        <w:rPr>
          <w:shd w:val="clear" w:color="auto" w:fill="FFFFFF"/>
          <w:lang w:bidi="ar"/>
        </w:rPr>
      </w:pPr>
      <w:r>
        <w:rPr>
          <w:rFonts w:hint="eastAsia"/>
          <w:shd w:val="clear" w:color="auto" w:fill="FFFFFF"/>
          <w:lang w:bidi="ar"/>
        </w:rPr>
        <w:t>（4）资金管理制度及执行情况</w:t>
      </w:r>
    </w:p>
    <w:p>
      <w:pPr>
        <w:pStyle w:val="42"/>
        <w:ind w:firstLine="480"/>
        <w:rPr>
          <w:shd w:val="clear" w:color="auto" w:fill="FFFFFF"/>
          <w:lang w:bidi="ar"/>
        </w:rPr>
      </w:pPr>
      <w:r>
        <w:rPr>
          <w:rFonts w:hint="eastAsia"/>
          <w:shd w:val="clear" w:color="auto" w:fill="FFFFFF"/>
          <w:lang w:bidi="ar"/>
        </w:rPr>
        <w:t>在资金使用和管理方面，我单位严格按照财政制度相关要求，坚持专款专用，按项目核算，严格按照规定的范围、标准和程序，加强专项资金的使用管理，确保了专项资金使用管理的规范性、安全性和有效性。</w:t>
      </w:r>
    </w:p>
    <w:p>
      <w:pPr>
        <w:pStyle w:val="11"/>
        <w:ind w:firstLine="482"/>
        <w:rPr>
          <w:shd w:val="clear" w:color="auto" w:fill="FFFFFF"/>
          <w:lang w:bidi="ar"/>
        </w:rPr>
      </w:pPr>
      <w:r>
        <w:rPr>
          <w:rFonts w:hint="eastAsia"/>
          <w:shd w:val="clear" w:color="auto" w:fill="FFFFFF"/>
          <w:lang w:bidi="ar"/>
        </w:rPr>
        <w:t>2.项目组织实施管理情况</w:t>
      </w:r>
    </w:p>
    <w:p>
      <w:pPr>
        <w:pStyle w:val="42"/>
        <w:ind w:firstLine="480"/>
        <w:rPr>
          <w:shd w:val="clear" w:color="auto" w:fill="FFFFFF"/>
          <w:lang w:bidi="ar"/>
        </w:rPr>
      </w:pPr>
      <w:bookmarkStart w:id="3" w:name="_Hlk169731161"/>
      <w:r>
        <w:rPr>
          <w:rFonts w:hint="eastAsia"/>
          <w:shd w:val="clear" w:color="auto" w:fill="FFFFFF"/>
          <w:lang w:bidi="ar"/>
        </w:rPr>
        <w:t>我单位在项目组织实施管理方面取得了显著成效。通过构建完善的项目组织体系、明确职责分工与协调机制、加强进度管理和质量管理等措施，确保了项目的顺利实施和高效推进。同时，我单位也将不断优化和完善项目实施管理的各个环节，提高项目资金使用效率。</w:t>
      </w:r>
      <w:bookmarkEnd w:id="3"/>
    </w:p>
    <w:p>
      <w:pPr>
        <w:pStyle w:val="19"/>
        <w:ind w:firstLine="562"/>
        <w:rPr>
          <w:shd w:val="clear" w:color="auto" w:fill="FFFFFF"/>
        </w:rPr>
      </w:pPr>
      <w:r>
        <w:rPr>
          <w:rFonts w:hint="eastAsia"/>
          <w:shd w:val="clear" w:color="auto" w:fill="FFFFFF"/>
        </w:rPr>
        <w:t>（三）预算绩效目标情况</w:t>
      </w:r>
    </w:p>
    <w:p>
      <w:pPr>
        <w:pStyle w:val="11"/>
        <w:ind w:firstLine="482"/>
        <w:rPr>
          <w:shd w:val="clear" w:color="auto" w:fill="FFFFFF"/>
          <w:lang w:bidi="ar"/>
        </w:rPr>
      </w:pPr>
      <w:r>
        <w:rPr>
          <w:rFonts w:hint="eastAsia"/>
          <w:shd w:val="clear" w:color="auto" w:fill="FFFFFF"/>
          <w:lang w:bidi="ar"/>
        </w:rPr>
        <w:t>1.绩效目标</w:t>
      </w:r>
    </w:p>
    <w:p>
      <w:pPr>
        <w:pStyle w:val="42"/>
        <w:ind w:firstLine="480"/>
        <w:rPr>
          <w:shd w:val="clear" w:color="auto" w:fill="FFFFFF"/>
          <w:lang w:bidi="ar"/>
        </w:rPr>
      </w:pPr>
      <w:r>
        <w:rPr>
          <w:rFonts w:hint="eastAsia"/>
          <w:shd w:val="clear" w:color="auto" w:fill="FFFFFF"/>
          <w:lang w:bidi="ar"/>
        </w:rPr>
        <w:t>招投标事务:（1）继续加强对招投标全过程的监督管理，尤其是标后履约监督管理，会同专治办、发改委等部门对中标人履约情况通过“双随机一公开”模式进行检查，严厉打击招投标违法违规行为，加大惩处力度。（2）深入推进建设工程招投标领域信用体系建设水平。进一步加强全市建设工程招标代理企业信用评价管理，以招标代理机构规范化考评和工程建设主体红黑名单为抓手，对问题反映较多、经营行为异常的市场主体进行重点关注，发现违法违规行为的严厉查处；持续推行招投标代理企业、投标企业招标投标公开承诺制，接受各方监督，规范从业行为。（3）进一步完善有效评标办法,重点研究分析经评审的最低投标价法利弊，从项目评审、标后实施等方面加以完善，同时针对不同的项目特点，充分考虑项目技术要求、复杂程度和招投标市场管理的综合目标，具体问题具体分析，在尊重业主选择的同时做好业务指导和引导，强化招标文件的科学性和可操作性。燃气事务:（1）强化督促指导。（2）强化监管整治。（3）紧跟怀化市国土空间规划及时完成怀化市城区城镇燃气发展专项规划的修编及评审工作。（4）根据“气化湖南”省气指示和要求，督促协调大湘西项目公司麻阳一怀化鹤城段、新奥天然气管道支干线项目（怀化段）加快建设，实现长输管线点火通气，继续推进各县市区长输管线建设。造价事务：（1）按照工程造价管理改革工作方案要求，做好向数字造价站转型相关工作。（2）做好2020《湖南省建设工程消耗量标准及计价办法》实施过程中意见及建议的收集整理工作。（3）完善工程计价依据发布机制，建立数据库，加强工程造价数据信息积累。（4）严格施工监理合同履约管理。（5）做好建设工程安全防护、文明施工措施费的核查工作。（6）开展2023年度工程造价咨询企业及注册造价工程师监督、检查工</w:t>
      </w:r>
      <w:r>
        <w:rPr>
          <w:rFonts w:hint="eastAsia"/>
          <w:spacing w:val="-6"/>
          <w:shd w:val="clear" w:color="auto" w:fill="FFFFFF"/>
          <w:lang w:bidi="ar"/>
        </w:rPr>
        <w:t>作；完成城区城镇燃气发展专项规划的修编及评审工作；污水整治：持续推进太平溪流域水环境问题巡视整改，深入开展城市黑臭水体排查整治；污泥运输严格按照环保要求，采用专用的密闭车辆进行转运，运输过程中进行全过程监控和管理；截污干管运行维护。</w:t>
      </w:r>
    </w:p>
    <w:p>
      <w:pPr>
        <w:pStyle w:val="11"/>
        <w:ind w:firstLine="482"/>
        <w:rPr>
          <w:shd w:val="clear" w:color="auto" w:fill="FFFFFF"/>
          <w:lang w:bidi="ar"/>
        </w:rPr>
      </w:pPr>
      <w:r>
        <w:rPr>
          <w:rFonts w:hint="eastAsia"/>
          <w:shd w:val="clear" w:color="auto" w:fill="FFFFFF"/>
          <w:lang w:bidi="ar"/>
        </w:rPr>
        <w:t>2.绩效指标</w:t>
      </w:r>
    </w:p>
    <w:p>
      <w:pPr>
        <w:pStyle w:val="42"/>
        <w:ind w:firstLine="480"/>
        <w:rPr>
          <w:shd w:val="clear" w:color="auto" w:fill="FFFFFF"/>
          <w:lang w:bidi="ar"/>
        </w:rPr>
      </w:pPr>
      <w:bookmarkStart w:id="4" w:name="_Hlk169731307"/>
      <w:r>
        <w:rPr>
          <w:rFonts w:hint="eastAsia"/>
          <w:shd w:val="clear" w:color="auto" w:fill="FFFFFF"/>
          <w:lang w:bidi="ar"/>
        </w:rPr>
        <w:t>我单位项目支出绩效指标涵盖了预算执行与控制、项目完成情况、资金使用效率、成本控制效果、资产管理状况、公共服务质量、经济效益和社会效益等方面。通过对这些指标的综合评估和分析，单位能够全面了解项目支出的绩效情况，为未来的项目管理和决策提供有力支持</w:t>
      </w:r>
      <w:bookmarkEnd w:id="4"/>
      <w:r>
        <w:rPr>
          <w:rFonts w:hint="eastAsia"/>
          <w:shd w:val="clear" w:color="auto" w:fill="FFFFFF"/>
          <w:lang w:bidi="ar"/>
        </w:rPr>
        <w:t>。</w:t>
      </w:r>
    </w:p>
    <w:p>
      <w:pPr>
        <w:pStyle w:val="18"/>
        <w:ind w:firstLine="602"/>
        <w:rPr>
          <w:shd w:val="clear" w:color="auto" w:fill="FFFFFF"/>
          <w:lang w:bidi="ar"/>
        </w:rPr>
      </w:pPr>
      <w:r>
        <w:rPr>
          <w:rFonts w:hint="eastAsia"/>
          <w:shd w:val="clear" w:color="auto" w:fill="FFFFFF"/>
          <w:lang w:bidi="ar"/>
        </w:rPr>
        <w:t>二、绩效评价工作情况</w:t>
      </w:r>
    </w:p>
    <w:p>
      <w:pPr>
        <w:pStyle w:val="19"/>
        <w:ind w:firstLine="562"/>
        <w:rPr>
          <w:shd w:val="clear" w:color="auto" w:fill="FFFFFF"/>
          <w:lang w:bidi="ar"/>
        </w:rPr>
      </w:pPr>
      <w:r>
        <w:rPr>
          <w:rFonts w:hint="eastAsia"/>
          <w:shd w:val="clear" w:color="auto" w:fill="FFFFFF"/>
          <w:lang w:bidi="ar"/>
        </w:rPr>
        <w:t>（一）绩效评价目的</w:t>
      </w:r>
    </w:p>
    <w:p>
      <w:pPr>
        <w:pStyle w:val="42"/>
        <w:ind w:firstLine="480"/>
        <w:rPr>
          <w:shd w:val="clear" w:color="auto" w:fill="FFFFFF"/>
          <w:lang w:bidi="ar"/>
        </w:rPr>
      </w:pPr>
      <w:bookmarkStart w:id="5" w:name="_Hlk169731456"/>
      <w:r>
        <w:rPr>
          <w:rFonts w:hint="eastAsia"/>
          <w:shd w:val="clear" w:color="auto" w:fill="FFFFFF"/>
          <w:lang w:bidi="ar"/>
        </w:rPr>
        <w:t>通过对我单位2023年度项目支出进行绩效自评，了解本单位项目支出资金使用情况及取得的成果，及时发现资金管理和项目实施过程中存在的问题，提出相关建议和采取相应的措施，从而为加强财政预算的规范化管理，提高专项资金的使用效益，强化预算约束提供重要的参考依据。</w:t>
      </w:r>
    </w:p>
    <w:bookmarkEnd w:id="5"/>
    <w:p>
      <w:pPr>
        <w:pStyle w:val="19"/>
        <w:ind w:firstLine="562"/>
        <w:rPr>
          <w:shd w:val="clear" w:color="auto" w:fill="FFFFFF"/>
          <w:lang w:bidi="ar"/>
        </w:rPr>
      </w:pPr>
      <w:bookmarkStart w:id="6" w:name="_Toc11844"/>
      <w:r>
        <w:rPr>
          <w:rFonts w:hint="eastAsia"/>
          <w:shd w:val="clear" w:color="auto" w:fill="FFFFFF"/>
          <w:lang w:bidi="ar"/>
        </w:rPr>
        <w:t>（二）被评价单位、绩效评价范围与时段</w:t>
      </w:r>
      <w:bookmarkEnd w:id="6"/>
    </w:p>
    <w:p>
      <w:pPr>
        <w:pStyle w:val="42"/>
        <w:ind w:firstLine="480"/>
        <w:rPr>
          <w:shd w:val="clear" w:color="auto" w:fill="FFFFFF"/>
          <w:lang w:bidi="ar"/>
        </w:rPr>
      </w:pPr>
      <w:bookmarkStart w:id="7" w:name="_Hlk169731529"/>
      <w:r>
        <w:rPr>
          <w:rFonts w:hint="eastAsia"/>
          <w:shd w:val="clear" w:color="auto" w:fill="FFFFFF"/>
          <w:lang w:bidi="ar"/>
        </w:rPr>
        <w:t>我单位项目支出绩效自评评价范围为2023年度项目支出，内容</w:t>
      </w:r>
      <w:bookmarkEnd w:id="7"/>
      <w:r>
        <w:rPr>
          <w:rFonts w:hint="eastAsia"/>
          <w:shd w:val="clear" w:color="auto" w:fill="FFFFFF"/>
          <w:lang w:bidi="ar"/>
        </w:rPr>
        <w:t>：污水处理专项业务费、污水截污干管费、污泥干化处置费、鹤中一体化燃气规划专项经费、专项（业务）费、城市配套设施费安排的支出。</w:t>
      </w:r>
    </w:p>
    <w:p>
      <w:pPr>
        <w:pStyle w:val="19"/>
        <w:ind w:firstLine="562"/>
        <w:rPr>
          <w:shd w:val="clear" w:color="auto" w:fill="FFFFFF"/>
          <w:lang w:bidi="ar"/>
        </w:rPr>
      </w:pPr>
      <w:bookmarkStart w:id="8" w:name="_Toc31835"/>
      <w:r>
        <w:rPr>
          <w:rFonts w:hint="eastAsia"/>
          <w:shd w:val="clear" w:color="auto" w:fill="FFFFFF"/>
          <w:lang w:bidi="ar"/>
        </w:rPr>
        <w:t>（三）绩效评价原则、评价指标体系、评价方法</w:t>
      </w:r>
      <w:bookmarkEnd w:id="8"/>
    </w:p>
    <w:p>
      <w:pPr>
        <w:pStyle w:val="42"/>
        <w:ind w:firstLine="480"/>
        <w:rPr>
          <w:shd w:val="clear" w:color="auto" w:fill="FFFFFF"/>
          <w:lang w:bidi="ar"/>
        </w:rPr>
      </w:pPr>
      <w:bookmarkStart w:id="9" w:name="_Hlk169731705"/>
      <w:r>
        <w:rPr>
          <w:rFonts w:hint="eastAsia"/>
          <w:shd w:val="clear" w:color="auto" w:fill="FFFFFF"/>
          <w:lang w:bidi="ar"/>
        </w:rPr>
        <w:t>按照《湖南省财政厅关于印发湖南省预算支出绩效评价管理办法的通知》（湘财绩〔2020〕7号）要求，我单位结合专项具体情况，设计了该项目的评价指标体系。指标体系分为共性指标和个性指标两部分，主要包括决策、过程、产出和效益四个维度，每个维度由一级、二级、三级指标构成，满分100分。绩效评价结果分为四个等级：90分（含）—100分为优，80分（含）—90分为良，60分（含）—80分为中，60分以下为差。</w:t>
      </w:r>
    </w:p>
    <w:bookmarkEnd w:id="9"/>
    <w:p>
      <w:pPr>
        <w:pStyle w:val="18"/>
        <w:ind w:firstLine="602"/>
        <w:rPr>
          <w:shd w:val="clear" w:color="auto" w:fill="FFFFFF"/>
          <w:lang w:bidi="ar"/>
        </w:rPr>
      </w:pPr>
      <w:bookmarkStart w:id="10" w:name="_Toc7615"/>
      <w:bookmarkStart w:id="11" w:name="_Toc32076"/>
      <w:r>
        <w:rPr>
          <w:rFonts w:hint="eastAsia"/>
          <w:shd w:val="clear" w:color="auto" w:fill="FFFFFF"/>
          <w:lang w:bidi="ar"/>
        </w:rPr>
        <w:t>三、主要绩效及评价结论</w:t>
      </w:r>
      <w:bookmarkEnd w:id="10"/>
      <w:bookmarkEnd w:id="11"/>
    </w:p>
    <w:p>
      <w:pPr>
        <w:pStyle w:val="19"/>
        <w:ind w:firstLine="562"/>
        <w:rPr>
          <w:shd w:val="clear" w:color="auto" w:fill="FFFFFF"/>
          <w:lang w:bidi="ar"/>
        </w:rPr>
      </w:pPr>
      <w:r>
        <w:rPr>
          <w:rFonts w:hint="eastAsia"/>
          <w:shd w:val="clear" w:color="auto" w:fill="FFFFFF"/>
          <w:lang w:bidi="ar"/>
        </w:rPr>
        <w:t>（一）社会效益</w:t>
      </w:r>
    </w:p>
    <w:p>
      <w:pPr>
        <w:pStyle w:val="42"/>
        <w:ind w:firstLine="480"/>
        <w:rPr>
          <w:shd w:val="clear" w:color="auto" w:fill="FFFFFF"/>
          <w:lang w:bidi="ar"/>
        </w:rPr>
      </w:pPr>
      <w:bookmarkStart w:id="12" w:name="_Hlk169731761"/>
      <w:r>
        <w:rPr>
          <w:rFonts w:hint="eastAsia"/>
          <w:shd w:val="clear" w:color="auto" w:fill="FFFFFF"/>
          <w:lang w:bidi="ar"/>
        </w:rPr>
        <w:t>我单位项目支出能够保障招标工作，提升电子化监管水平，完善电子交易平台硬件建设，健全行政监督部门协同监管和信息共享机制；提高招投标评审专家综合素质，强化评审专家责任，提高招投标的监督管理，规范招标代理机构选取；做好省住建厅新出台的计价依据的宣贯工作及实施过程中意见及建议的收集整理工作，进一步规范造价业务咨询工作，完善相关咨询制度，确保业务咨询工作公平、公正；项目支出能落实全国、全省城镇燃气安全专项整治工作部署，切</w:t>
      </w:r>
      <w:bookmarkStart w:id="13" w:name="_Hlk171150893"/>
      <w:r>
        <w:rPr>
          <w:rFonts w:hint="eastAsia"/>
          <w:shd w:val="clear" w:color="auto" w:fill="FFFFFF"/>
          <w:lang w:bidi="ar"/>
        </w:rPr>
        <w:t>实消除餐饮等人员密集场所突出安全隐患，构建风险管控和隐患排查双重预防机制</w:t>
      </w:r>
      <w:bookmarkEnd w:id="13"/>
      <w:r>
        <w:rPr>
          <w:rFonts w:hint="eastAsia"/>
          <w:shd w:val="clear" w:color="auto" w:fill="FFFFFF"/>
          <w:lang w:bidi="ar"/>
        </w:rPr>
        <w:t>，逐步建立严进、严管、重罚的燃气安全管理机制，切实保障人民群众生命财产安全；项目支出能持续推进太平溪流域水环境问题巡视整改，深入</w:t>
      </w:r>
      <w:bookmarkStart w:id="14" w:name="_Hlk171150941"/>
      <w:r>
        <w:rPr>
          <w:rFonts w:hint="eastAsia"/>
          <w:shd w:val="clear" w:color="auto" w:fill="FFFFFF"/>
          <w:lang w:bidi="ar"/>
        </w:rPr>
        <w:t>开展城市黑臭水体排查整治，改善城市质量与居民生存环境。</w:t>
      </w:r>
      <w:bookmarkEnd w:id="14"/>
      <w:r>
        <w:rPr>
          <w:rFonts w:hint="eastAsia"/>
          <w:shd w:val="clear" w:color="auto" w:fill="FFFFFF"/>
          <w:lang w:bidi="ar"/>
        </w:rPr>
        <w:t>污泥运输严格按照环保要求，采用专用的密闭车辆进行转运，运输过程中行进全过程监控和管理</w:t>
      </w:r>
      <w:bookmarkEnd w:id="12"/>
      <w:r>
        <w:rPr>
          <w:rFonts w:hint="eastAsia"/>
          <w:shd w:val="clear" w:color="auto" w:fill="FFFFFF"/>
          <w:lang w:bidi="ar"/>
        </w:rPr>
        <w:t>。</w:t>
      </w:r>
    </w:p>
    <w:p>
      <w:pPr>
        <w:pStyle w:val="19"/>
        <w:ind w:firstLine="562"/>
        <w:rPr>
          <w:shd w:val="clear" w:color="auto" w:fill="FFFFFF"/>
          <w:lang w:bidi="ar"/>
        </w:rPr>
      </w:pPr>
      <w:r>
        <w:rPr>
          <w:rFonts w:hint="eastAsia"/>
          <w:shd w:val="clear" w:color="auto" w:fill="FFFFFF"/>
          <w:lang w:bidi="ar"/>
        </w:rPr>
        <w:t>（二）生态效益</w:t>
      </w:r>
    </w:p>
    <w:p>
      <w:pPr>
        <w:pStyle w:val="42"/>
        <w:ind w:firstLine="480"/>
        <w:rPr>
          <w:shd w:val="clear" w:color="auto" w:fill="FFFFFF"/>
          <w:lang w:bidi="ar"/>
        </w:rPr>
      </w:pPr>
      <w:r>
        <w:rPr>
          <w:rFonts w:hint="eastAsia"/>
          <w:color w:val="000000"/>
          <w:shd w:val="clear" w:color="auto" w:fill="FFFFFF"/>
          <w:lang w:bidi="ar"/>
        </w:rPr>
        <w:t>项</w:t>
      </w:r>
      <w:r>
        <w:rPr>
          <w:rFonts w:hint="eastAsia"/>
          <w:shd w:val="clear" w:color="auto" w:fill="FFFFFF"/>
          <w:lang w:bidi="ar"/>
        </w:rPr>
        <w:t>目支出对于改善社会生态环境具有积极的作用。</w:t>
      </w:r>
    </w:p>
    <w:p>
      <w:pPr>
        <w:pStyle w:val="19"/>
        <w:ind w:firstLine="562"/>
        <w:rPr>
          <w:shd w:val="clear" w:color="auto" w:fill="FFFFFF"/>
          <w:lang w:bidi="ar"/>
        </w:rPr>
      </w:pPr>
      <w:r>
        <w:rPr>
          <w:rFonts w:hint="eastAsia"/>
          <w:shd w:val="clear" w:color="auto" w:fill="FFFFFF"/>
          <w:lang w:bidi="ar"/>
        </w:rPr>
        <w:t>（三）可持续影响</w:t>
      </w:r>
    </w:p>
    <w:p>
      <w:pPr>
        <w:pStyle w:val="42"/>
        <w:ind w:firstLine="480"/>
        <w:rPr>
          <w:shd w:val="clear" w:color="auto" w:fill="FFFFFF"/>
          <w:lang w:bidi="ar"/>
        </w:rPr>
      </w:pPr>
      <w:r>
        <w:rPr>
          <w:rFonts w:hint="eastAsia"/>
          <w:shd w:val="clear" w:color="auto" w:fill="FFFFFF"/>
          <w:lang w:bidi="ar"/>
        </w:rPr>
        <w:t>项目支出可为创业减负、营造良好的营商环境，切实保障企业平稳健康发展和人民群众生命财产安全，化解了造价纠纷矛盾，及时准确收集、整理、测算、上报怀化市典型工程造价指标及建筑工程成本信息，完成材料价格信息五期发布工作，为全市招投标、工程预结算提供了依据和参考，为合理确定和有效控制工程造价发挥了较大作用；消除餐饮等人员密集场所突出安全隐患，构建风险管控和隐患排查双重预防机制提升污水处理能力；开展城市黑臭水体排查整治，改善城市质量与居民生存环境；加强对污水主干管网维护单位的日常监管，督促指导维护单位建立应急预案，完善应急管理机制。</w:t>
      </w:r>
    </w:p>
    <w:p>
      <w:pPr>
        <w:pStyle w:val="19"/>
        <w:ind w:firstLine="562"/>
        <w:rPr>
          <w:shd w:val="clear" w:color="auto" w:fill="FFFFFF"/>
          <w:lang w:bidi="ar"/>
        </w:rPr>
      </w:pPr>
      <w:r>
        <w:rPr>
          <w:rFonts w:hint="eastAsia"/>
          <w:shd w:val="clear" w:color="auto" w:fill="FFFFFF"/>
          <w:lang w:bidi="ar"/>
        </w:rPr>
        <w:t>（四）满意度情况</w:t>
      </w:r>
    </w:p>
    <w:p>
      <w:pPr>
        <w:pStyle w:val="42"/>
        <w:ind w:firstLine="480"/>
        <w:rPr>
          <w:shd w:val="clear" w:color="auto" w:fill="FFFFFF"/>
          <w:lang w:bidi="ar"/>
        </w:rPr>
      </w:pPr>
      <w:bookmarkStart w:id="15" w:name="_Hlk169732179"/>
      <w:r>
        <w:rPr>
          <w:rFonts w:hint="eastAsia"/>
          <w:shd w:val="clear" w:color="auto" w:fill="FFFFFF"/>
          <w:lang w:bidi="ar"/>
        </w:rPr>
        <w:t>我单位在项目支出上的满意度情况较好，主要体现在公共服务质量提升、项目执行效率和效果、资金使用的透明度和合理性以及沟通互动与反馈机制等方面。然而，也需要注意到仍有提升的空间，我单位应继续加强项目管理，优化服务流程，提高资金使用效率，加强与市民和单位的沟通互动，以进一步提升满意度水平。</w:t>
      </w:r>
    </w:p>
    <w:bookmarkEnd w:id="15"/>
    <w:p>
      <w:pPr>
        <w:pStyle w:val="19"/>
        <w:ind w:firstLine="562"/>
        <w:rPr>
          <w:shd w:val="clear" w:color="auto" w:fill="FFFFFF"/>
          <w:lang w:bidi="ar"/>
        </w:rPr>
      </w:pPr>
      <w:r>
        <w:rPr>
          <w:rFonts w:hint="eastAsia"/>
          <w:shd w:val="clear" w:color="auto" w:fill="FFFFFF"/>
          <w:lang w:bidi="ar"/>
        </w:rPr>
        <w:t>（五）评价结论</w:t>
      </w:r>
    </w:p>
    <w:p>
      <w:pPr>
        <w:pStyle w:val="42"/>
        <w:ind w:firstLine="480"/>
        <w:rPr>
          <w:shd w:val="clear" w:color="auto" w:fill="FFFFFF"/>
          <w:lang w:bidi="ar"/>
        </w:rPr>
      </w:pPr>
      <w:bookmarkStart w:id="16" w:name="_Hlk169732264"/>
      <w:r>
        <w:rPr>
          <w:rFonts w:hint="eastAsia"/>
          <w:shd w:val="clear" w:color="auto" w:fill="FFFFFF"/>
          <w:lang w:bidi="ar"/>
        </w:rPr>
        <w:t>我单位在项目支出方面总体表现良好，但仍需继续努力改进和完善。我们相信在怀化市城乡建设事务中心开展2023年度预算支出绩效自评工作的积极推动下，未来项目支出将会更加科学、规范、有效。本单位评分结果为优。</w:t>
      </w:r>
    </w:p>
    <w:bookmarkEnd w:id="16"/>
    <w:p>
      <w:pPr>
        <w:pStyle w:val="18"/>
        <w:ind w:firstLine="602"/>
        <w:rPr>
          <w:shd w:val="clear" w:color="auto" w:fill="FFFFFF"/>
          <w:lang w:bidi="ar"/>
        </w:rPr>
      </w:pPr>
      <w:bookmarkStart w:id="17" w:name="_Toc27541"/>
      <w:bookmarkStart w:id="18" w:name="_Toc16332"/>
      <w:r>
        <w:rPr>
          <w:rFonts w:hint="eastAsia"/>
          <w:shd w:val="clear" w:color="auto" w:fill="FFFFFF"/>
          <w:lang w:bidi="ar"/>
        </w:rPr>
        <w:t>四、绩效评价指标分析</w:t>
      </w:r>
      <w:bookmarkEnd w:id="17"/>
      <w:bookmarkEnd w:id="18"/>
    </w:p>
    <w:p>
      <w:pPr>
        <w:pStyle w:val="19"/>
        <w:ind w:firstLine="562"/>
        <w:rPr>
          <w:shd w:val="clear" w:color="auto" w:fill="FFFFFF"/>
          <w:lang w:bidi="ar"/>
        </w:rPr>
      </w:pPr>
      <w:bookmarkStart w:id="19" w:name="_Toc17679"/>
      <w:r>
        <w:rPr>
          <w:rFonts w:hint="eastAsia"/>
          <w:shd w:val="clear" w:color="auto" w:fill="FFFFFF"/>
          <w:lang w:bidi="ar"/>
        </w:rPr>
        <w:t>（一）项目决策情况</w:t>
      </w:r>
      <w:bookmarkEnd w:id="19"/>
    </w:p>
    <w:p>
      <w:pPr>
        <w:pStyle w:val="42"/>
        <w:ind w:firstLine="480"/>
        <w:rPr>
          <w:shd w:val="clear" w:color="auto" w:fill="FFFFFF"/>
          <w:lang w:bidi="ar"/>
        </w:rPr>
      </w:pPr>
      <w:r>
        <w:rPr>
          <w:rFonts w:hint="eastAsia"/>
          <w:shd w:val="clear" w:color="auto" w:fill="FFFFFF"/>
          <w:lang w:bidi="ar"/>
        </w:rPr>
        <w:t>1.项目立项。项目立项依据充分，立项程序规范。</w:t>
      </w:r>
    </w:p>
    <w:p>
      <w:pPr>
        <w:pStyle w:val="42"/>
        <w:ind w:firstLine="480"/>
        <w:rPr>
          <w:shd w:val="clear" w:color="auto" w:fill="FFFFFF"/>
          <w:lang w:bidi="ar"/>
        </w:rPr>
      </w:pPr>
      <w:r>
        <w:rPr>
          <w:rFonts w:hint="eastAsia"/>
          <w:shd w:val="clear" w:color="auto" w:fill="FFFFFF"/>
          <w:lang w:bidi="ar"/>
        </w:rPr>
        <w:t>2.绩效目标。我单位2023年度所实施的项目年初编制了预算绩效目标，绩效目标指标值部分细化、量化。</w:t>
      </w:r>
    </w:p>
    <w:p>
      <w:pPr>
        <w:pStyle w:val="42"/>
        <w:ind w:firstLine="480"/>
        <w:rPr>
          <w:shd w:val="clear" w:color="auto" w:fill="FFFFFF"/>
          <w:lang w:bidi="ar"/>
        </w:rPr>
      </w:pPr>
      <w:r>
        <w:rPr>
          <w:rFonts w:hint="eastAsia"/>
          <w:shd w:val="clear" w:color="auto" w:fill="FFFFFF"/>
          <w:lang w:bidi="ar"/>
        </w:rPr>
        <w:t>3.资金投入。项目目标根据年度工作计划制定，按照《中华人民共和国预算法》的相关规定编制项目预算，经集体讨论研究，确保项目目标与实际工作相匹配。项目的预算金额及资金的分配按照年度重点工作计划进行分配，确保资金用在刀刃上。二是项目绩效指标提交第三方评审专家审核，对绩效目标审核不通过的项目不纳入预算，强化事前绩效目标管理的理念，在项目实施前期明确项目实施的目标及实施效果，压减无效低效的支出，提高资金使用效能。三是完善项目的管理制度，制定《怀化市城乡建设事务中心单位采购内控控制实施办法》，全面规范项目的实施，针对各项目的实施内容制定个别月度检查规定，定期通报项目资金的执行情况，确保项目按照既定的目标执行。</w:t>
      </w:r>
    </w:p>
    <w:p>
      <w:pPr>
        <w:pStyle w:val="19"/>
        <w:ind w:firstLine="562"/>
        <w:rPr>
          <w:shd w:val="clear" w:color="auto" w:fill="FFFFFF"/>
          <w:lang w:bidi="ar"/>
        </w:rPr>
      </w:pPr>
      <w:bookmarkStart w:id="20" w:name="_Toc28411"/>
      <w:r>
        <w:rPr>
          <w:rFonts w:hint="eastAsia"/>
          <w:shd w:val="clear" w:color="auto" w:fill="FFFFFF"/>
          <w:lang w:bidi="ar"/>
        </w:rPr>
        <w:t>（二）项目过程情况</w:t>
      </w:r>
      <w:bookmarkEnd w:id="20"/>
    </w:p>
    <w:p>
      <w:pPr>
        <w:pStyle w:val="11"/>
        <w:ind w:firstLine="482"/>
        <w:rPr>
          <w:shd w:val="clear" w:color="auto" w:fill="FFFFFF"/>
          <w:lang w:bidi="ar"/>
        </w:rPr>
      </w:pPr>
      <w:bookmarkStart w:id="21" w:name="_Toc10140"/>
      <w:r>
        <w:rPr>
          <w:rFonts w:hint="eastAsia"/>
          <w:shd w:val="clear" w:color="auto" w:fill="FFFFFF"/>
          <w:lang w:bidi="ar"/>
        </w:rPr>
        <w:t>1.资金管理</w:t>
      </w:r>
      <w:bookmarkEnd w:id="21"/>
    </w:p>
    <w:p>
      <w:pPr>
        <w:pStyle w:val="42"/>
        <w:ind w:firstLine="480"/>
        <w:rPr>
          <w:shd w:val="clear" w:color="auto" w:fill="FFFFFF"/>
          <w:lang w:bidi="ar"/>
        </w:rPr>
      </w:pPr>
      <w:r>
        <w:rPr>
          <w:rFonts w:hint="eastAsia"/>
          <w:shd w:val="clear" w:color="auto" w:fill="FFFFFF"/>
          <w:lang w:bidi="ar"/>
        </w:rPr>
        <w:t>严格按照《中华人民共和国政府采购法》《怀化市政府投资项目管理办法》要求，严格按照资金的支付制度，按照项目实施阶段向财政申请资金，坚持专款专用的原则，落实政府采购的各项规定，凡属政府采购目录内的项目，通过湖南政府采购智慧云平台进行采购。</w:t>
      </w:r>
    </w:p>
    <w:p>
      <w:pPr>
        <w:pStyle w:val="11"/>
        <w:ind w:firstLine="482"/>
        <w:rPr>
          <w:shd w:val="clear" w:color="auto" w:fill="FFFFFF"/>
          <w:lang w:bidi="ar"/>
        </w:rPr>
      </w:pPr>
      <w:bookmarkStart w:id="22" w:name="_Toc1210"/>
      <w:r>
        <w:rPr>
          <w:rFonts w:hint="eastAsia"/>
          <w:shd w:val="clear" w:color="auto" w:fill="FFFFFF"/>
          <w:lang w:bidi="ar"/>
        </w:rPr>
        <w:t>2.项目实施</w:t>
      </w:r>
      <w:bookmarkEnd w:id="22"/>
    </w:p>
    <w:p>
      <w:pPr>
        <w:pStyle w:val="42"/>
        <w:ind w:firstLine="480"/>
        <w:rPr>
          <w:shd w:val="clear" w:color="auto" w:fill="FFFFFF"/>
          <w:lang w:bidi="ar"/>
        </w:rPr>
      </w:pPr>
      <w:r>
        <w:rPr>
          <w:rFonts w:hint="eastAsia"/>
          <w:shd w:val="clear" w:color="auto" w:fill="FFFFFF"/>
          <w:lang w:bidi="ar"/>
        </w:rPr>
        <w:t>坚持科学管理，推进项目实施。针对项目的技术难点及施工时间节点，在研究项目实施时反复研究和推演，修订方案。对有专业壁垒的项目，委托有资质的专人现场监督管理，对发现的问题现场协调解决。对常规性的项目，安排管理人员每月进行项目实施的检查跟踪，保证项目按照进度进行。</w:t>
      </w:r>
    </w:p>
    <w:p>
      <w:pPr>
        <w:pStyle w:val="19"/>
        <w:ind w:firstLine="562"/>
        <w:rPr>
          <w:shd w:val="clear" w:color="auto" w:fill="FFFFFF"/>
          <w:lang w:bidi="ar"/>
        </w:rPr>
      </w:pPr>
      <w:r>
        <w:rPr>
          <w:rFonts w:hint="eastAsia"/>
          <w:shd w:val="clear" w:color="auto" w:fill="FFFFFF"/>
          <w:lang w:bidi="ar"/>
        </w:rPr>
        <w:t>（三）项目产出情况</w:t>
      </w:r>
    </w:p>
    <w:p>
      <w:pPr>
        <w:pStyle w:val="11"/>
        <w:ind w:firstLine="482"/>
        <w:rPr>
          <w:shd w:val="clear" w:color="auto" w:fill="FFFFFF"/>
          <w:lang w:bidi="ar"/>
        </w:rPr>
      </w:pPr>
      <w:bookmarkStart w:id="23" w:name="_Toc20742"/>
      <w:r>
        <w:rPr>
          <w:rFonts w:hint="eastAsia"/>
          <w:shd w:val="clear" w:color="auto" w:fill="FFFFFF"/>
          <w:lang w:bidi="ar"/>
        </w:rPr>
        <w:t>1.产出数量</w:t>
      </w:r>
      <w:bookmarkEnd w:id="23"/>
    </w:p>
    <w:p>
      <w:pPr>
        <w:pStyle w:val="42"/>
        <w:ind w:firstLine="480"/>
        <w:rPr>
          <w:shd w:val="clear" w:color="auto" w:fill="FFFFFF"/>
          <w:lang w:bidi="ar"/>
        </w:rPr>
      </w:pPr>
      <w:r>
        <w:rPr>
          <w:rFonts w:hint="eastAsia"/>
          <w:shd w:val="clear" w:color="auto" w:fill="FFFFFF"/>
          <w:lang w:bidi="ar"/>
        </w:rPr>
        <w:t>我单位有2个项目年初填报项目绩效目标表，年中增加了4个项目绩效目标，项目完成情况均为100%。</w:t>
      </w:r>
    </w:p>
    <w:p>
      <w:pPr>
        <w:pStyle w:val="11"/>
        <w:ind w:firstLine="482"/>
        <w:rPr>
          <w:shd w:val="clear" w:color="auto" w:fill="FFFFFF"/>
          <w:lang w:bidi="ar"/>
        </w:rPr>
      </w:pPr>
      <w:bookmarkStart w:id="24" w:name="_Toc5372"/>
      <w:r>
        <w:rPr>
          <w:rFonts w:hint="eastAsia"/>
          <w:shd w:val="clear" w:color="auto" w:fill="FFFFFF"/>
          <w:lang w:bidi="ar"/>
        </w:rPr>
        <w:t>2.产出质量</w:t>
      </w:r>
      <w:bookmarkEnd w:id="24"/>
    </w:p>
    <w:p>
      <w:pPr>
        <w:pStyle w:val="42"/>
        <w:ind w:firstLine="480"/>
        <w:rPr>
          <w:shd w:val="clear" w:color="auto" w:fill="FFFFFF"/>
          <w:lang w:bidi="ar"/>
        </w:rPr>
      </w:pPr>
      <w:r>
        <w:rPr>
          <w:rFonts w:hint="eastAsia"/>
          <w:shd w:val="clear" w:color="auto" w:fill="FFFFFF"/>
          <w:lang w:bidi="ar"/>
        </w:rPr>
        <w:t>我单位设定了明确且务实的预期目标。这些目标旨在确保经费的高效、合理和可持续使用，以推动各项工作的顺利进行，并最终实现预期的社会效益、经济效益和可持续效益。为实现这些目标，项目支出保障部门将发挥至关重要的作用，确保经费的及时、准确和有效投入。</w:t>
      </w:r>
    </w:p>
    <w:p>
      <w:pPr>
        <w:pStyle w:val="11"/>
        <w:ind w:firstLine="482"/>
        <w:rPr>
          <w:shd w:val="clear" w:color="auto" w:fill="FFFFFF"/>
          <w:lang w:bidi="ar"/>
        </w:rPr>
      </w:pPr>
      <w:bookmarkStart w:id="25" w:name="_Toc25948"/>
      <w:r>
        <w:rPr>
          <w:rFonts w:hint="eastAsia"/>
          <w:shd w:val="clear" w:color="auto" w:fill="FFFFFF"/>
          <w:lang w:bidi="ar"/>
        </w:rPr>
        <w:t>3.产出成本</w:t>
      </w:r>
      <w:bookmarkEnd w:id="25"/>
    </w:p>
    <w:p>
      <w:pPr>
        <w:pStyle w:val="42"/>
        <w:ind w:firstLine="480"/>
        <w:rPr>
          <w:shd w:val="clear" w:color="auto" w:fill="FFFFFF"/>
          <w:lang w:bidi="ar"/>
        </w:rPr>
      </w:pPr>
      <w:r>
        <w:rPr>
          <w:rFonts w:hint="eastAsia"/>
          <w:shd w:val="clear" w:color="auto" w:fill="FFFFFF"/>
          <w:lang w:bidi="ar"/>
        </w:rPr>
        <w:t>项目支出均未超出预算，专项（业务）费年初预算80万元，实际支出58.14万元，</w:t>
      </w:r>
      <w:r>
        <w:rPr>
          <w:rFonts w:hint="eastAsia"/>
          <w:color w:val="000000"/>
          <w:lang w:bidi="ar"/>
        </w:rPr>
        <w:t>鹤中一体化燃气规划专项经费</w:t>
      </w:r>
      <w:r>
        <w:rPr>
          <w:rFonts w:hint="eastAsia"/>
          <w:shd w:val="clear" w:color="auto" w:fill="FFFFFF"/>
          <w:lang w:bidi="ar"/>
        </w:rPr>
        <w:t>年初预算40万元，实际支出27.99万元，财政年中追加城市基础设施配套费安排的支出32万元，实际支出32万元，原怀化市城市管理事务管理中心于2023年7月并入我单位，财政预算追加污水处理专项业务费25.13万元、实际支出25.13万元，污水截污干管费预算99.14万元，实际支出81.80万元、污泥干化处置费预算200万元，实际支出72.81万元，我单位项目支出合计297.87万元。</w:t>
      </w:r>
    </w:p>
    <w:p>
      <w:pPr>
        <w:pStyle w:val="11"/>
        <w:ind w:firstLine="482"/>
        <w:rPr>
          <w:shd w:val="clear" w:color="auto" w:fill="FFFFFF"/>
          <w:lang w:bidi="ar"/>
        </w:rPr>
      </w:pPr>
      <w:bookmarkStart w:id="26" w:name="_Toc21477"/>
      <w:r>
        <w:rPr>
          <w:rFonts w:hint="eastAsia"/>
          <w:shd w:val="clear" w:color="auto" w:fill="FFFFFF"/>
          <w:lang w:bidi="ar"/>
        </w:rPr>
        <w:t>4.产出时效</w:t>
      </w:r>
      <w:bookmarkEnd w:id="26"/>
    </w:p>
    <w:p>
      <w:pPr>
        <w:pStyle w:val="42"/>
        <w:ind w:firstLine="480"/>
        <w:rPr>
          <w:shd w:val="clear" w:color="auto" w:fill="FFFFFF"/>
          <w:lang w:bidi="ar"/>
        </w:rPr>
      </w:pPr>
      <w:r>
        <w:rPr>
          <w:rFonts w:hint="eastAsia"/>
          <w:shd w:val="clear" w:color="auto" w:fill="FFFFFF"/>
          <w:lang w:bidi="ar"/>
        </w:rPr>
        <w:t>项目的完成时间均在本年度末完成，未超出时效。</w:t>
      </w:r>
    </w:p>
    <w:p>
      <w:pPr>
        <w:pStyle w:val="19"/>
        <w:ind w:firstLine="562"/>
        <w:rPr>
          <w:shd w:val="clear" w:color="auto" w:fill="FFFFFF"/>
          <w:lang w:bidi="ar"/>
        </w:rPr>
      </w:pPr>
      <w:bookmarkStart w:id="27" w:name="_Toc3072"/>
      <w:bookmarkStart w:id="28" w:name="_Toc12690"/>
      <w:r>
        <w:rPr>
          <w:rFonts w:hint="eastAsia"/>
          <w:shd w:val="clear" w:color="auto" w:fill="FFFFFF"/>
          <w:lang w:bidi="ar"/>
        </w:rPr>
        <w:t>（四）项目效益情况</w:t>
      </w:r>
      <w:bookmarkEnd w:id="27"/>
      <w:bookmarkEnd w:id="28"/>
    </w:p>
    <w:p>
      <w:pPr>
        <w:pStyle w:val="11"/>
        <w:ind w:firstLine="482"/>
        <w:rPr>
          <w:shd w:val="clear" w:color="auto" w:fill="FFFFFF"/>
          <w:lang w:bidi="ar"/>
        </w:rPr>
      </w:pPr>
      <w:r>
        <w:rPr>
          <w:rFonts w:hint="eastAsia"/>
          <w:shd w:val="clear" w:color="auto" w:fill="FFFFFF"/>
          <w:lang w:bidi="ar"/>
        </w:rPr>
        <w:t>1.社会效益</w:t>
      </w:r>
    </w:p>
    <w:p>
      <w:pPr>
        <w:pStyle w:val="42"/>
        <w:ind w:firstLine="480"/>
        <w:rPr>
          <w:shd w:val="clear" w:color="auto" w:fill="FFFFFF"/>
          <w:lang w:bidi="ar"/>
        </w:rPr>
      </w:pPr>
      <w:r>
        <w:rPr>
          <w:rFonts w:hint="eastAsia"/>
          <w:shd w:val="clear" w:color="auto" w:fill="FFFFFF"/>
          <w:lang w:bidi="ar"/>
        </w:rPr>
        <w:t>提升政府形象与公信力：我单位通过高效、透明的项目管理和预算使用，展现了政府的良好治理形象，增强了公众对政府的信任和支持。</w:t>
      </w:r>
    </w:p>
    <w:p>
      <w:pPr>
        <w:pStyle w:val="42"/>
        <w:ind w:firstLine="480"/>
        <w:rPr>
          <w:shd w:val="clear" w:color="auto" w:fill="FFFFFF"/>
          <w:lang w:bidi="ar"/>
        </w:rPr>
      </w:pPr>
      <w:r>
        <w:rPr>
          <w:rFonts w:hint="eastAsia"/>
          <w:shd w:val="clear" w:color="auto" w:fill="FFFFFF"/>
          <w:lang w:bidi="ar"/>
        </w:rPr>
        <w:t>优化公共服务：通过明确项目定位与需求，我单位能够更精准地满足社会各部门的服务要求，提升服务的质量和效率，从而满足人民群众的需求。</w:t>
      </w:r>
    </w:p>
    <w:p>
      <w:pPr>
        <w:pStyle w:val="42"/>
        <w:ind w:firstLine="480"/>
        <w:rPr>
          <w:shd w:val="clear" w:color="auto" w:fill="FFFFFF"/>
          <w:lang w:bidi="ar"/>
        </w:rPr>
      </w:pPr>
      <w:r>
        <w:rPr>
          <w:rFonts w:hint="eastAsia"/>
          <w:shd w:val="clear" w:color="auto" w:fill="FFFFFF"/>
          <w:lang w:bidi="ar"/>
        </w:rPr>
        <w:t>促进社会和谐稳定：通过加强资源共享与协同合作，我单位促进了机关内部各部门的团结与合作，有助于构建和谐的机关工作氛围，进而促进社会的稳定与发展。</w:t>
      </w:r>
    </w:p>
    <w:p>
      <w:pPr>
        <w:pStyle w:val="11"/>
        <w:ind w:firstLine="482"/>
        <w:rPr>
          <w:shd w:val="clear" w:color="auto" w:fill="FFFFFF"/>
          <w:lang w:bidi="ar"/>
        </w:rPr>
      </w:pPr>
      <w:r>
        <w:rPr>
          <w:rFonts w:hint="eastAsia"/>
          <w:shd w:val="clear" w:color="auto" w:fill="FFFFFF"/>
          <w:lang w:bidi="ar"/>
        </w:rPr>
        <w:t>2.经济效益</w:t>
      </w:r>
    </w:p>
    <w:p>
      <w:pPr>
        <w:pStyle w:val="42"/>
        <w:ind w:firstLine="480"/>
        <w:rPr>
          <w:shd w:val="clear" w:color="auto" w:fill="FFFFFF"/>
          <w:lang w:bidi="ar"/>
        </w:rPr>
      </w:pPr>
      <w:r>
        <w:rPr>
          <w:rFonts w:hint="eastAsia"/>
          <w:shd w:val="clear" w:color="auto" w:fill="FFFFFF"/>
          <w:lang w:bidi="ar"/>
        </w:rPr>
        <w:t>降低行政成本：通过制定科学合理的预算方案，我单位能够合理分配资源，避免浪费，有效降低行政成本。</w:t>
      </w:r>
    </w:p>
    <w:p>
      <w:pPr>
        <w:pStyle w:val="42"/>
        <w:ind w:firstLine="436"/>
        <w:rPr>
          <w:shd w:val="clear" w:color="auto" w:fill="FFFFFF"/>
          <w:lang w:bidi="ar"/>
        </w:rPr>
      </w:pPr>
      <w:r>
        <w:rPr>
          <w:rFonts w:hint="eastAsia"/>
          <w:spacing w:val="-11"/>
          <w:shd w:val="clear" w:color="auto" w:fill="FFFFFF"/>
          <w:lang w:bidi="ar"/>
        </w:rPr>
        <w:t>提高资金使用效率：加强项目执行与监督，确保资金按计划使用，能够最大限度地发挥资金的效益，实现经费的</w:t>
      </w:r>
      <w:r>
        <w:rPr>
          <w:rFonts w:hint="eastAsia"/>
          <w:shd w:val="clear" w:color="auto" w:fill="FFFFFF"/>
          <w:lang w:bidi="ar"/>
        </w:rPr>
        <w:t>有效利用。</w:t>
      </w:r>
    </w:p>
    <w:p>
      <w:pPr>
        <w:pStyle w:val="42"/>
        <w:ind w:firstLine="480"/>
        <w:rPr>
          <w:color w:val="000000"/>
          <w:shd w:val="clear" w:color="auto" w:fill="FFFFFF"/>
          <w:lang w:bidi="ar"/>
        </w:rPr>
      </w:pPr>
      <w:r>
        <w:rPr>
          <w:rFonts w:hint="eastAsia"/>
          <w:shd w:val="clear" w:color="auto" w:fill="FFFFFF"/>
          <w:lang w:bidi="ar"/>
        </w:rPr>
        <w:t>促进经济增长：我单位在项目实施过程中，可以带动相关产业的发展，为经济增长提供动力。同时，通过引入先进的管理理念和技术手段，也可以提升相关行业的竞争力和创新能力</w:t>
      </w:r>
      <w:r>
        <w:rPr>
          <w:rFonts w:hint="eastAsia"/>
          <w:color w:val="000000"/>
          <w:shd w:val="clear" w:color="auto" w:fill="FFFFFF"/>
          <w:lang w:bidi="ar"/>
        </w:rPr>
        <w:t>。</w:t>
      </w:r>
    </w:p>
    <w:p>
      <w:pPr>
        <w:pStyle w:val="11"/>
        <w:ind w:firstLine="482"/>
        <w:rPr>
          <w:shd w:val="clear" w:color="auto" w:fill="FFFFFF"/>
          <w:lang w:bidi="ar"/>
        </w:rPr>
      </w:pPr>
      <w:r>
        <w:rPr>
          <w:rFonts w:hint="eastAsia"/>
          <w:shd w:val="clear" w:color="auto" w:fill="FFFFFF"/>
          <w:lang w:bidi="ar"/>
        </w:rPr>
        <w:t>3.可持续效益</w:t>
      </w:r>
    </w:p>
    <w:p>
      <w:pPr>
        <w:pStyle w:val="42"/>
        <w:ind w:firstLine="480"/>
        <w:rPr>
          <w:shd w:val="clear" w:color="auto" w:fill="FFFFFF"/>
          <w:lang w:bidi="ar"/>
        </w:rPr>
      </w:pPr>
      <w:r>
        <w:rPr>
          <w:rFonts w:hint="eastAsia"/>
          <w:shd w:val="clear" w:color="auto" w:fill="FFFFFF"/>
          <w:lang w:bidi="ar"/>
        </w:rPr>
        <w:t>可持续管理制度建立：我单位在项目实施过程中，注重风险管理与应对，建立起一套可持续的管理制度，为未来的项目实施提供了可借鉴的经验和模式。</w:t>
      </w:r>
    </w:p>
    <w:p>
      <w:pPr>
        <w:pStyle w:val="42"/>
        <w:ind w:firstLine="480"/>
        <w:rPr>
          <w:shd w:val="clear" w:color="auto" w:fill="FFFFFF"/>
          <w:lang w:bidi="ar"/>
        </w:rPr>
      </w:pPr>
      <w:r>
        <w:rPr>
          <w:rFonts w:hint="eastAsia"/>
          <w:shd w:val="clear" w:color="auto" w:fill="FFFFFF"/>
          <w:lang w:bidi="ar"/>
        </w:rPr>
        <w:t>综上所述，我单位通过一系列的操作和策略，实现了社会效益、经济效益和可持续效益的多重提升，为政府形象的塑造、公共服务的优化以及社会的可持续发展做出了积极贡献</w:t>
      </w:r>
    </w:p>
    <w:p>
      <w:pPr>
        <w:pStyle w:val="18"/>
        <w:ind w:firstLine="602"/>
        <w:rPr>
          <w:shd w:val="clear" w:color="auto" w:fill="FFFFFF"/>
          <w:lang w:bidi="ar"/>
        </w:rPr>
      </w:pPr>
      <w:bookmarkStart w:id="29" w:name="_Toc390267055"/>
      <w:bookmarkStart w:id="30" w:name="_Toc390096931"/>
      <w:bookmarkStart w:id="31" w:name="_Toc24241"/>
      <w:bookmarkStart w:id="32" w:name="_Toc12414"/>
      <w:r>
        <w:rPr>
          <w:rFonts w:hint="eastAsia"/>
          <w:shd w:val="clear" w:color="auto" w:fill="FFFFFF"/>
          <w:lang w:bidi="ar"/>
        </w:rPr>
        <w:t>五、项目主要经验、存在的问题</w:t>
      </w:r>
      <w:bookmarkEnd w:id="29"/>
      <w:bookmarkEnd w:id="30"/>
      <w:r>
        <w:rPr>
          <w:rFonts w:hint="eastAsia"/>
          <w:shd w:val="clear" w:color="auto" w:fill="FFFFFF"/>
          <w:lang w:bidi="ar"/>
        </w:rPr>
        <w:t>及建议</w:t>
      </w:r>
      <w:bookmarkEnd w:id="31"/>
      <w:bookmarkEnd w:id="32"/>
    </w:p>
    <w:p>
      <w:pPr>
        <w:pStyle w:val="19"/>
        <w:ind w:firstLine="562"/>
        <w:rPr>
          <w:shd w:val="clear" w:color="auto" w:fill="FFFFFF"/>
          <w:lang w:bidi="ar"/>
        </w:rPr>
      </w:pPr>
      <w:bookmarkStart w:id="33" w:name="_Toc23434"/>
      <w:bookmarkStart w:id="34" w:name="_Toc5316"/>
      <w:r>
        <w:rPr>
          <w:rFonts w:hint="eastAsia"/>
          <w:shd w:val="clear" w:color="auto" w:fill="FFFFFF"/>
          <w:lang w:bidi="ar"/>
        </w:rPr>
        <w:t>（一）项目主要经验</w:t>
      </w:r>
      <w:bookmarkEnd w:id="33"/>
      <w:r>
        <w:rPr>
          <w:rFonts w:hint="eastAsia"/>
          <w:shd w:val="clear" w:color="auto" w:fill="FFFFFF"/>
          <w:lang w:bidi="ar"/>
        </w:rPr>
        <w:t>及做法</w:t>
      </w:r>
      <w:bookmarkEnd w:id="34"/>
    </w:p>
    <w:p>
      <w:pPr>
        <w:pStyle w:val="11"/>
        <w:ind w:firstLine="482"/>
        <w:rPr>
          <w:shd w:val="clear" w:color="auto" w:fill="FFFFFF"/>
          <w:lang w:bidi="ar"/>
        </w:rPr>
      </w:pPr>
      <w:r>
        <w:rPr>
          <w:rFonts w:hint="eastAsia"/>
          <w:shd w:val="clear" w:color="auto" w:fill="FFFFFF"/>
          <w:lang w:bidi="ar"/>
        </w:rPr>
        <w:t>1.跨部门协作与沟通</w:t>
      </w:r>
    </w:p>
    <w:p>
      <w:pPr>
        <w:pStyle w:val="42"/>
        <w:ind w:firstLine="480"/>
        <w:rPr>
          <w:shd w:val="clear" w:color="auto" w:fill="FFFFFF"/>
          <w:lang w:bidi="ar"/>
        </w:rPr>
      </w:pPr>
      <w:r>
        <w:rPr>
          <w:rFonts w:hint="eastAsia"/>
          <w:shd w:val="clear" w:color="auto" w:fill="FFFFFF"/>
          <w:lang w:bidi="ar"/>
        </w:rPr>
        <w:t>项目实施和绩效评价涉及多个部门和单位的配合与协作。我单位积极加强部门间的沟通与协调，确保评价工作的顺利进行。同时，我单位也鼓励各部门积极参与评价过程，共同分析项目存在的问题，并探讨改进措施。</w:t>
      </w:r>
    </w:p>
    <w:p>
      <w:pPr>
        <w:pStyle w:val="11"/>
        <w:ind w:firstLine="482"/>
        <w:rPr>
          <w:shd w:val="clear" w:color="auto" w:fill="FFFFFF"/>
          <w:lang w:bidi="ar"/>
        </w:rPr>
      </w:pPr>
      <w:r>
        <w:rPr>
          <w:rFonts w:hint="eastAsia"/>
          <w:shd w:val="clear" w:color="auto" w:fill="FFFFFF"/>
          <w:lang w:bidi="ar"/>
        </w:rPr>
        <w:t>2.持续改进与反馈机制</w:t>
      </w:r>
    </w:p>
    <w:p>
      <w:pPr>
        <w:pStyle w:val="42"/>
        <w:ind w:firstLine="480"/>
        <w:rPr>
          <w:shd w:val="clear" w:color="auto" w:fill="FFFFFF"/>
          <w:lang w:bidi="ar"/>
        </w:rPr>
      </w:pPr>
      <w:r>
        <w:rPr>
          <w:rFonts w:hint="eastAsia"/>
          <w:shd w:val="clear" w:color="auto" w:fill="FFFFFF"/>
          <w:lang w:bidi="ar"/>
        </w:rPr>
        <w:t>我单位认识到项目绩效评价是一个持续的过程，而非一次性的工作。因此，我单位建立了持续改进和反馈机制，根据项目绩效评价的结果及时调整和优化项目实施方案，确保项目能够持续、有效地推进。</w:t>
      </w:r>
    </w:p>
    <w:p>
      <w:pPr>
        <w:pStyle w:val="19"/>
        <w:ind w:firstLine="562"/>
        <w:rPr>
          <w:shd w:val="clear" w:color="auto" w:fill="FFFFFF"/>
          <w:lang w:bidi="ar"/>
        </w:rPr>
      </w:pPr>
      <w:bookmarkStart w:id="35" w:name="_Toc6772"/>
      <w:bookmarkStart w:id="36" w:name="_Toc2597"/>
      <w:r>
        <w:rPr>
          <w:rFonts w:hint="eastAsia"/>
          <w:shd w:val="clear" w:color="auto" w:fill="FFFFFF"/>
          <w:lang w:bidi="ar"/>
        </w:rPr>
        <w:t>（二）存在的问题</w:t>
      </w:r>
      <w:bookmarkEnd w:id="35"/>
      <w:bookmarkEnd w:id="36"/>
    </w:p>
    <w:p>
      <w:pPr>
        <w:pStyle w:val="11"/>
        <w:ind w:firstLine="482"/>
        <w:rPr>
          <w:shd w:val="clear" w:color="auto" w:fill="FFFFFF"/>
          <w:lang w:bidi="ar"/>
        </w:rPr>
      </w:pPr>
      <w:bookmarkStart w:id="37" w:name="_Hlk169380000"/>
      <w:r>
        <w:rPr>
          <w:rFonts w:hint="eastAsia"/>
          <w:shd w:val="clear" w:color="auto" w:fill="FFFFFF"/>
          <w:lang w:bidi="ar"/>
        </w:rPr>
        <w:t>1.评价体系有待完善</w:t>
      </w:r>
    </w:p>
    <w:p>
      <w:pPr>
        <w:pStyle w:val="42"/>
        <w:ind w:firstLine="480"/>
        <w:rPr>
          <w:shd w:val="clear" w:color="auto" w:fill="FFFFFF"/>
          <w:lang w:bidi="ar"/>
        </w:rPr>
      </w:pPr>
      <w:r>
        <w:rPr>
          <w:rFonts w:hint="eastAsia"/>
          <w:shd w:val="clear" w:color="auto" w:fill="FFFFFF"/>
          <w:lang w:bidi="ar"/>
        </w:rPr>
        <w:t>尽管我单位在项目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p>
    <w:p>
      <w:pPr>
        <w:pStyle w:val="11"/>
        <w:ind w:firstLine="482"/>
        <w:rPr>
          <w:shd w:val="clear" w:color="auto" w:fill="FFFFFF"/>
          <w:lang w:bidi="ar"/>
        </w:rPr>
      </w:pPr>
      <w:r>
        <w:rPr>
          <w:rFonts w:hint="eastAsia"/>
          <w:shd w:val="clear" w:color="auto" w:fill="FFFFFF"/>
          <w:lang w:bidi="ar"/>
        </w:rPr>
        <w:t>2.数据收集与分析存在局限性</w:t>
      </w:r>
    </w:p>
    <w:p>
      <w:pPr>
        <w:pStyle w:val="42"/>
        <w:ind w:firstLine="480"/>
        <w:rPr>
          <w:shd w:val="clear" w:color="auto" w:fill="FFFFFF"/>
          <w:lang w:bidi="ar"/>
        </w:rPr>
      </w:pPr>
      <w:r>
        <w:rPr>
          <w:rFonts w:hint="eastAsia"/>
          <w:shd w:val="clear" w:color="auto" w:fill="FFFFFF"/>
          <w:lang w:bidi="ar"/>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p>
    <w:bookmarkEnd w:id="37"/>
    <w:p>
      <w:pPr>
        <w:pStyle w:val="11"/>
        <w:ind w:firstLine="482"/>
        <w:rPr>
          <w:shd w:val="clear" w:color="auto" w:fill="FFFFFF"/>
          <w:lang w:bidi="ar"/>
        </w:rPr>
      </w:pPr>
      <w:bookmarkStart w:id="38" w:name="_Hlk169380044"/>
      <w:r>
        <w:rPr>
          <w:rFonts w:hint="eastAsia"/>
          <w:shd w:val="clear" w:color="auto" w:fill="FFFFFF"/>
          <w:lang w:bidi="ar"/>
        </w:rPr>
        <w:t>3.部门间协作与沟通不够顺畅</w:t>
      </w:r>
    </w:p>
    <w:p>
      <w:pPr>
        <w:pStyle w:val="42"/>
        <w:ind w:firstLine="480"/>
        <w:rPr>
          <w:shd w:val="clear" w:color="auto" w:fill="FFFFFF"/>
          <w:lang w:bidi="ar"/>
        </w:rPr>
      </w:pPr>
      <w:r>
        <w:rPr>
          <w:rFonts w:hint="eastAsia"/>
          <w:shd w:val="clear" w:color="auto" w:fill="FFFFFF"/>
          <w:lang w:bidi="ar"/>
        </w:rPr>
        <w:t>尽管我单位加强了部门间的沟通与协作，但在实际操作中仍存在一些问题。例如，部分部门对项目绩效评价工作的重要性认识不足，参与度和配合度有待提高；同时，部门间信息共享和沟通渠道不畅通，也影响了评价工作的效率和准确性。</w:t>
      </w:r>
    </w:p>
    <w:p>
      <w:pPr>
        <w:pStyle w:val="11"/>
        <w:ind w:firstLine="482"/>
        <w:rPr>
          <w:shd w:val="clear" w:color="auto" w:fill="FFFFFF"/>
          <w:lang w:bidi="ar"/>
        </w:rPr>
      </w:pPr>
      <w:r>
        <w:rPr>
          <w:rFonts w:hint="eastAsia"/>
          <w:shd w:val="clear" w:color="auto" w:fill="FFFFFF"/>
          <w:lang w:bidi="ar"/>
        </w:rPr>
        <w:t>4.反馈与改进机制尚需加强</w:t>
      </w:r>
    </w:p>
    <w:p>
      <w:pPr>
        <w:pStyle w:val="42"/>
        <w:ind w:firstLine="480"/>
        <w:rPr>
          <w:shd w:val="clear" w:color="auto" w:fill="FFFFFF"/>
          <w:lang w:bidi="ar"/>
        </w:rPr>
      </w:pPr>
      <w:r>
        <w:rPr>
          <w:rFonts w:hint="eastAsia"/>
          <w:shd w:val="clear" w:color="auto" w:fill="FFFFFF"/>
          <w:lang w:bidi="ar"/>
        </w:rPr>
        <w:t>虽然我单位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p>
    <w:bookmarkEnd w:id="38"/>
    <w:p>
      <w:pPr>
        <w:pStyle w:val="19"/>
        <w:ind w:firstLine="562"/>
        <w:rPr>
          <w:shd w:val="clear" w:color="auto" w:fill="FFFFFF"/>
          <w:lang w:bidi="ar"/>
        </w:rPr>
      </w:pPr>
      <w:bookmarkStart w:id="39" w:name="_Toc29278"/>
      <w:bookmarkStart w:id="40" w:name="_Toc16271"/>
      <w:r>
        <w:rPr>
          <w:rFonts w:hint="eastAsia"/>
          <w:shd w:val="clear" w:color="auto" w:fill="FFFFFF"/>
          <w:lang w:bidi="ar"/>
        </w:rPr>
        <w:t>（三）有关建议</w:t>
      </w:r>
      <w:bookmarkEnd w:id="39"/>
      <w:bookmarkEnd w:id="40"/>
    </w:p>
    <w:p>
      <w:pPr>
        <w:pStyle w:val="11"/>
        <w:ind w:firstLine="482"/>
        <w:rPr>
          <w:shd w:val="clear" w:color="auto" w:fill="FFFFFF"/>
          <w:lang w:bidi="ar"/>
        </w:rPr>
      </w:pPr>
      <w:bookmarkStart w:id="41" w:name="_Hlk169380110"/>
      <w:r>
        <w:rPr>
          <w:rFonts w:hint="eastAsia"/>
          <w:shd w:val="clear" w:color="auto" w:fill="FFFFFF"/>
          <w:lang w:bidi="ar"/>
        </w:rPr>
        <w:t>1.完善评价体系</w:t>
      </w:r>
    </w:p>
    <w:p>
      <w:pPr>
        <w:pStyle w:val="42"/>
        <w:ind w:firstLine="480"/>
        <w:rPr>
          <w:shd w:val="clear" w:color="auto" w:fill="FFFFFF"/>
          <w:lang w:bidi="ar"/>
        </w:rPr>
      </w:pPr>
      <w:r>
        <w:rPr>
          <w:rFonts w:hint="eastAsia"/>
          <w:shd w:val="clear" w:color="auto" w:fill="FFFFFF"/>
          <w:lang w:bidi="ar"/>
        </w:rPr>
        <w:t>①细化指标设置：对现有的绩效指标进行进一步的细化和分类，确保每个指标都能准确反映项目的特定方面和实际情况。</w:t>
      </w:r>
    </w:p>
    <w:p>
      <w:pPr>
        <w:pStyle w:val="42"/>
        <w:ind w:firstLine="480"/>
        <w:rPr>
          <w:shd w:val="clear" w:color="auto" w:fill="FFFFFF"/>
          <w:lang w:bidi="ar"/>
        </w:rPr>
      </w:pPr>
      <w:r>
        <w:rPr>
          <w:rFonts w:hint="eastAsia"/>
          <w:shd w:val="clear" w:color="auto" w:fill="FFFFFF"/>
          <w:lang w:bidi="ar"/>
        </w:rPr>
        <w:t>合理分配权重：根据项目的核心目标和关键成功因素，重新评估和调整各项指标的权重，确保权重分配更加合理和科学。</w:t>
      </w:r>
    </w:p>
    <w:p>
      <w:pPr>
        <w:pStyle w:val="42"/>
        <w:ind w:firstLine="480"/>
        <w:rPr>
          <w:shd w:val="clear" w:color="auto" w:fill="FFFFFF"/>
          <w:lang w:bidi="ar"/>
        </w:rPr>
      </w:pPr>
      <w:r>
        <w:rPr>
          <w:rFonts w:hint="eastAsia"/>
          <w:shd w:val="clear" w:color="auto" w:fill="FFFFFF"/>
          <w:lang w:bidi="ar"/>
        </w:rPr>
        <w:t>②引入专家评审：邀请行业专家和学者参与评价体系的制定和完善过程，借鉴他们的专业知识和经验，提升评价体系的权威性和准确性。</w:t>
      </w:r>
    </w:p>
    <w:p>
      <w:pPr>
        <w:pStyle w:val="11"/>
        <w:ind w:firstLine="482"/>
        <w:rPr>
          <w:shd w:val="clear" w:color="auto" w:fill="FFFFFF"/>
          <w:lang w:bidi="ar"/>
        </w:rPr>
      </w:pPr>
      <w:r>
        <w:rPr>
          <w:rFonts w:hint="eastAsia"/>
          <w:shd w:val="clear" w:color="auto" w:fill="FFFFFF"/>
          <w:lang w:bidi="ar"/>
        </w:rPr>
        <w:t>2.加强数据收集与分析能力</w:t>
      </w:r>
    </w:p>
    <w:p>
      <w:pPr>
        <w:pStyle w:val="42"/>
        <w:ind w:firstLine="480"/>
        <w:rPr>
          <w:shd w:val="clear" w:color="auto" w:fill="FFFFFF"/>
          <w:lang w:bidi="ar"/>
        </w:rPr>
      </w:pPr>
      <w:r>
        <w:rPr>
          <w:rFonts w:hint="eastAsia"/>
          <w:shd w:val="clear" w:color="auto" w:fill="FFFFFF"/>
          <w:lang w:bidi="ar"/>
        </w:rPr>
        <w:t>①完善数据收集机制：建立统一的数据收集标准和流程，确保数据来源的可靠性和一致性。同时，加强对数据质量的监控和审核，确保数据的真实性和准确性。</w:t>
      </w:r>
    </w:p>
    <w:p>
      <w:pPr>
        <w:pStyle w:val="42"/>
        <w:ind w:firstLine="480"/>
        <w:rPr>
          <w:shd w:val="clear" w:color="auto" w:fill="FFFFFF"/>
          <w:lang w:bidi="ar"/>
        </w:rPr>
      </w:pPr>
      <w:r>
        <w:rPr>
          <w:rFonts w:hint="eastAsia"/>
          <w:shd w:val="clear" w:color="auto" w:fill="FFFFFF"/>
          <w:lang w:bidi="ar"/>
        </w:rPr>
        <w:t>②引入先进分析方法：在数据分析方面，可以引入更高级的数据挖掘和机器学习技术，对大量数据进行深度挖掘和分析，以发现隐藏在数据背后的规律和问题。</w:t>
      </w:r>
    </w:p>
    <w:p>
      <w:pPr>
        <w:pStyle w:val="42"/>
        <w:ind w:firstLine="480"/>
        <w:rPr>
          <w:shd w:val="clear" w:color="auto" w:fill="FFFFFF"/>
          <w:lang w:bidi="ar"/>
        </w:rPr>
      </w:pPr>
      <w:r>
        <w:rPr>
          <w:rFonts w:hint="eastAsia"/>
          <w:shd w:val="clear" w:color="auto" w:fill="FFFFFF"/>
          <w:lang w:bidi="ar"/>
        </w:rPr>
        <w:t>③加强数据培训：针对部门内部人员对数据分析技术的掌握程度不同，可以开展相关的数据分析和技术培训，提升整体的数据分析能力。</w:t>
      </w:r>
    </w:p>
    <w:p>
      <w:pPr>
        <w:pStyle w:val="11"/>
        <w:ind w:firstLine="482"/>
        <w:rPr>
          <w:shd w:val="clear" w:color="auto" w:fill="FFFFFF"/>
          <w:lang w:bidi="ar"/>
        </w:rPr>
      </w:pPr>
      <w:r>
        <w:rPr>
          <w:rFonts w:hint="eastAsia"/>
          <w:shd w:val="clear" w:color="auto" w:fill="FFFFFF"/>
          <w:lang w:bidi="ar"/>
        </w:rPr>
        <w:t>3.加强部门间协作与沟通</w:t>
      </w:r>
    </w:p>
    <w:p>
      <w:pPr>
        <w:pStyle w:val="42"/>
        <w:ind w:firstLine="480"/>
        <w:rPr>
          <w:shd w:val="clear" w:color="auto" w:fill="FFFFFF"/>
          <w:lang w:bidi="ar"/>
        </w:rPr>
      </w:pPr>
      <w:r>
        <w:rPr>
          <w:rFonts w:hint="eastAsia"/>
          <w:shd w:val="clear" w:color="auto" w:fill="FFFFFF"/>
          <w:lang w:bidi="ar"/>
        </w:rPr>
        <w:t>①提高认识与参与度：通过组织培训和宣传活动，提高各部门对项目绩效评价工作的认识和重视程度，鼓励各部门积极参与评价工作。</w:t>
      </w:r>
    </w:p>
    <w:p>
      <w:pPr>
        <w:pStyle w:val="42"/>
        <w:ind w:firstLine="480"/>
        <w:rPr>
          <w:shd w:val="clear" w:color="auto" w:fill="FFFFFF"/>
          <w:lang w:bidi="ar"/>
        </w:rPr>
      </w:pPr>
      <w:r>
        <w:rPr>
          <w:rFonts w:hint="eastAsia"/>
          <w:shd w:val="clear" w:color="auto" w:fill="FFFFFF"/>
          <w:lang w:bidi="ar"/>
        </w:rPr>
        <w:t>②建立信息共享平台：搭建一个部门间信息共享和交流的平台，方便各部门及时获取项目绩效评价的相关信息和数据，促进部门间的协作和沟通。</w:t>
      </w:r>
    </w:p>
    <w:p>
      <w:pPr>
        <w:pStyle w:val="42"/>
        <w:ind w:firstLine="480"/>
        <w:rPr>
          <w:shd w:val="clear" w:color="auto" w:fill="FFFFFF"/>
          <w:lang w:bidi="ar"/>
        </w:rPr>
      </w:pPr>
      <w:r>
        <w:rPr>
          <w:rFonts w:hint="eastAsia"/>
          <w:shd w:val="clear" w:color="auto" w:fill="FFFFFF"/>
          <w:lang w:bidi="ar"/>
        </w:rPr>
        <w:t>③定期召开协调会议：定期召开项目绩效评价工作的协调会议，听取各部门的意见和建议，解决工作中出现的问题和困难，推动评价工作的顺利进行。</w:t>
      </w:r>
    </w:p>
    <w:p>
      <w:pPr>
        <w:pStyle w:val="11"/>
        <w:ind w:firstLine="482"/>
        <w:rPr>
          <w:shd w:val="clear" w:color="auto" w:fill="FFFFFF"/>
          <w:lang w:bidi="ar"/>
        </w:rPr>
      </w:pPr>
      <w:r>
        <w:rPr>
          <w:rFonts w:hint="eastAsia"/>
          <w:shd w:val="clear" w:color="auto" w:fill="FFFFFF"/>
          <w:lang w:bidi="ar"/>
        </w:rPr>
        <w:t>4.强化反馈与改进机制</w:t>
      </w:r>
    </w:p>
    <w:p>
      <w:pPr>
        <w:pStyle w:val="42"/>
        <w:ind w:firstLine="480"/>
        <w:rPr>
          <w:shd w:val="clear" w:color="auto" w:fill="FFFFFF"/>
          <w:lang w:bidi="ar"/>
        </w:rPr>
      </w:pPr>
      <w:r>
        <w:rPr>
          <w:rFonts w:hint="eastAsia"/>
          <w:shd w:val="clear" w:color="auto" w:fill="FFFFFF"/>
          <w:lang w:bidi="ar"/>
        </w:rPr>
        <w:t>①建立反馈渠道：设立专门的反馈渠道或热线，方便各部门和项目团队对评价结果进行反馈和提出改进建议。</w:t>
      </w:r>
    </w:p>
    <w:p>
      <w:pPr>
        <w:pStyle w:val="42"/>
        <w:ind w:firstLine="480"/>
        <w:rPr>
          <w:shd w:val="clear" w:color="auto" w:fill="FFFFFF"/>
          <w:lang w:bidi="ar"/>
        </w:rPr>
      </w:pPr>
      <w:r>
        <w:rPr>
          <w:rFonts w:hint="eastAsia"/>
          <w:shd w:val="clear" w:color="auto" w:fill="FFFFFF"/>
          <w:lang w:bidi="ar"/>
        </w:rPr>
        <w:t>②加强监督与评估：对改进措施的实施情况进行定期监督和评估，确保改进措施得到有效落实。同时，对未达到预期效果的改进措施进行调整和完善。</w:t>
      </w:r>
    </w:p>
    <w:p>
      <w:pPr>
        <w:pStyle w:val="42"/>
        <w:ind w:firstLine="480"/>
        <w:rPr>
          <w:shd w:val="clear" w:color="auto" w:fill="FFFFFF"/>
          <w:lang w:bidi="ar"/>
        </w:rPr>
      </w:pPr>
      <w:r>
        <w:rPr>
          <w:rFonts w:hint="eastAsia"/>
          <w:shd w:val="clear" w:color="auto" w:fill="FFFFFF"/>
          <w:lang w:bidi="ar"/>
        </w:rPr>
        <w:t>③鼓励创新与实践：鼓励各部门和项目团队在实践中积极探索和创新，对有效的改进措施进行总结和推广，以不断提升项目绩效评价工作的质量和水平。</w:t>
      </w:r>
    </w:p>
    <w:bookmarkEnd w:id="41"/>
    <w:p>
      <w:pPr>
        <w:pStyle w:val="42"/>
        <w:ind w:firstLine="480"/>
        <w:rPr>
          <w:shd w:val="clear" w:color="auto" w:fill="FFFFFF"/>
          <w:lang w:bidi="ar"/>
        </w:rPr>
      </w:pPr>
      <w:r>
        <w:rPr>
          <w:rFonts w:hint="eastAsia"/>
          <w:shd w:val="clear" w:color="auto" w:fill="FFFFFF"/>
          <w:lang w:bidi="ar"/>
        </w:rPr>
        <w:t>报告包括以下附件：</w:t>
      </w:r>
    </w:p>
    <w:p>
      <w:pPr>
        <w:pStyle w:val="42"/>
        <w:ind w:firstLine="480"/>
        <w:rPr>
          <w:shd w:val="clear" w:color="auto" w:fill="FFFFFF"/>
          <w:lang w:bidi="ar"/>
        </w:rPr>
      </w:pPr>
      <w:r>
        <w:rPr>
          <w:rFonts w:hint="eastAsia"/>
          <w:shd w:val="clear" w:color="auto" w:fill="FFFFFF"/>
          <w:lang w:bidi="ar"/>
        </w:rPr>
        <w:t>项目支出绩效自评表</w:t>
      </w:r>
      <w:bookmarkStart w:id="42" w:name="_Hlk169978644"/>
    </w:p>
    <w:p>
      <w:pPr>
        <w:pStyle w:val="42"/>
        <w:ind w:firstLine="480"/>
        <w:rPr>
          <w:shd w:val="clear" w:color="auto" w:fill="FFFFFF"/>
          <w:lang w:bidi="ar"/>
        </w:rPr>
      </w:pPr>
      <w:r>
        <w:rPr>
          <w:rFonts w:hint="eastAsia"/>
          <w:shd w:val="clear" w:color="auto" w:fill="FFFFFF"/>
          <w:lang w:bidi="ar"/>
        </w:rPr>
        <w:br w:type="page"/>
      </w:r>
    </w:p>
    <w:p>
      <w:pPr>
        <w:pStyle w:val="42"/>
        <w:ind w:firstLine="480"/>
        <w:rPr>
          <w:shd w:val="clear" w:color="auto" w:fill="FFFFFF"/>
          <w:lang w:bidi="ar"/>
        </w:rPr>
      </w:pPr>
      <w:r>
        <w:rPr>
          <w:rFonts w:hint="eastAsia"/>
          <w:shd w:val="clear" w:color="auto" w:fill="FFFFFF"/>
        </w:rPr>
        <w:t>附件2-1</w:t>
      </w:r>
    </w:p>
    <w:p>
      <w:pPr>
        <w:pStyle w:val="42"/>
        <w:ind w:firstLine="420"/>
        <w:jc w:val="center"/>
        <w:rPr>
          <w:sz w:val="21"/>
          <w:szCs w:val="21"/>
        </w:rPr>
      </w:pPr>
      <w:r>
        <w:rPr>
          <w:rFonts w:hint="eastAsia"/>
          <w:sz w:val="21"/>
          <w:szCs w:val="21"/>
        </w:rPr>
        <w:t>项目支出绩效自评表</w:t>
      </w:r>
    </w:p>
    <w:tbl>
      <w:tblPr>
        <w:tblStyle w:val="27"/>
        <w:tblW w:w="98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86"/>
        <w:gridCol w:w="1043"/>
        <w:gridCol w:w="1194"/>
        <w:gridCol w:w="992"/>
        <w:gridCol w:w="1258"/>
        <w:gridCol w:w="1344"/>
        <w:gridCol w:w="818"/>
        <w:gridCol w:w="12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98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项目支</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出名称</w:t>
            </w:r>
          </w:p>
        </w:tc>
        <w:tc>
          <w:tcPr>
            <w:tcW w:w="8864"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专项（业务）费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98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主管部门</w:t>
            </w:r>
          </w:p>
        </w:tc>
        <w:tc>
          <w:tcPr>
            <w:tcW w:w="4215" w:type="dxa"/>
            <w:gridSpan w:val="4"/>
            <w:tcBorders>
              <w:tl2br w:val="nil"/>
              <w:tr2bl w:val="nil"/>
            </w:tcBorders>
            <w:vAlign w:val="center"/>
          </w:tcPr>
          <w:p>
            <w:pPr>
              <w:widowControl/>
              <w:spacing w:line="360" w:lineRule="exact"/>
              <w:jc w:val="center"/>
              <w:rPr>
                <w:rFonts w:ascii="宋体" w:hAnsi="宋体" w:eastAsia="宋体" w:cs="楷体_GB2312"/>
                <w:bCs/>
                <w:szCs w:val="21"/>
              </w:rPr>
            </w:pP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实施单位</w:t>
            </w:r>
          </w:p>
        </w:tc>
        <w:tc>
          <w:tcPr>
            <w:tcW w:w="3391" w:type="dxa"/>
            <w:gridSpan w:val="3"/>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项目资金（万元）</w:t>
            </w:r>
          </w:p>
        </w:tc>
        <w:tc>
          <w:tcPr>
            <w:tcW w:w="2029"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122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029"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年度资金总额　</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0.00</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8.14</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8.14</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22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029"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其中：当年财政拨款　</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0.00</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8.14</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w:t>
            </w:r>
            <w:r>
              <w:rPr>
                <w:rFonts w:ascii="宋体" w:hAnsi="宋体" w:eastAsia="宋体" w:cs="楷体_GB2312"/>
                <w:bCs/>
                <w:szCs w:val="21"/>
              </w:rPr>
              <w:t>8.14</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29"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029"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上年结转资金　</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29"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87"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029"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29"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987"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4215"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4649"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bookmarkStart w:id="43" w:name="_Hlk170908152"/>
          </w:p>
        </w:tc>
        <w:tc>
          <w:tcPr>
            <w:tcW w:w="4215"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1、招投标事务:（1）继续加强对招投标全过程的监督管理，尤其是标后履约监督管理，会同专治办、发改等部门对中标人履约情况通过“双随机一公开”模式进行检查，严厉打击招投标违法违规行为，加大惩处力度。（2）深入推进建设工程招投标领域信用体系建设水平。进一步加强全市建设工程招标代理企业信用评价管理，以招标代理机构规范化考评和工程建设主体红黑名单为抓手，对问题反映较多、经营行为异常的市场主体进行重点关注，发现违法违规行为的严厉查处；持续推行招投标代理企业、投标企业招标投标公开承诺制，接受各方监督，规范从业行为。（3）进一步完善有效评标办法,重点研究分析经评审的最低投标价法利弊，从项目评审、标后实施等方面加以完善，同时针对不同的项目特点，充分考虑项目技术要求、复杂程度和招投标市场管理的综合目标，具体问题具体分析，在尊重业主选择的同时做好业务指导和引导，强化招标文件的科学性和可操作性。2、燃气事务:（1）强化督促指导。（2）强化监管整治。（3）紧跟怀化市国土空间规划及时完成怀化市城区城镇燃气发展专项规划的修编及评审工作。（4）根据"气化湖南”省气指的要求，督促协调大湘西项目公司麻阳一怀化鹤城段、新奥天然气管道支干线项目（怀化段）加快建设，实现长输管线点火通气，继续推进各县市区长输管线建设。3、造价事务（1）按照工程造价管理改革工作方案要求，做好向数字造价站转型相关工作。（2）做好2020《湖南省建设工程消耗量标准及计价办法》实施过程中意见及建议的收集整理工作。（3）完善工程计价依据发布机制，建立数据库，加强工程造价数据信息积累。（4）严格施工监理合同履约管理。（5）做好建设工程安全防护、文明施工措施费的核查工作。（6）开展2023年度工程造价咨询企业及注册造价工程师监督、检查工作。</w:t>
            </w:r>
          </w:p>
        </w:tc>
        <w:tc>
          <w:tcPr>
            <w:tcW w:w="4649"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招投标专项整治：制定《关于开展2023年度全市房屋建筑和市政基础设施工程标后稽查工作的通知》、《怀化市2023年住建领域招投标突出问题专项整治工作方案》等，持续推动招投标专项整治向纵深发展，成立招投标突出问题专项整治工作领导小组，承担专项整治工作方案中各项任务的综合协调、跟踪督办、监督检查、政策起草等专项整治工作。造价计价依据宣贯：于</w:t>
            </w:r>
            <w:r>
              <w:rPr>
                <w:rFonts w:hint="eastAsia" w:ascii="宋体" w:hAnsi="宋体" w:eastAsia="宋体" w:cs="楷体_GB2312"/>
                <w:bCs/>
                <w:szCs w:val="21"/>
              </w:rPr>
              <w:t>2023</w:t>
            </w:r>
            <w:r>
              <w:rPr>
                <w:rFonts w:ascii="宋体" w:hAnsi="宋体" w:eastAsia="宋体" w:cs="楷体_GB2312"/>
                <w:bCs/>
                <w:szCs w:val="21"/>
              </w:rPr>
              <w:t>年3月9-10日，举办“2022年计价依据”宣贯交底培训，组织市县住建、财评、审计、施工、造价咨询机构等相关单位的120余名造价从业人员参加培训。燃气安全专项整治：制定了《怀化市城镇燃气安全专项整治工作方案》《怀化市城镇燃气用户橡胶软管等更换实施方案》等，成立了怀化市城镇燃气安全专项整治工作专班。全年完成41.66万户燃气入户安检，22.54万户燃气橡胶软管更换，9712户燃气餐饮企业检查，1.06万户城镇燃气平台的信息入录。燃气管道涉铁安全隐患整治：进过一年的努力牵头负责的全市燃气管道涉铁隐患20处，已全部完成整改，鹤城全市涉铁隐患剩余1处因地质原因正在抓紧进场施工。按序时推进。</w:t>
            </w:r>
          </w:p>
          <w:p>
            <w:pPr>
              <w:widowControl/>
              <w:spacing w:line="360" w:lineRule="exact"/>
              <w:jc w:val="left"/>
              <w:rPr>
                <w:rFonts w:ascii="宋体" w:hAnsi="宋体" w:eastAsia="宋体" w:cs="楷体_GB2312"/>
                <w:bCs/>
                <w:szCs w:val="21"/>
              </w:rPr>
            </w:pPr>
          </w:p>
        </w:tc>
      </w:tr>
      <w:bookmarkEnd w:id="43"/>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87"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标</w:t>
            </w:r>
          </w:p>
        </w:tc>
        <w:tc>
          <w:tcPr>
            <w:tcW w:w="98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年度指标值</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实际完成值</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偏差原因</w:t>
            </w:r>
          </w:p>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分析及</w:t>
            </w:r>
          </w:p>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（50分）</w:t>
            </w: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刊物发行数</w:t>
            </w:r>
          </w:p>
        </w:tc>
        <w:tc>
          <w:tcPr>
            <w:tcW w:w="992" w:type="dxa"/>
            <w:tcBorders>
              <w:tl2br w:val="nil"/>
              <w:tr2bl w:val="nil"/>
            </w:tcBorders>
            <w:vAlign w:val="center"/>
          </w:tcPr>
          <w:p>
            <w:pPr>
              <w:widowControl/>
              <w:spacing w:line="360" w:lineRule="exact"/>
              <w:jc w:val="center"/>
              <w:rPr>
                <w:rFonts w:ascii="宋体" w:hAnsi="宋体" w:eastAsia="宋体" w:cs="宋体"/>
                <w:bCs/>
                <w:kern w:val="0"/>
                <w:szCs w:val="21"/>
              </w:rPr>
            </w:pPr>
            <w:r>
              <w:rPr>
                <w:rFonts w:hint="eastAsia" w:ascii="宋体" w:hAnsi="宋体" w:eastAsia="宋体" w:cs="楷体_GB2312"/>
                <w:bCs/>
                <w:szCs w:val="21"/>
              </w:rPr>
              <w:t>≥3</w:t>
            </w:r>
            <w:r>
              <w:rPr>
                <w:rFonts w:ascii="宋体" w:hAnsi="宋体" w:eastAsia="宋体" w:cs="楷体_GB2312"/>
                <w:bCs/>
                <w:szCs w:val="21"/>
              </w:rPr>
              <w:t>000</w:t>
            </w:r>
            <w:r>
              <w:rPr>
                <w:rFonts w:hint="eastAsia" w:ascii="宋体" w:hAnsi="宋体" w:eastAsia="宋体" w:cs="楷体_GB2312"/>
                <w:bCs/>
                <w:szCs w:val="21"/>
              </w:rPr>
              <w:t>份</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w:t>
            </w:r>
            <w:r>
              <w:rPr>
                <w:rFonts w:ascii="宋体" w:hAnsi="宋体" w:eastAsia="宋体" w:cs="楷体_GB2312"/>
                <w:bCs/>
                <w:szCs w:val="21"/>
              </w:rPr>
              <w:t>000</w:t>
            </w:r>
            <w:r>
              <w:rPr>
                <w:rFonts w:hint="eastAsia" w:ascii="宋体" w:hAnsi="宋体" w:eastAsia="宋体" w:cs="楷体_GB2312"/>
                <w:bCs/>
                <w:szCs w:val="21"/>
              </w:rPr>
              <w:t>份</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项目验收合格率</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100%</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100%</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完成及时情况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023</w:t>
            </w:r>
            <w:r>
              <w:rPr>
                <w:rFonts w:hint="eastAsia" w:ascii="宋体" w:hAnsi="宋体" w:eastAsia="宋体" w:cs="楷体_GB2312"/>
                <w:bCs/>
                <w:szCs w:val="21"/>
              </w:rPr>
              <w:t>年1</w:t>
            </w:r>
            <w:r>
              <w:rPr>
                <w:rFonts w:ascii="宋体" w:hAnsi="宋体" w:eastAsia="宋体" w:cs="楷体_GB2312"/>
                <w:bCs/>
                <w:szCs w:val="21"/>
              </w:rPr>
              <w:t>2</w:t>
            </w:r>
            <w:r>
              <w:rPr>
                <w:rFonts w:hint="eastAsia" w:ascii="宋体" w:hAnsi="宋体" w:eastAsia="宋体" w:cs="楷体_GB2312"/>
                <w:bCs/>
                <w:szCs w:val="21"/>
              </w:rPr>
              <w:t>月之前</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在规定时间内完成</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项目成本控制</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0</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w:t>
            </w:r>
            <w:r>
              <w:rPr>
                <w:rFonts w:hint="eastAsia" w:ascii="宋体" w:hAnsi="宋体" w:eastAsia="宋体" w:cs="楷体_GB2312"/>
                <w:bCs/>
                <w:szCs w:val="21"/>
              </w:rPr>
              <w:t>5</w:t>
            </w:r>
            <w:r>
              <w:rPr>
                <w:rFonts w:ascii="宋体" w:hAnsi="宋体" w:eastAsia="宋体" w:cs="楷体_GB2312"/>
                <w:bCs/>
                <w:szCs w:val="21"/>
              </w:rPr>
              <w:t>8.14</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效益指标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（30分）</w:t>
            </w: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按时发布全市造价信息</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94" w:type="dxa"/>
            <w:tcBorders>
              <w:tl2br w:val="nil"/>
              <w:tr2bl w:val="nil"/>
            </w:tcBorders>
            <w:vAlign w:val="center"/>
          </w:tcPr>
          <w:p>
            <w:pPr>
              <w:widowControl/>
              <w:spacing w:line="360" w:lineRule="exact"/>
              <w:jc w:val="center"/>
              <w:rPr>
                <w:rFonts w:ascii="宋体" w:hAnsi="宋体" w:eastAsia="宋体" w:cs="楷体_GB2312"/>
                <w:bCs/>
                <w:kern w:val="0"/>
                <w:szCs w:val="21"/>
              </w:rPr>
            </w:pPr>
            <w:r>
              <w:rPr>
                <w:rFonts w:hint="eastAsia" w:ascii="宋体" w:hAnsi="宋体" w:eastAsia="宋体" w:cs="楷体_GB2312"/>
                <w:bCs/>
                <w:szCs w:val="21"/>
              </w:rPr>
              <w:t>保证市民及时掌握造价信息</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9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生态效益情况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344" w:type="dxa"/>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5</w:t>
            </w:r>
          </w:p>
        </w:tc>
        <w:tc>
          <w:tcPr>
            <w:tcW w:w="818" w:type="dxa"/>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3</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1194" w:type="dxa"/>
            <w:tcBorders>
              <w:tl2br w:val="nil"/>
              <w:tr2bl w:val="nil"/>
            </w:tcBorders>
            <w:vAlign w:val="center"/>
          </w:tcPr>
          <w:p>
            <w:pPr>
              <w:widowControl/>
              <w:spacing w:line="360" w:lineRule="exact"/>
              <w:jc w:val="center"/>
              <w:rPr>
                <w:rFonts w:ascii="宋体" w:hAnsi="宋体" w:eastAsia="宋体" w:cs="楷体_GB2312"/>
                <w:bCs/>
                <w:kern w:val="0"/>
                <w:szCs w:val="21"/>
              </w:rPr>
            </w:pPr>
            <w:r>
              <w:rPr>
                <w:rFonts w:hint="eastAsia" w:ascii="宋体" w:hAnsi="宋体" w:eastAsia="宋体" w:cs="楷体_GB2312"/>
                <w:bCs/>
                <w:szCs w:val="21"/>
              </w:rPr>
              <w:t>可持续影响情况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344" w:type="dxa"/>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5</w:t>
            </w:r>
          </w:p>
        </w:tc>
        <w:tc>
          <w:tcPr>
            <w:tcW w:w="818" w:type="dxa"/>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5</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7"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98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满意度指标</w:t>
            </w:r>
          </w:p>
          <w:p>
            <w:pPr>
              <w:widowControl/>
              <w:spacing w:line="360" w:lineRule="exact"/>
              <w:rPr>
                <w:rFonts w:ascii="宋体" w:hAnsi="宋体" w:eastAsia="宋体" w:cs="楷体_GB2312"/>
                <w:bCs/>
                <w:szCs w:val="21"/>
              </w:rPr>
            </w:pPr>
            <w:r>
              <w:rPr>
                <w:rFonts w:hint="eastAsia" w:ascii="宋体" w:hAnsi="宋体" w:eastAsia="宋体" w:cs="楷体_GB2312"/>
                <w:bCs/>
                <w:szCs w:val="21"/>
              </w:rPr>
              <w:t>（10分）</w:t>
            </w:r>
          </w:p>
        </w:tc>
        <w:tc>
          <w:tcPr>
            <w:tcW w:w="104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1194" w:type="dxa"/>
            <w:tcBorders>
              <w:tl2br w:val="nil"/>
              <w:tr2bl w:val="nil"/>
            </w:tcBorders>
            <w:vAlign w:val="center"/>
          </w:tcPr>
          <w:p>
            <w:pPr>
              <w:widowControl/>
              <w:spacing w:line="360" w:lineRule="exact"/>
              <w:jc w:val="center"/>
              <w:rPr>
                <w:rFonts w:ascii="宋体" w:hAnsi="宋体" w:eastAsia="宋体" w:cs="楷体_GB2312"/>
                <w:bCs/>
                <w:kern w:val="0"/>
                <w:szCs w:val="21"/>
              </w:rPr>
            </w:pPr>
            <w:r>
              <w:rPr>
                <w:rFonts w:hint="eastAsia" w:ascii="宋体" w:hAnsi="宋体" w:eastAsia="宋体" w:cs="楷体_GB2312"/>
                <w:bCs/>
                <w:szCs w:val="21"/>
              </w:rPr>
              <w:t>使用人员满意度</w:t>
            </w:r>
          </w:p>
        </w:tc>
        <w:tc>
          <w:tcPr>
            <w:tcW w:w="992" w:type="dxa"/>
            <w:tcBorders>
              <w:tl2br w:val="nil"/>
              <w:tr2bl w:val="nil"/>
            </w:tcBorders>
            <w:vAlign w:val="center"/>
          </w:tcPr>
          <w:p>
            <w:pPr>
              <w:widowControl/>
              <w:spacing w:line="360" w:lineRule="exact"/>
              <w:jc w:val="center"/>
              <w:rPr>
                <w:rFonts w:ascii="宋体" w:hAnsi="宋体" w:eastAsia="宋体" w:cs="楷体_GB2312"/>
                <w:bCs/>
                <w:kern w:val="0"/>
                <w:szCs w:val="21"/>
              </w:rPr>
            </w:pPr>
            <w:r>
              <w:rPr>
                <w:rFonts w:hint="eastAsia" w:ascii="宋体" w:hAnsi="宋体" w:eastAsia="宋体" w:cs="楷体_GB2312"/>
                <w:bCs/>
                <w:szCs w:val="21"/>
              </w:rPr>
              <w:t>≥9</w:t>
            </w:r>
            <w:r>
              <w:rPr>
                <w:rFonts w:ascii="宋体" w:hAnsi="宋体" w:eastAsia="宋体" w:cs="楷体_GB2312"/>
                <w:bCs/>
                <w:szCs w:val="21"/>
              </w:rPr>
              <w:t>0%</w:t>
            </w:r>
          </w:p>
        </w:tc>
        <w:tc>
          <w:tcPr>
            <w:tcW w:w="125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5%</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0" w:type="dxa"/>
            <w:gridSpan w:val="6"/>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134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8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122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bl>
    <w:p>
      <w:pPr>
        <w:widowControl/>
        <w:spacing w:line="360" w:lineRule="exact"/>
        <w:jc w:val="left"/>
        <w:rPr>
          <w:rFonts w:ascii="宋体" w:hAnsi="宋体" w:eastAsia="宋体" w:cs="楷体_GB2312"/>
          <w:bCs/>
          <w:szCs w:val="21"/>
        </w:rPr>
      </w:pPr>
      <w:r>
        <w:rPr>
          <w:rFonts w:ascii="宋体" w:hAnsi="宋体" w:eastAsia="宋体" w:cs="楷体_GB2312"/>
          <w:bCs/>
          <w:szCs w:val="21"/>
        </w:rPr>
        <w:t>填表人：</w:t>
      </w:r>
      <w:r>
        <w:rPr>
          <w:rFonts w:hint="eastAsia" w:ascii="宋体" w:hAnsi="宋体" w:eastAsia="宋体" w:cs="楷体_GB2312"/>
          <w:bCs/>
          <w:szCs w:val="21"/>
        </w:rPr>
        <w:t xml:space="preserve">陈丽娟   </w:t>
      </w:r>
      <w:r>
        <w:rPr>
          <w:rFonts w:ascii="宋体" w:hAnsi="宋体" w:eastAsia="宋体" w:cs="楷体_GB2312"/>
          <w:bCs/>
          <w:szCs w:val="21"/>
        </w:rPr>
        <w:t xml:space="preserve">   </w:t>
      </w:r>
      <w:r>
        <w:rPr>
          <w:rFonts w:hint="eastAsia" w:ascii="宋体" w:hAnsi="宋体" w:eastAsia="宋体" w:cs="楷体_GB2312"/>
          <w:bCs/>
          <w:szCs w:val="21"/>
        </w:rPr>
        <w:t xml:space="preserve"> 填报日期：2</w:t>
      </w:r>
      <w:r>
        <w:rPr>
          <w:rFonts w:ascii="宋体" w:hAnsi="宋体" w:eastAsia="宋体" w:cs="楷体_GB2312"/>
          <w:bCs/>
          <w:szCs w:val="21"/>
        </w:rPr>
        <w:t>024</w:t>
      </w:r>
      <w:r>
        <w:rPr>
          <w:rFonts w:hint="eastAsia" w:ascii="宋体" w:hAnsi="宋体" w:eastAsia="宋体" w:cs="楷体_GB2312"/>
          <w:bCs/>
          <w:szCs w:val="21"/>
        </w:rPr>
        <w:t>年6月6日         联系电话：</w:t>
      </w:r>
      <w:r>
        <w:rPr>
          <w:rFonts w:ascii="宋体" w:hAnsi="宋体" w:eastAsia="宋体" w:cs="楷体_GB2312"/>
          <w:bCs/>
          <w:szCs w:val="21"/>
        </w:rPr>
        <w:t>19974589993</w:t>
      </w:r>
    </w:p>
    <w:p>
      <w:pPr>
        <w:widowControl/>
        <w:spacing w:line="360" w:lineRule="exact"/>
        <w:jc w:val="left"/>
        <w:rPr>
          <w:rFonts w:ascii="宋体" w:hAnsi="宋体" w:eastAsia="宋体" w:cs="楷体_GB2312"/>
          <w:bCs/>
          <w:szCs w:val="21"/>
          <w:shd w:val="clear" w:color="auto" w:fill="FFFFFF"/>
        </w:rPr>
      </w:pPr>
      <w:r>
        <w:rPr>
          <w:rFonts w:ascii="宋体" w:hAnsi="宋体" w:eastAsia="宋体" w:cs="楷体_GB2312"/>
          <w:bCs/>
          <w:szCs w:val="21"/>
          <w:shd w:val="clear" w:color="auto" w:fill="FFFFFF"/>
        </w:rPr>
        <w:br w:type="page"/>
      </w:r>
    </w:p>
    <w:p>
      <w:pPr>
        <w:widowControl/>
        <w:spacing w:line="360" w:lineRule="exact"/>
        <w:jc w:val="left"/>
        <w:rPr>
          <w:rFonts w:ascii="宋体" w:hAnsi="宋体" w:eastAsia="宋体" w:cs="黑体"/>
          <w:bCs/>
          <w:kern w:val="0"/>
          <w:szCs w:val="21"/>
          <w:shd w:val="clear" w:color="auto" w:fill="FFFFFF"/>
        </w:rPr>
      </w:pPr>
      <w:r>
        <w:rPr>
          <w:rFonts w:hint="eastAsia" w:ascii="宋体" w:hAnsi="宋体" w:eastAsia="宋体" w:cs="黑体"/>
          <w:bCs/>
          <w:kern w:val="0"/>
          <w:szCs w:val="21"/>
          <w:shd w:val="clear" w:color="auto" w:fill="FFFFFF"/>
        </w:rPr>
        <w:t>附件2-2</w:t>
      </w:r>
    </w:p>
    <w:p>
      <w:pPr>
        <w:topLinePunct/>
        <w:spacing w:line="360" w:lineRule="exact"/>
        <w:jc w:val="center"/>
        <w:rPr>
          <w:rFonts w:ascii="宋体" w:hAnsi="宋体" w:eastAsia="宋体" w:cs="方正小标宋简体"/>
          <w:bCs/>
          <w:kern w:val="0"/>
          <w:szCs w:val="21"/>
          <w:shd w:val="clear" w:color="auto" w:fill="FFFFFF"/>
          <w:lang w:bidi="ar"/>
        </w:rPr>
      </w:pPr>
      <w:r>
        <w:rPr>
          <w:rFonts w:hint="eastAsia" w:ascii="宋体" w:hAnsi="宋体" w:eastAsia="宋体" w:cs="方正小标宋简体"/>
          <w:bCs/>
          <w:kern w:val="0"/>
          <w:szCs w:val="21"/>
          <w:shd w:val="clear" w:color="auto" w:fill="FFFFFF"/>
          <w:lang w:bidi="ar"/>
        </w:rPr>
        <w:t>项目支出绩效自评表</w:t>
      </w:r>
    </w:p>
    <w:tbl>
      <w:tblPr>
        <w:tblStyle w:val="27"/>
        <w:tblW w:w="883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149"/>
        <w:gridCol w:w="1082"/>
        <w:gridCol w:w="985"/>
        <w:gridCol w:w="992"/>
        <w:gridCol w:w="1192"/>
        <w:gridCol w:w="579"/>
        <w:gridCol w:w="727"/>
        <w:gridCol w:w="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项目支</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出名称</w:t>
            </w:r>
          </w:p>
        </w:tc>
        <w:tc>
          <w:tcPr>
            <w:tcW w:w="7981"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鹤城一体化燃气规划专项经费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主管部门</w:t>
            </w:r>
          </w:p>
        </w:tc>
        <w:tc>
          <w:tcPr>
            <w:tcW w:w="0" w:type="auto"/>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怀化市住房和城乡建设局</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实施单位</w:t>
            </w:r>
          </w:p>
        </w:tc>
        <w:tc>
          <w:tcPr>
            <w:tcW w:w="2523" w:type="dxa"/>
            <w:gridSpan w:val="3"/>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0" w:type="auto"/>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项目资金（万元）</w:t>
            </w:r>
          </w:p>
        </w:tc>
        <w:tc>
          <w:tcPr>
            <w:tcW w:w="0" w:type="auto"/>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年度资金总额　</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40.00</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27.99</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27.99</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其中：当年财政拨款　</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40.00</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27.99</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27.99</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上年结转资金　</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0" w:type="auto"/>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0" w:type="auto"/>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0" w:type="auto"/>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4047"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0" w:type="auto"/>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0" w:type="auto"/>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用于</w:t>
            </w:r>
            <w:r>
              <w:rPr>
                <w:rFonts w:hint="eastAsia" w:ascii="宋体" w:hAnsi="宋体" w:eastAsia="宋体" w:cs="楷体_GB2312"/>
                <w:bCs/>
                <w:szCs w:val="21"/>
              </w:rPr>
              <w:t>市</w:t>
            </w:r>
            <w:r>
              <w:rPr>
                <w:rFonts w:ascii="宋体" w:hAnsi="宋体" w:eastAsia="宋体" w:cs="楷体_GB2312"/>
                <w:bCs/>
                <w:szCs w:val="21"/>
              </w:rPr>
              <w:t>城区城镇燃气发展专项规划的修编及评审工作</w:t>
            </w:r>
          </w:p>
        </w:tc>
        <w:tc>
          <w:tcPr>
            <w:tcW w:w="4047"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完成了</w:t>
            </w:r>
            <w:r>
              <w:rPr>
                <w:rFonts w:hint="eastAsia" w:ascii="宋体" w:hAnsi="宋体" w:eastAsia="宋体" w:cs="楷体_GB2312"/>
                <w:bCs/>
                <w:szCs w:val="21"/>
              </w:rPr>
              <w:t>怀化市</w:t>
            </w:r>
            <w:r>
              <w:rPr>
                <w:rFonts w:ascii="宋体" w:hAnsi="宋体" w:eastAsia="宋体" w:cs="楷体_GB2312"/>
                <w:bCs/>
                <w:szCs w:val="21"/>
              </w:rPr>
              <w:t>城区燃气发展专项规划的修</w:t>
            </w:r>
            <w:r>
              <w:rPr>
                <w:rFonts w:hint="eastAsia" w:ascii="宋体" w:hAnsi="宋体" w:eastAsia="宋体" w:cs="楷体_GB2312"/>
                <w:bCs/>
                <w:szCs w:val="21"/>
              </w:rPr>
              <w:t>编及评审工作，编制了一份规划编制报告。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0" w:type="auto"/>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标</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指标值</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完成值</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偏差原因分析及改进措施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restart"/>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（50分）</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规划编制报告数</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1个</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1个</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质量达标率</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时效指标</w:t>
            </w:r>
          </w:p>
        </w:tc>
        <w:tc>
          <w:tcPr>
            <w:tcW w:w="985" w:type="dxa"/>
            <w:tcBorders>
              <w:tl2br w:val="nil"/>
              <w:tr2bl w:val="nil"/>
            </w:tcBorders>
            <w:vAlign w:val="center"/>
          </w:tcPr>
          <w:p>
            <w:pPr>
              <w:widowControl/>
              <w:spacing w:line="360" w:lineRule="exact"/>
              <w:jc w:val="center"/>
              <w:rPr>
                <w:rFonts w:hint="eastAsia" w:ascii="宋体" w:hAnsi="宋体" w:eastAsia="宋体" w:cs="楷体_GB2312"/>
                <w:bCs/>
                <w:kern w:val="0"/>
                <w:szCs w:val="21"/>
                <w:lang w:eastAsia="zh-CN"/>
              </w:rPr>
            </w:pPr>
            <w:r>
              <w:rPr>
                <w:rFonts w:hint="eastAsia" w:ascii="宋体" w:hAnsi="宋体" w:eastAsia="宋体" w:cs="楷体_GB2312"/>
                <w:bCs/>
                <w:szCs w:val="21"/>
              </w:rPr>
              <w:t>完成及时</w:t>
            </w:r>
            <w:r>
              <w:rPr>
                <w:rFonts w:hint="eastAsia" w:ascii="宋体" w:hAnsi="宋体" w:eastAsia="宋体" w:cs="楷体_GB2312"/>
                <w:bCs/>
                <w:szCs w:val="21"/>
                <w:lang w:eastAsia="zh-CN"/>
              </w:rPr>
              <w:t>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023</w:t>
            </w:r>
            <w:r>
              <w:rPr>
                <w:rFonts w:hint="eastAsia" w:ascii="宋体" w:hAnsi="宋体" w:eastAsia="宋体" w:cs="楷体_GB2312"/>
                <w:bCs/>
                <w:szCs w:val="21"/>
              </w:rPr>
              <w:t>年1</w:t>
            </w:r>
            <w:r>
              <w:rPr>
                <w:rFonts w:ascii="宋体" w:hAnsi="宋体" w:eastAsia="宋体" w:cs="楷体_GB2312"/>
                <w:bCs/>
                <w:szCs w:val="21"/>
              </w:rPr>
              <w:t>2</w:t>
            </w:r>
            <w:r>
              <w:rPr>
                <w:rFonts w:hint="eastAsia" w:ascii="宋体" w:hAnsi="宋体" w:eastAsia="宋体" w:cs="楷体_GB2312"/>
                <w:bCs/>
                <w:szCs w:val="21"/>
              </w:rPr>
              <w:t>月前完成</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在规定时间内完成</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项目成本控制</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w:t>
            </w:r>
            <w:r>
              <w:rPr>
                <w:rFonts w:ascii="宋体" w:hAnsi="宋体" w:eastAsia="宋体" w:cs="楷体_GB2312"/>
                <w:bCs/>
                <w:szCs w:val="21"/>
              </w:rPr>
              <w:t>40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27.99</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restart"/>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效益指标（30分）</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带动周边经济发展</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社会效益情况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5</w:t>
            </w:r>
          </w:p>
        </w:tc>
        <w:tc>
          <w:tcPr>
            <w:tcW w:w="0" w:type="auto"/>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5</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生态效益情况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5</w:t>
            </w:r>
          </w:p>
        </w:tc>
        <w:tc>
          <w:tcPr>
            <w:tcW w:w="0" w:type="auto"/>
            <w:tcBorders>
              <w:tl2br w:val="nil"/>
              <w:tr2bl w:val="nil"/>
            </w:tcBorders>
            <w:vAlign w:val="center"/>
          </w:tcPr>
          <w:p>
            <w:pPr>
              <w:widowControl/>
              <w:spacing w:line="360" w:lineRule="exact"/>
              <w:jc w:val="center"/>
              <w:rPr>
                <w:rFonts w:hint="eastAsia" w:ascii="宋体" w:hAnsi="宋体" w:eastAsia="宋体" w:cs="楷体_GB2312"/>
                <w:bCs/>
                <w:szCs w:val="21"/>
                <w:lang w:eastAsia="zh-CN"/>
              </w:rPr>
            </w:pPr>
            <w:r>
              <w:rPr>
                <w:rFonts w:hint="eastAsia" w:ascii="宋体" w:hAnsi="宋体" w:eastAsia="宋体" w:cs="楷体_GB2312"/>
                <w:bCs/>
                <w:szCs w:val="21"/>
                <w:lang w:val="en-US" w:eastAsia="zh-CN"/>
              </w:rPr>
              <w:t>3</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可持续影响情况</w:t>
            </w:r>
          </w:p>
        </w:tc>
        <w:tc>
          <w:tcPr>
            <w:tcW w:w="99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vAlign w:val="center"/>
          </w:tcPr>
          <w:p>
            <w:pPr>
              <w:widowControl/>
              <w:spacing w:line="360" w:lineRule="exact"/>
              <w:jc w:val="left"/>
              <w:rPr>
                <w:rFonts w:ascii="宋体" w:hAnsi="宋体" w:eastAsia="宋体" w:cs="楷体_GB2312"/>
                <w:bCs/>
                <w:szCs w:val="21"/>
              </w:rPr>
            </w:pPr>
          </w:p>
        </w:tc>
        <w:tc>
          <w:tcPr>
            <w:tcW w:w="0" w:type="auto"/>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满意度</w:t>
            </w:r>
          </w:p>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指标</w:t>
            </w:r>
          </w:p>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（10分）</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98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使用人员满意度</w:t>
            </w:r>
          </w:p>
        </w:tc>
        <w:tc>
          <w:tcPr>
            <w:tcW w:w="992" w:type="dxa"/>
            <w:tcBorders>
              <w:tl2br w:val="nil"/>
              <w:tr2bl w:val="nil"/>
            </w:tcBorders>
            <w:vAlign w:val="center"/>
          </w:tcPr>
          <w:p>
            <w:pPr>
              <w:widowControl/>
              <w:spacing w:line="360" w:lineRule="exact"/>
              <w:jc w:val="center"/>
              <w:rPr>
                <w:rFonts w:ascii="宋体" w:hAnsi="宋体" w:eastAsia="宋体" w:cs="楷体_GB2312"/>
                <w:bCs/>
                <w:kern w:val="0"/>
                <w:szCs w:val="21"/>
              </w:rPr>
            </w:pPr>
            <w:r>
              <w:rPr>
                <w:rFonts w:hint="eastAsia" w:ascii="宋体" w:hAnsi="宋体" w:eastAsia="宋体" w:cs="楷体_GB2312"/>
                <w:bCs/>
                <w:szCs w:val="21"/>
              </w:rPr>
              <w:t>≥9</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5%</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6"/>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0" w:type="auto"/>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972" w:type="dxa"/>
            <w:tcBorders>
              <w:tl2br w:val="nil"/>
              <w:tr2bl w:val="nil"/>
            </w:tcBorders>
            <w:vAlign w:val="center"/>
          </w:tcPr>
          <w:p>
            <w:pPr>
              <w:widowControl/>
              <w:spacing w:line="360" w:lineRule="exact"/>
              <w:jc w:val="center"/>
              <w:rPr>
                <w:rFonts w:ascii="宋体" w:hAnsi="宋体" w:eastAsia="宋体" w:cs="楷体_GB2312"/>
                <w:bCs/>
                <w:szCs w:val="21"/>
              </w:rPr>
            </w:pPr>
          </w:p>
        </w:tc>
      </w:tr>
      <w:bookmarkEnd w:id="42"/>
    </w:tbl>
    <w:p>
      <w:pPr>
        <w:widowControl/>
        <w:spacing w:line="360" w:lineRule="exact"/>
        <w:jc w:val="left"/>
        <w:rPr>
          <w:rFonts w:ascii="宋体" w:hAnsi="宋体" w:eastAsia="宋体" w:cs="楷体_GB2312"/>
          <w:bCs/>
          <w:szCs w:val="21"/>
        </w:rPr>
      </w:pPr>
      <w:bookmarkStart w:id="44" w:name="_Hlk169979512"/>
      <w:r>
        <w:rPr>
          <w:rFonts w:ascii="宋体" w:hAnsi="宋体" w:eastAsia="宋体" w:cs="楷体_GB2312"/>
          <w:bCs/>
          <w:szCs w:val="21"/>
        </w:rPr>
        <w:t>填表人：</w:t>
      </w:r>
      <w:r>
        <w:rPr>
          <w:rFonts w:hint="eastAsia" w:ascii="宋体" w:hAnsi="宋体" w:eastAsia="宋体" w:cs="楷体_GB2312"/>
          <w:bCs/>
          <w:szCs w:val="21"/>
        </w:rPr>
        <w:t xml:space="preserve"> 陈丽娟        填报日期：2</w:t>
      </w:r>
      <w:r>
        <w:rPr>
          <w:rFonts w:ascii="宋体" w:hAnsi="宋体" w:eastAsia="宋体" w:cs="楷体_GB2312"/>
          <w:bCs/>
          <w:szCs w:val="21"/>
        </w:rPr>
        <w:t>024</w:t>
      </w:r>
      <w:r>
        <w:rPr>
          <w:rFonts w:hint="eastAsia" w:ascii="宋体" w:hAnsi="宋体" w:eastAsia="宋体" w:cs="楷体_GB2312"/>
          <w:bCs/>
          <w:szCs w:val="21"/>
        </w:rPr>
        <w:t>年6月6日        联系电话：</w:t>
      </w:r>
      <w:r>
        <w:rPr>
          <w:rFonts w:ascii="宋体" w:hAnsi="宋体" w:eastAsia="宋体" w:cs="楷体_GB2312"/>
          <w:bCs/>
          <w:szCs w:val="21"/>
        </w:rPr>
        <w:t>19974589993</w:t>
      </w:r>
    </w:p>
    <w:p>
      <w:pPr>
        <w:widowControl/>
        <w:spacing w:line="360" w:lineRule="exact"/>
        <w:jc w:val="left"/>
        <w:rPr>
          <w:rFonts w:ascii="宋体" w:hAnsi="宋体" w:eastAsia="宋体" w:cs="楷体_GB2312"/>
          <w:bCs/>
          <w:szCs w:val="21"/>
        </w:rPr>
      </w:pPr>
    </w:p>
    <w:p>
      <w:pPr>
        <w:widowControl/>
        <w:spacing w:line="360" w:lineRule="exact"/>
        <w:jc w:val="left"/>
        <w:rPr>
          <w:rFonts w:ascii="宋体" w:hAnsi="宋体" w:eastAsia="宋体" w:cs="楷体_GB2312"/>
          <w:bCs/>
          <w:szCs w:val="21"/>
          <w:shd w:val="clear" w:color="auto" w:fill="FFFFFF"/>
        </w:rPr>
      </w:pPr>
      <w:r>
        <w:rPr>
          <w:rFonts w:ascii="宋体" w:hAnsi="宋体" w:eastAsia="宋体" w:cs="楷体_GB2312"/>
          <w:bCs/>
          <w:szCs w:val="21"/>
          <w:shd w:val="clear" w:color="auto" w:fill="FFFFFF"/>
        </w:rPr>
        <w:br w:type="page"/>
      </w:r>
    </w:p>
    <w:p>
      <w:pPr>
        <w:topLinePunct/>
        <w:spacing w:line="360" w:lineRule="exact"/>
        <w:jc w:val="left"/>
        <w:rPr>
          <w:rFonts w:ascii="宋体" w:hAnsi="宋体" w:eastAsia="宋体" w:cs="方正小标宋简体"/>
          <w:bCs/>
          <w:kern w:val="0"/>
          <w:szCs w:val="21"/>
          <w:shd w:val="clear" w:color="auto" w:fill="FFFFFF"/>
          <w:lang w:bidi="ar"/>
        </w:rPr>
      </w:pPr>
      <w:r>
        <w:rPr>
          <w:rFonts w:hint="eastAsia" w:ascii="宋体" w:hAnsi="宋体" w:eastAsia="宋体" w:cs="黑体"/>
          <w:bCs/>
          <w:kern w:val="0"/>
          <w:szCs w:val="21"/>
          <w:shd w:val="clear" w:color="auto" w:fill="FFFFFF"/>
        </w:rPr>
        <w:t>附件2-3</w:t>
      </w:r>
    </w:p>
    <w:p>
      <w:pPr>
        <w:topLinePunct/>
        <w:spacing w:line="360" w:lineRule="exact"/>
        <w:jc w:val="center"/>
        <w:rPr>
          <w:rFonts w:ascii="宋体" w:hAnsi="宋体" w:eastAsia="宋体" w:cs="方正小标宋简体"/>
          <w:bCs/>
          <w:kern w:val="0"/>
          <w:szCs w:val="21"/>
          <w:shd w:val="clear" w:color="auto" w:fill="FFFFFF"/>
          <w:lang w:bidi="ar"/>
        </w:rPr>
      </w:pPr>
      <w:r>
        <w:rPr>
          <w:rFonts w:hint="eastAsia" w:ascii="宋体" w:hAnsi="宋体" w:eastAsia="宋体" w:cs="方正小标宋简体"/>
          <w:bCs/>
          <w:kern w:val="0"/>
          <w:szCs w:val="21"/>
          <w:shd w:val="clear" w:color="auto" w:fill="FFFFFF"/>
          <w:lang w:bidi="ar"/>
        </w:rPr>
        <w:t>项目支出绩效自评表</w:t>
      </w:r>
    </w:p>
    <w:tbl>
      <w:tblPr>
        <w:tblStyle w:val="27"/>
        <w:tblW w:w="98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项目支</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出名称</w:t>
            </w:r>
          </w:p>
        </w:tc>
        <w:tc>
          <w:tcPr>
            <w:tcW w:w="8771"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城市配套设施费安排的支出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主管部门</w:t>
            </w:r>
          </w:p>
        </w:tc>
        <w:tc>
          <w:tcPr>
            <w:tcW w:w="4518"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怀化市住房和城乡建设局</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实施单位</w:t>
            </w:r>
          </w:p>
        </w:tc>
        <w:tc>
          <w:tcPr>
            <w:tcW w:w="3119" w:type="dxa"/>
            <w:gridSpan w:val="3"/>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项目资金</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（万元）</w:t>
            </w:r>
          </w:p>
        </w:tc>
        <w:tc>
          <w:tcPr>
            <w:tcW w:w="2160"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年度资金总额　</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32.00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32.00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其中：当年财政拨款　</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32.00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32.00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上年结转资金　</w:t>
            </w:r>
          </w:p>
        </w:tc>
        <w:tc>
          <w:tcPr>
            <w:tcW w:w="114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0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134"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828"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873"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418"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p>
        </w:tc>
        <w:tc>
          <w:tcPr>
            <w:tcW w:w="114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0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134"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828"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873"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418"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4518"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4253"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4518"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维持单位正常开支，弥补单位经费不足。</w:t>
            </w:r>
          </w:p>
        </w:tc>
        <w:tc>
          <w:tcPr>
            <w:tcW w:w="4253"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维持了正常开支。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标</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指标值</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完成值</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偏差原因分析及改进措施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重点工作完成数</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3件</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3件</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质量达标率</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lang w:eastAsia="zh-CN"/>
              </w:rPr>
              <w:t>完成</w:t>
            </w:r>
            <w:r>
              <w:rPr>
                <w:rFonts w:hint="eastAsia" w:ascii="宋体" w:hAnsi="宋体" w:eastAsia="宋体" w:cs="楷体_GB2312"/>
                <w:bCs/>
                <w:szCs w:val="21"/>
              </w:rPr>
              <w:t>及时性</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023</w:t>
            </w:r>
            <w:r>
              <w:rPr>
                <w:rFonts w:hint="eastAsia" w:ascii="宋体" w:hAnsi="宋体" w:eastAsia="宋体" w:cs="楷体_GB2312"/>
                <w:bCs/>
                <w:szCs w:val="21"/>
              </w:rPr>
              <w:t>年1</w:t>
            </w:r>
            <w:r>
              <w:rPr>
                <w:rFonts w:ascii="宋体" w:hAnsi="宋体" w:eastAsia="宋体" w:cs="楷体_GB2312"/>
                <w:bCs/>
                <w:szCs w:val="21"/>
              </w:rPr>
              <w:t>2</w:t>
            </w:r>
            <w:r>
              <w:rPr>
                <w:rFonts w:hint="eastAsia" w:ascii="宋体" w:hAnsi="宋体" w:eastAsia="宋体" w:cs="楷体_GB2312"/>
                <w:bCs/>
                <w:szCs w:val="21"/>
              </w:rPr>
              <w:t>月之前</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规定时间内完成</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项目成本控制额</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w:t>
            </w:r>
            <w:r>
              <w:rPr>
                <w:rFonts w:ascii="宋体" w:hAnsi="宋体" w:eastAsia="宋体" w:cs="楷体_GB2312"/>
                <w:bCs/>
                <w:szCs w:val="21"/>
              </w:rPr>
              <w:t>32</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w:t>
            </w:r>
            <w:r>
              <w:rPr>
                <w:rFonts w:hint="eastAsia" w:ascii="宋体" w:hAnsi="宋体" w:eastAsia="宋体" w:cs="楷体_GB2312"/>
                <w:bCs/>
                <w:szCs w:val="21"/>
              </w:rPr>
              <w:t>3</w:t>
            </w:r>
            <w:r>
              <w:rPr>
                <w:rFonts w:ascii="宋体" w:hAnsi="宋体" w:eastAsia="宋体" w:cs="楷体_GB2312"/>
                <w:bCs/>
                <w:szCs w:val="21"/>
              </w:rPr>
              <w:t>2</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效益指标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带动怀化经济发展</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8</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营造良报的营商环境</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可持续影响情况</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满意度指标（10分）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lang w:eastAsia="zh-CN"/>
              </w:rPr>
              <w:t>公</w:t>
            </w:r>
            <w:r>
              <w:rPr>
                <w:rFonts w:hint="eastAsia" w:ascii="宋体" w:hAnsi="宋体" w:eastAsia="宋体" w:cs="楷体_GB2312"/>
                <w:bCs/>
                <w:szCs w:val="21"/>
              </w:rPr>
              <w:t>众满意度</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　9</w:t>
            </w:r>
            <w:r>
              <w:rPr>
                <w:rFonts w:ascii="宋体" w:hAnsi="宋体" w:eastAsia="宋体" w:cs="楷体_GB2312"/>
                <w:bCs/>
                <w:szCs w:val="21"/>
              </w:rPr>
              <w:t>0%</w:t>
            </w:r>
            <w:r>
              <w:rPr>
                <w:rFonts w:hint="eastAsia" w:ascii="宋体" w:hAnsi="宋体" w:eastAsia="宋体" w:cs="楷体_GB2312"/>
                <w:bCs/>
                <w:szCs w:val="21"/>
              </w:rPr>
              <w:t>以上</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5%</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bl>
    <w:p>
      <w:pPr>
        <w:widowControl/>
        <w:spacing w:line="360" w:lineRule="exact"/>
        <w:jc w:val="left"/>
        <w:rPr>
          <w:rFonts w:ascii="宋体" w:hAnsi="宋体" w:eastAsia="宋体" w:cs="楷体_GB2312"/>
          <w:bCs/>
          <w:szCs w:val="21"/>
        </w:rPr>
      </w:pPr>
      <w:bookmarkStart w:id="45" w:name="_Hlk169982811"/>
      <w:r>
        <w:rPr>
          <w:rFonts w:ascii="宋体" w:hAnsi="宋体" w:eastAsia="宋体" w:cs="楷体_GB2312"/>
          <w:bCs/>
          <w:szCs w:val="21"/>
        </w:rPr>
        <w:t>填表人：</w:t>
      </w:r>
      <w:r>
        <w:rPr>
          <w:rFonts w:hint="eastAsia" w:ascii="宋体" w:hAnsi="宋体" w:eastAsia="宋体" w:cs="楷体_GB2312"/>
          <w:bCs/>
          <w:szCs w:val="21"/>
        </w:rPr>
        <w:t xml:space="preserve">   陈丽娟       填报日期：2</w:t>
      </w:r>
      <w:r>
        <w:rPr>
          <w:rFonts w:ascii="宋体" w:hAnsi="宋体" w:eastAsia="宋体" w:cs="楷体_GB2312"/>
          <w:bCs/>
          <w:szCs w:val="21"/>
        </w:rPr>
        <w:t>024</w:t>
      </w:r>
      <w:r>
        <w:rPr>
          <w:rFonts w:hint="eastAsia" w:ascii="宋体" w:hAnsi="宋体" w:eastAsia="宋体" w:cs="楷体_GB2312"/>
          <w:bCs/>
          <w:szCs w:val="21"/>
        </w:rPr>
        <w:t>年6月6日           联系电</w:t>
      </w:r>
      <w:r>
        <w:rPr>
          <w:rFonts w:ascii="宋体" w:hAnsi="宋体" w:eastAsia="宋体" w:cs="楷体_GB2312"/>
          <w:bCs/>
          <w:szCs w:val="21"/>
        </w:rPr>
        <w:t>19974589993</w:t>
      </w:r>
    </w:p>
    <w:p>
      <w:pPr>
        <w:widowControl/>
        <w:spacing w:line="360" w:lineRule="exact"/>
        <w:jc w:val="left"/>
        <w:rPr>
          <w:rFonts w:ascii="宋体" w:hAnsi="宋体" w:eastAsia="宋体" w:cs="楷体_GB2312"/>
          <w:bCs/>
          <w:szCs w:val="21"/>
        </w:rPr>
      </w:pPr>
      <w:r>
        <w:rPr>
          <w:rFonts w:ascii="宋体" w:hAnsi="宋体" w:eastAsia="宋体" w:cs="楷体_GB2312"/>
          <w:bCs/>
          <w:szCs w:val="21"/>
        </w:rPr>
        <w:br w:type="page"/>
      </w:r>
      <w:bookmarkEnd w:id="44"/>
      <w:bookmarkEnd w:id="45"/>
      <w:r>
        <w:rPr>
          <w:rFonts w:hint="eastAsia" w:ascii="宋体" w:hAnsi="宋体" w:eastAsia="宋体" w:cs="黑体"/>
          <w:bCs/>
          <w:kern w:val="0"/>
          <w:szCs w:val="21"/>
          <w:shd w:val="clear" w:color="auto" w:fill="FFFFFF"/>
        </w:rPr>
        <w:t>附件2-4</w:t>
      </w:r>
    </w:p>
    <w:p>
      <w:pPr>
        <w:topLinePunct/>
        <w:spacing w:line="360" w:lineRule="exact"/>
        <w:jc w:val="center"/>
        <w:rPr>
          <w:rFonts w:ascii="宋体" w:hAnsi="宋体" w:eastAsia="宋体" w:cs="方正小标宋简体"/>
          <w:bCs/>
          <w:kern w:val="0"/>
          <w:szCs w:val="21"/>
          <w:shd w:val="clear" w:color="auto" w:fill="FFFFFF"/>
          <w:lang w:bidi="ar"/>
        </w:rPr>
      </w:pPr>
      <w:r>
        <w:rPr>
          <w:rFonts w:hint="eastAsia" w:ascii="宋体" w:hAnsi="宋体" w:eastAsia="宋体" w:cs="方正小标宋简体"/>
          <w:bCs/>
          <w:kern w:val="0"/>
          <w:szCs w:val="21"/>
          <w:shd w:val="clear" w:color="auto" w:fill="FFFFFF"/>
          <w:lang w:bidi="ar"/>
        </w:rPr>
        <w:t>项目支出绩效自评表</w:t>
      </w:r>
    </w:p>
    <w:tbl>
      <w:tblPr>
        <w:tblStyle w:val="27"/>
        <w:tblW w:w="98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132"/>
        <w:gridCol w:w="1555"/>
        <w:gridCol w:w="1227"/>
        <w:gridCol w:w="951"/>
        <w:gridCol w:w="1422"/>
        <w:gridCol w:w="702"/>
        <w:gridCol w:w="840"/>
        <w:gridCol w:w="12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项目支</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出名称</w:t>
            </w:r>
          </w:p>
        </w:tc>
        <w:tc>
          <w:tcPr>
            <w:tcW w:w="9045"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污水处理业务费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主管部门</w:t>
            </w:r>
          </w:p>
        </w:tc>
        <w:tc>
          <w:tcPr>
            <w:tcW w:w="4865"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怀化市住房和城乡建设局</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实施单位</w:t>
            </w:r>
          </w:p>
        </w:tc>
        <w:tc>
          <w:tcPr>
            <w:tcW w:w="2758" w:type="dxa"/>
            <w:gridSpan w:val="3"/>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806"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项目资金</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（万元）</w:t>
            </w:r>
          </w:p>
        </w:tc>
        <w:tc>
          <w:tcPr>
            <w:tcW w:w="2687"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687"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年度资金总额　</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25.13</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25.13</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687"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其中：当年财政拨款　</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687"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上年结转资金　</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80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687"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06"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4865"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4180"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806"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4865"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持续推进太平溪流域水环境问题巡视整改，深入开展城市黑臭水体排查整治</w:t>
            </w:r>
            <w:r>
              <w:rPr>
                <w:rFonts w:hint="eastAsia" w:ascii="宋体" w:hAnsi="宋体" w:eastAsia="宋体" w:cs="楷体_GB2312"/>
                <w:bCs/>
                <w:szCs w:val="21"/>
              </w:rPr>
              <w:t>。</w:t>
            </w:r>
          </w:p>
        </w:tc>
        <w:tc>
          <w:tcPr>
            <w:tcW w:w="4180"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持续推进太平溪流域水环境问题巡视整改，深入开展城市黑臭水体排查整治。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6"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标</w:t>
            </w:r>
          </w:p>
        </w:tc>
        <w:tc>
          <w:tcPr>
            <w:tcW w:w="113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指标值</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完成值</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偏差原因</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分析及</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（50分）</w:t>
            </w: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污水处理</w:t>
            </w:r>
            <w:r>
              <w:rPr>
                <w:rFonts w:hint="eastAsia" w:ascii="宋体" w:hAnsi="宋体" w:eastAsia="宋体" w:cs="楷体_GB2312"/>
                <w:bCs/>
                <w:szCs w:val="21"/>
              </w:rPr>
              <w:t>量</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p>
          <w:p>
            <w:pPr>
              <w:widowControl/>
              <w:spacing w:line="360" w:lineRule="exact"/>
              <w:jc w:val="center"/>
              <w:rPr>
                <w:rFonts w:ascii="宋体" w:hAnsi="宋体" w:eastAsia="宋体" w:cs="宋体"/>
                <w:bCs/>
                <w:kern w:val="0"/>
                <w:szCs w:val="21"/>
              </w:rPr>
            </w:pPr>
            <w:r>
              <w:rPr>
                <w:rFonts w:hint="eastAsia" w:ascii="宋体" w:hAnsi="宋体" w:eastAsia="宋体" w:cs="楷体_GB2312"/>
                <w:bCs/>
                <w:szCs w:val="21"/>
              </w:rPr>
              <w:t>≥</w:t>
            </w:r>
            <w:r>
              <w:rPr>
                <w:rFonts w:ascii="宋体" w:hAnsi="宋体" w:eastAsia="宋体" w:cs="楷体_GB2312"/>
                <w:bCs/>
                <w:szCs w:val="21"/>
              </w:rPr>
              <w:t>6000</w:t>
            </w:r>
            <w:r>
              <w:rPr>
                <w:rFonts w:hint="eastAsia" w:ascii="宋体" w:hAnsi="宋体" w:eastAsia="宋体" w:cs="楷体_GB2312"/>
                <w:bCs/>
                <w:szCs w:val="21"/>
              </w:rPr>
              <w:t>万吨</w:t>
            </w:r>
          </w:p>
          <w:p>
            <w:pPr>
              <w:widowControl/>
              <w:spacing w:line="360" w:lineRule="exact"/>
              <w:jc w:val="center"/>
              <w:rPr>
                <w:rFonts w:ascii="宋体" w:hAnsi="宋体" w:eastAsia="宋体" w:cs="楷体_GB2312"/>
                <w:bCs/>
                <w:szCs w:val="21"/>
              </w:rPr>
            </w:pPr>
          </w:p>
        </w:tc>
        <w:tc>
          <w:tcPr>
            <w:tcW w:w="1422" w:type="dxa"/>
            <w:tcBorders>
              <w:tl2br w:val="nil"/>
              <w:tr2bl w:val="nil"/>
            </w:tcBorders>
            <w:vAlign w:val="center"/>
          </w:tcPr>
          <w:p>
            <w:pPr>
              <w:widowControl/>
              <w:spacing w:line="360" w:lineRule="exact"/>
              <w:jc w:val="center"/>
              <w:rPr>
                <w:rFonts w:ascii="宋体" w:hAnsi="宋体" w:eastAsia="宋体" w:cs="宋体"/>
                <w:bCs/>
                <w:kern w:val="0"/>
                <w:szCs w:val="21"/>
              </w:rPr>
            </w:pPr>
            <w:r>
              <w:rPr>
                <w:rFonts w:ascii="宋体" w:hAnsi="宋体" w:eastAsia="宋体" w:cs="楷体_GB2312"/>
                <w:bCs/>
                <w:szCs w:val="21"/>
              </w:rPr>
              <w:t>7643.15</w:t>
            </w:r>
            <w:r>
              <w:rPr>
                <w:rFonts w:hint="eastAsia" w:ascii="宋体" w:hAnsi="宋体" w:eastAsia="宋体" w:cs="楷体_GB2312"/>
                <w:bCs/>
                <w:szCs w:val="21"/>
              </w:rPr>
              <w:t>万吨</w:t>
            </w:r>
          </w:p>
          <w:p>
            <w:pPr>
              <w:widowControl/>
              <w:spacing w:line="360" w:lineRule="exact"/>
              <w:jc w:val="center"/>
              <w:rPr>
                <w:rFonts w:ascii="宋体" w:hAnsi="宋体" w:eastAsia="宋体" w:cs="楷体_GB2312"/>
                <w:bCs/>
                <w:szCs w:val="21"/>
              </w:rPr>
            </w:pP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15</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15</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污水处理水质达标率</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100%</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702" w:type="dxa"/>
            <w:tcBorders>
              <w:tl2br w:val="nil"/>
              <w:tr2bl w:val="nil"/>
            </w:tcBorders>
            <w:vAlign w:val="center"/>
          </w:tcPr>
          <w:p>
            <w:pPr>
              <w:widowControl/>
              <w:spacing w:line="360" w:lineRule="exact"/>
              <w:ind w:firstLine="210" w:firstLineChars="100"/>
              <w:jc w:val="center"/>
              <w:rPr>
                <w:rFonts w:ascii="宋体" w:hAnsi="宋体" w:eastAsia="宋体" w:cs="楷体_GB2312"/>
                <w:bCs/>
                <w:szCs w:val="21"/>
              </w:rPr>
            </w:pPr>
            <w:r>
              <w:rPr>
                <w:rFonts w:ascii="宋体" w:hAnsi="宋体" w:eastAsia="宋体" w:cs="楷体_GB2312"/>
                <w:bCs/>
                <w:szCs w:val="21"/>
              </w:rPr>
              <w:t>15</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15</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及时完成情况</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2023年12月31日之前</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在规定的时间内完成</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项目成本</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≤25.13</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5.13</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效益指标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（30分）</w:t>
            </w: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不宜用</w:t>
            </w:r>
          </w:p>
        </w:tc>
        <w:tc>
          <w:tcPr>
            <w:tcW w:w="951" w:type="dxa"/>
            <w:tcBorders>
              <w:tl2br w:val="nil"/>
              <w:tr2bl w:val="nil"/>
            </w:tcBorders>
            <w:vAlign w:val="center"/>
          </w:tcPr>
          <w:p>
            <w:pPr>
              <w:widowControl/>
              <w:spacing w:line="360" w:lineRule="exact"/>
              <w:jc w:val="center"/>
              <w:rPr>
                <w:rFonts w:ascii="宋体" w:hAnsi="宋体" w:eastAsia="宋体" w:cs="楷体_GB2312"/>
                <w:bCs/>
                <w:color w:val="FF0000"/>
                <w:szCs w:val="21"/>
              </w:rPr>
            </w:pPr>
          </w:p>
        </w:tc>
        <w:tc>
          <w:tcPr>
            <w:tcW w:w="1422" w:type="dxa"/>
            <w:tcBorders>
              <w:tl2br w:val="nil"/>
              <w:tr2bl w:val="nil"/>
            </w:tcBorders>
            <w:vAlign w:val="center"/>
          </w:tcPr>
          <w:p>
            <w:pPr>
              <w:widowControl/>
              <w:spacing w:line="360" w:lineRule="exact"/>
              <w:jc w:val="center"/>
              <w:rPr>
                <w:rFonts w:ascii="宋体" w:hAnsi="宋体" w:eastAsia="宋体" w:cs="楷体_GB2312"/>
                <w:bCs/>
                <w:color w:val="FF0000"/>
                <w:szCs w:val="21"/>
              </w:rPr>
            </w:pP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改善城市质量与居民生存环境</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污水处理生态环境改善</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持续提升河水水质</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40" w:type="dxa"/>
            <w:tcBorders>
              <w:tl2br w:val="nil"/>
              <w:tr2bl w:val="nil"/>
            </w:tcBorders>
            <w:vAlign w:val="center"/>
          </w:tcPr>
          <w:p>
            <w:pPr>
              <w:widowControl/>
              <w:spacing w:line="360" w:lineRule="exact"/>
              <w:ind w:firstLine="105" w:firstLineChars="50"/>
              <w:jc w:val="center"/>
              <w:rPr>
                <w:rFonts w:ascii="宋体" w:hAnsi="宋体" w:eastAsia="宋体" w:cs="楷体_GB2312"/>
                <w:bCs/>
                <w:szCs w:val="21"/>
              </w:rPr>
            </w:pPr>
            <w:r>
              <w:rPr>
                <w:rFonts w:hint="eastAsia" w:ascii="宋体" w:hAnsi="宋体" w:eastAsia="宋体" w:cs="楷体_GB2312"/>
                <w:bCs/>
                <w:szCs w:val="21"/>
              </w:rPr>
              <w:t>10</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13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满意度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（10分）</w:t>
            </w:r>
          </w:p>
        </w:tc>
        <w:tc>
          <w:tcPr>
            <w:tcW w:w="1555"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1227"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社会对污水处理效果的满意度</w:t>
            </w:r>
          </w:p>
        </w:tc>
        <w:tc>
          <w:tcPr>
            <w:tcW w:w="951" w:type="dxa"/>
            <w:tcBorders>
              <w:tl2br w:val="nil"/>
              <w:tr2bl w:val="nil"/>
            </w:tcBorders>
            <w:vAlign w:val="center"/>
          </w:tcPr>
          <w:p>
            <w:pPr>
              <w:widowControl/>
              <w:spacing w:line="360" w:lineRule="exact"/>
              <w:jc w:val="center"/>
              <w:rPr>
                <w:rFonts w:ascii="宋体" w:hAnsi="宋体" w:eastAsia="宋体" w:cs="楷体_GB2312"/>
                <w:bCs/>
                <w:szCs w:val="21"/>
              </w:rPr>
            </w:pPr>
          </w:p>
          <w:p>
            <w:pPr>
              <w:widowControl/>
              <w:spacing w:line="360" w:lineRule="exact"/>
              <w:jc w:val="center"/>
              <w:rPr>
                <w:rFonts w:ascii="宋体" w:hAnsi="宋体" w:eastAsia="宋体" w:cs="宋体"/>
                <w:bCs/>
                <w:kern w:val="0"/>
                <w:szCs w:val="21"/>
              </w:rPr>
            </w:pPr>
            <w:r>
              <w:rPr>
                <w:rFonts w:hint="eastAsia" w:ascii="宋体" w:hAnsi="宋体" w:eastAsia="宋体" w:cs="楷体_GB2312"/>
                <w:bCs/>
                <w:szCs w:val="21"/>
              </w:rPr>
              <w:t>≥9</w:t>
            </w:r>
            <w:r>
              <w:rPr>
                <w:rFonts w:ascii="宋体" w:hAnsi="宋体" w:eastAsia="宋体" w:cs="楷体_GB2312"/>
                <w:bCs/>
                <w:szCs w:val="21"/>
              </w:rPr>
              <w:t>5%</w:t>
            </w:r>
            <w:r>
              <w:rPr>
                <w:rFonts w:hint="eastAsia" w:ascii="宋体" w:hAnsi="宋体" w:eastAsia="宋体" w:cs="楷体_GB2312"/>
                <w:bCs/>
                <w:szCs w:val="21"/>
              </w:rPr>
              <w:t>以上</w:t>
            </w:r>
          </w:p>
          <w:p>
            <w:pPr>
              <w:widowControl/>
              <w:spacing w:line="360" w:lineRule="exact"/>
              <w:jc w:val="center"/>
              <w:rPr>
                <w:rFonts w:ascii="宋体" w:hAnsi="宋体" w:eastAsia="宋体" w:cs="楷体_GB2312"/>
                <w:bCs/>
                <w:szCs w:val="21"/>
              </w:rPr>
            </w:pPr>
          </w:p>
        </w:tc>
        <w:tc>
          <w:tcPr>
            <w:tcW w:w="142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6%</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3" w:type="dxa"/>
            <w:gridSpan w:val="6"/>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702"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84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1216" w:type="dxa"/>
            <w:tcBorders>
              <w:tl2br w:val="nil"/>
              <w:tr2bl w:val="nil"/>
            </w:tcBorders>
            <w:vAlign w:val="center"/>
          </w:tcPr>
          <w:p>
            <w:pPr>
              <w:widowControl/>
              <w:spacing w:line="360" w:lineRule="exact"/>
              <w:jc w:val="center"/>
              <w:rPr>
                <w:rFonts w:ascii="宋体" w:hAnsi="宋体" w:eastAsia="宋体" w:cs="楷体_GB2312"/>
                <w:bCs/>
                <w:szCs w:val="21"/>
              </w:rPr>
            </w:pPr>
          </w:p>
        </w:tc>
      </w:tr>
    </w:tbl>
    <w:p>
      <w:pPr>
        <w:widowControl/>
        <w:spacing w:line="360" w:lineRule="exact"/>
        <w:jc w:val="left"/>
        <w:rPr>
          <w:rFonts w:ascii="宋体" w:hAnsi="宋体" w:eastAsia="宋体" w:cs="楷体_GB2312"/>
          <w:bCs/>
          <w:szCs w:val="21"/>
        </w:rPr>
      </w:pPr>
      <w:r>
        <w:rPr>
          <w:rFonts w:ascii="宋体" w:hAnsi="宋体" w:eastAsia="宋体" w:cs="楷体_GB2312"/>
          <w:bCs/>
          <w:szCs w:val="21"/>
        </w:rPr>
        <w:t>填表人：</w:t>
      </w:r>
      <w:r>
        <w:rPr>
          <w:rFonts w:hint="eastAsia" w:ascii="宋体" w:hAnsi="宋体" w:eastAsia="宋体" w:cs="楷体_GB2312"/>
          <w:bCs/>
          <w:szCs w:val="21"/>
        </w:rPr>
        <w:t xml:space="preserve"> 陈丽娟       </w:t>
      </w:r>
      <w:r>
        <w:rPr>
          <w:rFonts w:ascii="宋体" w:hAnsi="宋体" w:eastAsia="宋体" w:cs="楷体_GB2312"/>
          <w:bCs/>
          <w:szCs w:val="21"/>
        </w:rPr>
        <w:t xml:space="preserve"> </w:t>
      </w:r>
      <w:r>
        <w:rPr>
          <w:rFonts w:hint="eastAsia" w:ascii="宋体" w:hAnsi="宋体" w:eastAsia="宋体" w:cs="楷体_GB2312"/>
          <w:bCs/>
          <w:szCs w:val="21"/>
        </w:rPr>
        <w:t xml:space="preserve">填报日期： </w:t>
      </w:r>
      <w:r>
        <w:rPr>
          <w:rFonts w:ascii="宋体" w:hAnsi="宋体" w:eastAsia="宋体" w:cs="楷体_GB2312"/>
          <w:bCs/>
          <w:szCs w:val="21"/>
        </w:rPr>
        <w:t>2024</w:t>
      </w:r>
      <w:r>
        <w:rPr>
          <w:rFonts w:hint="eastAsia" w:ascii="宋体" w:hAnsi="宋体" w:eastAsia="宋体" w:cs="楷体_GB2312"/>
          <w:bCs/>
          <w:szCs w:val="21"/>
        </w:rPr>
        <w:t>年6月6日        联系电话：</w:t>
      </w:r>
      <w:r>
        <w:rPr>
          <w:rFonts w:ascii="宋体" w:hAnsi="宋体" w:eastAsia="宋体" w:cs="楷体_GB2312"/>
          <w:bCs/>
          <w:szCs w:val="21"/>
          <w:shd w:val="clear" w:color="auto" w:fill="FFFFFF"/>
        </w:rPr>
        <w:t>19974589993</w:t>
      </w:r>
    </w:p>
    <w:p>
      <w:pPr>
        <w:widowControl/>
        <w:spacing w:line="360" w:lineRule="exact"/>
        <w:jc w:val="left"/>
        <w:rPr>
          <w:rFonts w:ascii="宋体" w:hAnsi="宋体" w:eastAsia="宋体" w:cs="楷体_GB2312"/>
          <w:bCs/>
          <w:szCs w:val="21"/>
          <w:shd w:val="clear" w:color="auto" w:fill="FFFFFF"/>
        </w:rPr>
      </w:pPr>
      <w:r>
        <w:rPr>
          <w:rFonts w:hint="eastAsia" w:ascii="宋体" w:hAnsi="宋体" w:eastAsia="宋体" w:cs="楷体_GB2312"/>
          <w:bCs/>
          <w:szCs w:val="21"/>
          <w:shd w:val="clear" w:color="auto" w:fill="FFFFFF"/>
        </w:rPr>
        <w:br w:type="page"/>
      </w:r>
    </w:p>
    <w:p>
      <w:pPr>
        <w:topLinePunct/>
        <w:spacing w:line="360" w:lineRule="exact"/>
        <w:rPr>
          <w:rFonts w:ascii="宋体" w:hAnsi="宋体" w:eastAsia="宋体" w:cs="方正小标宋简体"/>
          <w:bCs/>
          <w:kern w:val="0"/>
          <w:szCs w:val="21"/>
          <w:shd w:val="clear" w:color="auto" w:fill="FFFFFF"/>
          <w:lang w:bidi="ar"/>
        </w:rPr>
      </w:pPr>
      <w:r>
        <w:rPr>
          <w:rFonts w:hint="eastAsia" w:ascii="宋体" w:hAnsi="宋体" w:eastAsia="宋体" w:cs="黑体"/>
          <w:bCs/>
          <w:kern w:val="0"/>
          <w:szCs w:val="21"/>
          <w:shd w:val="clear" w:color="auto" w:fill="FFFFFF"/>
        </w:rPr>
        <w:t>附件2-5</w:t>
      </w:r>
    </w:p>
    <w:p>
      <w:pPr>
        <w:topLinePunct/>
        <w:spacing w:line="360" w:lineRule="exact"/>
        <w:jc w:val="center"/>
        <w:rPr>
          <w:rFonts w:ascii="宋体" w:hAnsi="宋体" w:eastAsia="宋体" w:cs="方正小标宋简体"/>
          <w:bCs/>
          <w:kern w:val="0"/>
          <w:szCs w:val="21"/>
          <w:shd w:val="clear" w:color="auto" w:fill="FFFFFF"/>
          <w:lang w:bidi="ar"/>
        </w:rPr>
      </w:pPr>
      <w:r>
        <w:rPr>
          <w:rFonts w:hint="eastAsia" w:ascii="宋体" w:hAnsi="宋体" w:eastAsia="宋体" w:cs="方正小标宋简体"/>
          <w:bCs/>
          <w:kern w:val="0"/>
          <w:szCs w:val="21"/>
          <w:shd w:val="clear" w:color="auto" w:fill="FFFFFF"/>
          <w:lang w:bidi="ar"/>
        </w:rPr>
        <w:t>项目支出绩效自评表</w:t>
      </w:r>
    </w:p>
    <w:tbl>
      <w:tblPr>
        <w:tblStyle w:val="27"/>
        <w:tblW w:w="98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项目支</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出名称</w:t>
            </w:r>
          </w:p>
        </w:tc>
        <w:tc>
          <w:tcPr>
            <w:tcW w:w="8771"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污泥干化处置费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主管部门</w:t>
            </w:r>
          </w:p>
        </w:tc>
        <w:tc>
          <w:tcPr>
            <w:tcW w:w="4518"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怀化市住房和城乡建设局</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实施单位</w:t>
            </w:r>
          </w:p>
        </w:tc>
        <w:tc>
          <w:tcPr>
            <w:tcW w:w="3119" w:type="dxa"/>
            <w:gridSpan w:val="3"/>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项目资金</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（万元）</w:t>
            </w:r>
          </w:p>
        </w:tc>
        <w:tc>
          <w:tcPr>
            <w:tcW w:w="2160"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年度资金总额　</w:t>
            </w:r>
          </w:p>
        </w:tc>
        <w:tc>
          <w:tcPr>
            <w:tcW w:w="114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7</w:t>
            </w:r>
            <w:r>
              <w:rPr>
                <w:rFonts w:ascii="宋体" w:hAnsi="宋体" w:eastAsia="宋体" w:cs="楷体_GB2312"/>
                <w:bCs/>
                <w:szCs w:val="21"/>
              </w:rPr>
              <w:t>2.81</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7</w:t>
            </w:r>
            <w:r>
              <w:rPr>
                <w:rFonts w:ascii="宋体" w:hAnsi="宋体" w:eastAsia="宋体" w:cs="楷体_GB2312"/>
                <w:bCs/>
                <w:szCs w:val="21"/>
              </w:rPr>
              <w:t>2.81</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其中：当年财政拨款　</w:t>
            </w:r>
          </w:p>
        </w:tc>
        <w:tc>
          <w:tcPr>
            <w:tcW w:w="114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上年结转资金　</w:t>
            </w:r>
          </w:p>
        </w:tc>
        <w:tc>
          <w:tcPr>
            <w:tcW w:w="114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p>
        </w:tc>
        <w:tc>
          <w:tcPr>
            <w:tcW w:w="1149" w:type="dxa"/>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4518"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4253"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4518"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污泥运输严格按照环保要求，采用专用的密闭车辆进行转运，运输过程中进行全过程监控和管理</w:t>
            </w:r>
            <w:r>
              <w:rPr>
                <w:rFonts w:hint="eastAsia" w:ascii="宋体" w:hAnsi="宋体" w:eastAsia="宋体" w:cs="楷体_GB2312"/>
                <w:bCs/>
                <w:szCs w:val="21"/>
              </w:rPr>
              <w:t>。</w:t>
            </w:r>
          </w:p>
        </w:tc>
        <w:tc>
          <w:tcPr>
            <w:tcW w:w="4253"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ascii="宋体" w:hAnsi="宋体" w:eastAsia="宋体" w:cs="楷体_GB2312"/>
                <w:bCs/>
                <w:szCs w:val="21"/>
              </w:rPr>
              <w:t>污泥运输严格按照环保要求，采用专用的密闭车辆进行转运，运输过程中进行全过程监控和管理</w:t>
            </w:r>
            <w:r>
              <w:rPr>
                <w:rFonts w:hint="eastAsia" w:ascii="宋体" w:hAnsi="宋体" w:eastAsia="宋体" w:cs="楷体_GB2312"/>
                <w:bCs/>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标</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指标值</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完成值</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偏差原因</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分析及</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rPr>
                <w:rFonts w:ascii="宋体" w:hAnsi="宋体" w:eastAsia="宋体" w:cs="楷体_GB2312"/>
                <w:bCs/>
                <w:szCs w:val="21"/>
              </w:rPr>
            </w:pPr>
            <w:r>
              <w:rPr>
                <w:rFonts w:hint="eastAsia" w:ascii="宋体" w:hAnsi="宋体" w:eastAsia="宋体" w:cs="楷体_GB2312"/>
                <w:bCs/>
                <w:szCs w:val="21"/>
              </w:rPr>
              <w:t>（50分）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城区全年市政污泥处理量</w:t>
            </w:r>
          </w:p>
        </w:tc>
        <w:tc>
          <w:tcPr>
            <w:tcW w:w="1209" w:type="dxa"/>
            <w:tcBorders>
              <w:tl2br w:val="nil"/>
              <w:tr2bl w:val="nil"/>
            </w:tcBorders>
            <w:vAlign w:val="center"/>
          </w:tcPr>
          <w:p>
            <w:pPr>
              <w:widowControl/>
              <w:spacing w:line="360" w:lineRule="exact"/>
              <w:jc w:val="center"/>
              <w:rPr>
                <w:rFonts w:ascii="宋体" w:hAnsi="宋体" w:eastAsia="宋体" w:cs="宋体"/>
                <w:bCs/>
                <w:color w:val="000000"/>
                <w:kern w:val="0"/>
                <w:szCs w:val="21"/>
              </w:rPr>
            </w:pPr>
            <w:r>
              <w:rPr>
                <w:rFonts w:hint="eastAsia" w:ascii="宋体" w:hAnsi="宋体" w:eastAsia="宋体" w:cs="楷体_GB2312"/>
                <w:bCs/>
                <w:color w:val="000000"/>
                <w:szCs w:val="21"/>
              </w:rPr>
              <w:t>≥</w:t>
            </w:r>
            <w:r>
              <w:rPr>
                <w:rFonts w:ascii="宋体" w:hAnsi="宋体" w:eastAsia="宋体" w:cs="楷体_GB2312"/>
                <w:bCs/>
                <w:szCs w:val="21"/>
              </w:rPr>
              <w:t>30000</w:t>
            </w:r>
            <w:r>
              <w:rPr>
                <w:rFonts w:hint="eastAsia" w:ascii="宋体" w:hAnsi="宋体" w:eastAsia="宋体" w:cs="楷体_GB2312"/>
                <w:bCs/>
                <w:szCs w:val="21"/>
              </w:rPr>
              <w:t>吨</w:t>
            </w:r>
          </w:p>
        </w:tc>
        <w:tc>
          <w:tcPr>
            <w:tcW w:w="1134" w:type="dxa"/>
            <w:tcBorders>
              <w:tl2br w:val="nil"/>
              <w:tr2bl w:val="nil"/>
            </w:tcBorders>
            <w:vAlign w:val="center"/>
          </w:tcPr>
          <w:p>
            <w:pPr>
              <w:widowControl/>
              <w:spacing w:line="360" w:lineRule="exact"/>
              <w:jc w:val="center"/>
              <w:rPr>
                <w:rFonts w:ascii="宋体" w:hAnsi="宋体" w:eastAsia="宋体" w:cs="宋体"/>
                <w:bCs/>
                <w:szCs w:val="21"/>
              </w:rPr>
            </w:pPr>
            <w:r>
              <w:rPr>
                <w:rFonts w:hint="eastAsia" w:ascii="宋体" w:hAnsi="宋体" w:eastAsia="宋体" w:cs="楷体_GB2312"/>
                <w:bCs/>
                <w:szCs w:val="21"/>
              </w:rPr>
              <w:t>=</w:t>
            </w:r>
            <w:r>
              <w:rPr>
                <w:rFonts w:ascii="宋体" w:hAnsi="宋体" w:eastAsia="宋体" w:cs="楷体_GB2312"/>
                <w:bCs/>
                <w:szCs w:val="21"/>
              </w:rPr>
              <w:t>31200</w:t>
            </w:r>
            <w:r>
              <w:rPr>
                <w:rFonts w:hint="eastAsia" w:ascii="宋体" w:hAnsi="宋体" w:eastAsia="宋体" w:cs="宋体"/>
                <w:bCs/>
                <w:szCs w:val="21"/>
              </w:rPr>
              <w:t>吨</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污泥运输采用密闭车辆</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项目及时完成情况</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及时</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及时</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项目成本控制</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≤72.81</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7</w:t>
            </w:r>
            <w:r>
              <w:rPr>
                <w:rFonts w:ascii="宋体" w:hAnsi="宋体" w:eastAsia="宋体" w:cs="楷体_GB2312"/>
                <w:bCs/>
                <w:szCs w:val="21"/>
              </w:rPr>
              <w:t>2.81</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效益指标</w:t>
            </w:r>
          </w:p>
          <w:p>
            <w:pPr>
              <w:widowControl/>
              <w:spacing w:line="360" w:lineRule="exact"/>
              <w:rPr>
                <w:rFonts w:ascii="宋体" w:hAnsi="宋体" w:eastAsia="宋体" w:cs="楷体_GB2312"/>
                <w:bCs/>
                <w:szCs w:val="21"/>
              </w:rPr>
            </w:pPr>
            <w:r>
              <w:rPr>
                <w:rFonts w:hint="eastAsia" w:ascii="宋体" w:hAnsi="宋体" w:eastAsia="宋体" w:cs="楷体_GB2312"/>
                <w:bCs/>
                <w:szCs w:val="21"/>
              </w:rPr>
              <w:t>（30分）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不宜用</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改善城市质量与居民生存环境</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改善社会生态环境</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促进经济发展</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满意度指标（10分）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考核服务对象满意度</w:t>
            </w:r>
          </w:p>
        </w:tc>
        <w:tc>
          <w:tcPr>
            <w:tcW w:w="1209" w:type="dxa"/>
            <w:tcBorders>
              <w:tl2br w:val="nil"/>
              <w:tr2bl w:val="nil"/>
            </w:tcBorders>
            <w:vAlign w:val="center"/>
          </w:tcPr>
          <w:p>
            <w:pPr>
              <w:widowControl/>
              <w:spacing w:line="360" w:lineRule="exact"/>
              <w:rPr>
                <w:rFonts w:ascii="宋体" w:hAnsi="宋体" w:eastAsia="宋体" w:cs="宋体"/>
                <w:bCs/>
                <w:kern w:val="0"/>
                <w:szCs w:val="21"/>
              </w:rPr>
            </w:pPr>
            <w:r>
              <w:rPr>
                <w:rFonts w:hint="eastAsia" w:ascii="宋体" w:hAnsi="宋体" w:eastAsia="宋体" w:cs="楷体_GB2312"/>
                <w:bCs/>
                <w:szCs w:val="21"/>
              </w:rPr>
              <w:t>≥9</w:t>
            </w:r>
            <w:r>
              <w:rPr>
                <w:rFonts w:ascii="宋体" w:hAnsi="宋体" w:eastAsia="宋体" w:cs="楷体_GB2312"/>
                <w:bCs/>
                <w:szCs w:val="21"/>
              </w:rPr>
              <w:t>5%</w:t>
            </w:r>
            <w:r>
              <w:rPr>
                <w:rFonts w:hint="eastAsia" w:ascii="宋体" w:hAnsi="宋体" w:eastAsia="宋体" w:cs="楷体_GB2312"/>
                <w:bCs/>
                <w:szCs w:val="21"/>
              </w:rPr>
              <w:t>以上</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8</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bl>
    <w:p>
      <w:pPr>
        <w:widowControl/>
        <w:spacing w:line="360" w:lineRule="exact"/>
        <w:jc w:val="left"/>
        <w:rPr>
          <w:rFonts w:ascii="宋体" w:hAnsi="宋体" w:eastAsia="宋体" w:cs="楷体_GB2312"/>
          <w:bCs/>
          <w:szCs w:val="21"/>
        </w:rPr>
      </w:pPr>
      <w:r>
        <w:rPr>
          <w:rFonts w:ascii="宋体" w:hAnsi="宋体" w:eastAsia="宋体" w:cs="楷体_GB2312"/>
          <w:bCs/>
          <w:szCs w:val="21"/>
        </w:rPr>
        <w:t>填表人：</w:t>
      </w:r>
      <w:r>
        <w:rPr>
          <w:rFonts w:hint="eastAsia" w:ascii="宋体" w:hAnsi="宋体" w:eastAsia="宋体" w:cs="楷体_GB2312"/>
          <w:bCs/>
          <w:szCs w:val="21"/>
        </w:rPr>
        <w:t xml:space="preserve"> 陈丽娟        </w:t>
      </w:r>
      <w:r>
        <w:rPr>
          <w:rFonts w:ascii="宋体" w:hAnsi="宋体" w:eastAsia="宋体" w:cs="楷体_GB2312"/>
          <w:bCs/>
          <w:szCs w:val="21"/>
        </w:rPr>
        <w:t xml:space="preserve"> </w:t>
      </w:r>
      <w:r>
        <w:rPr>
          <w:rFonts w:hint="eastAsia" w:ascii="宋体" w:hAnsi="宋体" w:eastAsia="宋体" w:cs="楷体_GB2312"/>
          <w:bCs/>
          <w:szCs w:val="21"/>
        </w:rPr>
        <w:t>填报日期：</w:t>
      </w:r>
      <w:r>
        <w:rPr>
          <w:rFonts w:ascii="宋体" w:hAnsi="宋体" w:eastAsia="宋体" w:cs="楷体_GB2312"/>
          <w:bCs/>
          <w:szCs w:val="21"/>
        </w:rPr>
        <w:t>2024</w:t>
      </w:r>
      <w:r>
        <w:rPr>
          <w:rFonts w:hint="eastAsia" w:ascii="宋体" w:hAnsi="宋体" w:eastAsia="宋体" w:cs="楷体_GB2312"/>
          <w:bCs/>
          <w:szCs w:val="21"/>
        </w:rPr>
        <w:t>年6月6日         联系电话：</w:t>
      </w:r>
      <w:r>
        <w:rPr>
          <w:rFonts w:ascii="宋体" w:hAnsi="宋体" w:eastAsia="宋体" w:cs="楷体_GB2312"/>
          <w:bCs/>
          <w:szCs w:val="21"/>
        </w:rPr>
        <w:t>19974589993</w:t>
      </w:r>
    </w:p>
    <w:p>
      <w:pPr>
        <w:widowControl/>
        <w:spacing w:line="360" w:lineRule="exact"/>
        <w:jc w:val="left"/>
        <w:rPr>
          <w:rFonts w:ascii="宋体" w:hAnsi="宋体" w:eastAsia="宋体" w:cs="楷体_GB2312"/>
          <w:bCs/>
          <w:szCs w:val="21"/>
          <w:shd w:val="clear" w:color="auto" w:fill="FFFFFF"/>
        </w:rPr>
      </w:pPr>
      <w:r>
        <w:rPr>
          <w:rFonts w:hint="eastAsia" w:ascii="宋体" w:hAnsi="宋体" w:eastAsia="宋体" w:cs="楷体_GB2312"/>
          <w:bCs/>
          <w:szCs w:val="21"/>
          <w:shd w:val="clear" w:color="auto" w:fill="FFFFFF"/>
        </w:rPr>
        <w:br w:type="page"/>
      </w:r>
    </w:p>
    <w:p>
      <w:pPr>
        <w:topLinePunct/>
        <w:spacing w:line="360" w:lineRule="exact"/>
        <w:jc w:val="left"/>
        <w:rPr>
          <w:rFonts w:ascii="宋体" w:hAnsi="宋体" w:eastAsia="宋体" w:cs="黑体"/>
          <w:bCs/>
          <w:kern w:val="0"/>
          <w:szCs w:val="21"/>
          <w:shd w:val="clear" w:color="auto" w:fill="FFFFFF"/>
        </w:rPr>
      </w:pPr>
      <w:r>
        <w:rPr>
          <w:rFonts w:hint="eastAsia" w:ascii="宋体" w:hAnsi="宋体" w:eastAsia="宋体" w:cs="黑体"/>
          <w:bCs/>
          <w:kern w:val="0"/>
          <w:szCs w:val="21"/>
          <w:shd w:val="clear" w:color="auto" w:fill="FFFFFF"/>
        </w:rPr>
        <w:t>附件2-6</w:t>
      </w:r>
    </w:p>
    <w:p>
      <w:pPr>
        <w:topLinePunct/>
        <w:spacing w:line="360" w:lineRule="exact"/>
        <w:jc w:val="center"/>
        <w:rPr>
          <w:rFonts w:ascii="宋体" w:hAnsi="宋体" w:eastAsia="宋体" w:cs="方正小标宋简体"/>
          <w:bCs/>
          <w:kern w:val="0"/>
          <w:szCs w:val="21"/>
          <w:shd w:val="clear" w:color="auto" w:fill="FFFFFF"/>
          <w:lang w:bidi="ar"/>
        </w:rPr>
      </w:pPr>
      <w:r>
        <w:rPr>
          <w:rFonts w:hint="eastAsia" w:ascii="宋体" w:hAnsi="宋体" w:eastAsia="宋体" w:cs="方正小标宋简体"/>
          <w:bCs/>
          <w:kern w:val="0"/>
          <w:szCs w:val="21"/>
          <w:shd w:val="clear" w:color="auto" w:fill="FFFFFF"/>
          <w:lang w:bidi="ar"/>
        </w:rPr>
        <w:t>项目支出绩效自评表</w:t>
      </w:r>
    </w:p>
    <w:tbl>
      <w:tblPr>
        <w:tblStyle w:val="27"/>
        <w:tblW w:w="98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项目支</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出名称</w:t>
            </w:r>
          </w:p>
        </w:tc>
        <w:tc>
          <w:tcPr>
            <w:tcW w:w="8771" w:type="dxa"/>
            <w:gridSpan w:val="8"/>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污水截污干管费用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主管部门</w:t>
            </w:r>
          </w:p>
        </w:tc>
        <w:tc>
          <w:tcPr>
            <w:tcW w:w="4518"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怀化市住房和城乡建设局</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实施单位</w:t>
            </w:r>
          </w:p>
        </w:tc>
        <w:tc>
          <w:tcPr>
            <w:tcW w:w="3119" w:type="dxa"/>
            <w:gridSpan w:val="3"/>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怀化市城乡建设事务中心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项目资金</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（万元）</w:t>
            </w:r>
          </w:p>
        </w:tc>
        <w:tc>
          <w:tcPr>
            <w:tcW w:w="2160" w:type="dxa"/>
            <w:gridSpan w:val="2"/>
            <w:tcBorders>
              <w:tl2br w:val="nil"/>
              <w:tr2bl w:val="nil"/>
            </w:tcBorders>
            <w:vAlign w:val="center"/>
          </w:tcPr>
          <w:p>
            <w:pPr>
              <w:widowControl/>
              <w:spacing w:line="360" w:lineRule="exact"/>
              <w:jc w:val="center"/>
              <w:rPr>
                <w:rFonts w:ascii="宋体" w:hAnsi="宋体" w:eastAsia="宋体" w:cs="楷体_GB2312"/>
                <w:bCs/>
                <w:szCs w:val="21"/>
              </w:rPr>
            </w:pP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年初</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预算数</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全年</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执行数</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执行率</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年度资金总额　</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1.80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1.80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其中：当年财政拨款　</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1.80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8</w:t>
            </w:r>
            <w:r>
              <w:rPr>
                <w:rFonts w:ascii="宋体" w:hAnsi="宋体" w:eastAsia="宋体" w:cs="楷体_GB2312"/>
                <w:bCs/>
                <w:szCs w:val="21"/>
              </w:rPr>
              <w:t>1.80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上年结转资金　</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2160" w:type="dxa"/>
            <w:gridSpan w:val="2"/>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其他资金</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年度总体目标</w:t>
            </w:r>
          </w:p>
        </w:tc>
        <w:tc>
          <w:tcPr>
            <w:tcW w:w="4518"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预期目标</w:t>
            </w:r>
          </w:p>
        </w:tc>
        <w:tc>
          <w:tcPr>
            <w:tcW w:w="4253" w:type="dxa"/>
            <w:gridSpan w:val="4"/>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4518"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r>
              <w:rPr>
                <w:rFonts w:ascii="宋体" w:hAnsi="宋体" w:eastAsia="宋体" w:cs="楷体_GB2312"/>
                <w:bCs/>
                <w:szCs w:val="21"/>
              </w:rPr>
              <w:t>用于</w:t>
            </w:r>
            <w:bookmarkStart w:id="46" w:name="_Hlk170908487"/>
            <w:r>
              <w:rPr>
                <w:rFonts w:ascii="宋体" w:hAnsi="宋体" w:eastAsia="宋体" w:cs="楷体_GB2312"/>
                <w:bCs/>
                <w:szCs w:val="21"/>
              </w:rPr>
              <w:t>截污干管运行维护</w:t>
            </w:r>
            <w:r>
              <w:rPr>
                <w:rFonts w:hint="eastAsia" w:ascii="宋体" w:hAnsi="宋体" w:eastAsia="宋体" w:cs="楷体_GB2312"/>
                <w:bCs/>
                <w:szCs w:val="21"/>
              </w:rPr>
              <w:t>　</w:t>
            </w:r>
            <w:bookmarkEnd w:id="46"/>
          </w:p>
        </w:tc>
        <w:tc>
          <w:tcPr>
            <w:tcW w:w="4253" w:type="dxa"/>
            <w:gridSpan w:val="4"/>
            <w:tcBorders>
              <w:tl2br w:val="nil"/>
              <w:tr2bl w:val="nil"/>
            </w:tcBorders>
            <w:vAlign w:val="center"/>
          </w:tcPr>
          <w:p>
            <w:pPr>
              <w:widowControl/>
              <w:spacing w:line="360" w:lineRule="exact"/>
              <w:jc w:val="left"/>
              <w:rPr>
                <w:rFonts w:ascii="宋体" w:hAnsi="宋体" w:eastAsia="宋体" w:cs="楷体_GB2312"/>
                <w:bCs/>
                <w:szCs w:val="21"/>
              </w:rPr>
            </w:pPr>
            <w:r>
              <w:rPr>
                <w:rFonts w:hint="eastAsia" w:ascii="宋体" w:hAnsi="宋体" w:eastAsia="宋体" w:cs="楷体_GB2312"/>
                <w:bCs/>
                <w:szCs w:val="21"/>
              </w:rPr>
              <w:t>　</w:t>
            </w:r>
            <w:r>
              <w:rPr>
                <w:rFonts w:ascii="宋体" w:hAnsi="宋体" w:eastAsia="宋体" w:cs="楷体_GB2312"/>
                <w:bCs/>
                <w:szCs w:val="21"/>
              </w:rPr>
              <w:t>用于截污干管运行维护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绩</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标</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一级指标</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二级指标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三级指标</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年度</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指标值</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实际</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完成值</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分值</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得分</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偏差原因分析及改进措施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产出指标</w:t>
            </w:r>
          </w:p>
          <w:p>
            <w:pPr>
              <w:widowControl/>
              <w:spacing w:line="360" w:lineRule="exact"/>
              <w:rPr>
                <w:rFonts w:ascii="宋体" w:hAnsi="宋体" w:eastAsia="宋体" w:cs="楷体_GB2312"/>
                <w:bCs/>
                <w:szCs w:val="21"/>
              </w:rPr>
            </w:pPr>
            <w:r>
              <w:rPr>
                <w:rFonts w:hint="eastAsia" w:ascii="宋体" w:hAnsi="宋体" w:eastAsia="宋体" w:cs="楷体_GB2312"/>
                <w:bCs/>
                <w:szCs w:val="21"/>
              </w:rPr>
              <w:t>（50分）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数量指标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污水截污干管管护</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2</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18</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质量指标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污水截污干管管护达标率</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8</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时效指标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及时完成情况</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2023年12月31日之前</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在规定的时间内完成</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成本指标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项目成本控制</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w:t>
            </w:r>
            <w:r>
              <w:rPr>
                <w:rFonts w:hint="eastAsia" w:ascii="宋体" w:hAnsi="宋体" w:eastAsia="宋体" w:cs="楷体_GB2312"/>
                <w:bCs/>
                <w:szCs w:val="21"/>
              </w:rPr>
              <w:t>　8</w:t>
            </w:r>
            <w:r>
              <w:rPr>
                <w:rFonts w:ascii="宋体" w:hAnsi="宋体" w:eastAsia="宋体" w:cs="楷体_GB2312"/>
                <w:bCs/>
                <w:szCs w:val="21"/>
              </w:rPr>
              <w:t>1.80</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　8</w:t>
            </w:r>
            <w:r>
              <w:rPr>
                <w:rFonts w:ascii="宋体" w:hAnsi="宋体" w:eastAsia="宋体" w:cs="楷体_GB2312"/>
                <w:bCs/>
                <w:szCs w:val="21"/>
              </w:rPr>
              <w:t>1.80</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ind w:firstLine="210" w:firstLineChars="100"/>
              <w:jc w:val="center"/>
              <w:rPr>
                <w:rFonts w:ascii="宋体" w:hAnsi="宋体" w:eastAsia="宋体" w:cs="楷体_GB2312"/>
                <w:bCs/>
                <w:szCs w:val="21"/>
              </w:rPr>
            </w:pPr>
            <w:r>
              <w:rPr>
                <w:rFonts w:hint="eastAsia" w:ascii="宋体" w:hAnsi="宋体" w:eastAsia="宋体" w:cs="楷体_GB2312"/>
                <w:bCs/>
                <w:szCs w:val="21"/>
              </w:rPr>
              <w:t>10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restart"/>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效益指标</w:t>
            </w:r>
          </w:p>
          <w:p>
            <w:pPr>
              <w:widowControl/>
              <w:spacing w:line="360" w:lineRule="exact"/>
              <w:rPr>
                <w:rFonts w:ascii="宋体" w:hAnsi="宋体" w:eastAsia="宋体" w:cs="楷体_GB2312"/>
                <w:bCs/>
                <w:szCs w:val="21"/>
              </w:rPr>
            </w:pPr>
            <w:r>
              <w:rPr>
                <w:rFonts w:hint="eastAsia" w:ascii="宋体" w:hAnsi="宋体" w:eastAsia="宋体" w:cs="楷体_GB2312"/>
                <w:bCs/>
                <w:szCs w:val="21"/>
              </w:rPr>
              <w:t>（30分）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经济效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社会效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改善城市质量与居民生存环境</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生态效</w:t>
            </w:r>
          </w:p>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益指标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改善社会生态环境</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10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vMerge w:val="continue"/>
            <w:tcBorders>
              <w:tl2br w:val="nil"/>
              <w:tr2bl w:val="nil"/>
            </w:tcBorders>
            <w:vAlign w:val="center"/>
          </w:tcPr>
          <w:p>
            <w:pPr>
              <w:widowControl/>
              <w:spacing w:line="360" w:lineRule="exact"/>
              <w:jc w:val="center"/>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可持续影响指标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持续提升河水水质</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效果明显</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tcBorders>
              <w:tl2br w:val="nil"/>
              <w:tr2bl w:val="nil"/>
            </w:tcBorders>
            <w:vAlign w:val="center"/>
          </w:tcPr>
          <w:p>
            <w:pPr>
              <w:widowControl/>
              <w:spacing w:line="360" w:lineRule="exact"/>
              <w:jc w:val="left"/>
              <w:rPr>
                <w:rFonts w:ascii="宋体" w:hAnsi="宋体" w:eastAsia="宋体" w:cs="楷体_GB2312"/>
                <w:bCs/>
                <w:szCs w:val="21"/>
              </w:rPr>
            </w:pP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满意度指标（10分）</w:t>
            </w:r>
          </w:p>
        </w:tc>
        <w:tc>
          <w:tcPr>
            <w:tcW w:w="1080"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服务对象满意度指标</w:t>
            </w:r>
          </w:p>
        </w:tc>
        <w:tc>
          <w:tcPr>
            <w:tcW w:w="114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考核服务对象满意度</w:t>
            </w:r>
          </w:p>
        </w:tc>
        <w:tc>
          <w:tcPr>
            <w:tcW w:w="1209" w:type="dxa"/>
            <w:tcBorders>
              <w:tl2br w:val="nil"/>
              <w:tr2bl w:val="nil"/>
            </w:tcBorders>
            <w:vAlign w:val="center"/>
          </w:tcPr>
          <w:p>
            <w:pPr>
              <w:widowControl/>
              <w:spacing w:line="360" w:lineRule="exact"/>
              <w:jc w:val="center"/>
              <w:rPr>
                <w:rFonts w:ascii="宋体" w:hAnsi="宋体" w:eastAsia="宋体" w:cs="楷体_GB2312"/>
                <w:bCs/>
                <w:szCs w:val="21"/>
              </w:rPr>
            </w:pPr>
            <w:r>
              <w:rPr>
                <w:rFonts w:ascii="宋体" w:hAnsi="宋体" w:eastAsia="宋体" w:cs="楷体_GB2312"/>
                <w:bCs/>
                <w:szCs w:val="21"/>
              </w:rPr>
              <w:t>≥95%</w:t>
            </w:r>
          </w:p>
        </w:tc>
        <w:tc>
          <w:tcPr>
            <w:tcW w:w="1134"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5%</w:t>
            </w:r>
            <w:r>
              <w:rPr>
                <w:rFonts w:hint="eastAsia" w:ascii="宋体" w:hAnsi="宋体" w:eastAsia="宋体" w:cs="楷体_GB2312"/>
                <w:bCs/>
                <w:szCs w:val="21"/>
              </w:rPr>
              <w:t>以上</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w:t>
            </w:r>
            <w:r>
              <w:rPr>
                <w:rFonts w:ascii="宋体" w:hAnsi="宋体" w:eastAsia="宋体" w:cs="楷体_GB2312"/>
                <w:bCs/>
                <w:szCs w:val="21"/>
              </w:rPr>
              <w:t>0</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总分</w:t>
            </w:r>
          </w:p>
        </w:tc>
        <w:tc>
          <w:tcPr>
            <w:tcW w:w="828"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100</w:t>
            </w:r>
          </w:p>
        </w:tc>
        <w:tc>
          <w:tcPr>
            <w:tcW w:w="873" w:type="dxa"/>
            <w:tcBorders>
              <w:tl2br w:val="nil"/>
              <w:tr2bl w:val="nil"/>
            </w:tcBorders>
            <w:vAlign w:val="center"/>
          </w:tcPr>
          <w:p>
            <w:pPr>
              <w:widowControl/>
              <w:spacing w:line="360" w:lineRule="exact"/>
              <w:jc w:val="center"/>
              <w:rPr>
                <w:rFonts w:ascii="宋体" w:hAnsi="宋体" w:eastAsia="宋体" w:cs="楷体_GB2312"/>
                <w:bCs/>
                <w:szCs w:val="21"/>
              </w:rPr>
            </w:pPr>
            <w:r>
              <w:rPr>
                <w:rFonts w:hint="eastAsia" w:ascii="宋体" w:hAnsi="宋体" w:eastAsia="宋体" w:cs="楷体_GB2312"/>
                <w:bCs/>
                <w:szCs w:val="21"/>
              </w:rPr>
              <w:t>9</w:t>
            </w:r>
            <w:r>
              <w:rPr>
                <w:rFonts w:ascii="宋体" w:hAnsi="宋体" w:eastAsia="宋体" w:cs="楷体_GB2312"/>
                <w:bCs/>
                <w:szCs w:val="21"/>
              </w:rPr>
              <w:t>6</w:t>
            </w:r>
          </w:p>
        </w:tc>
        <w:tc>
          <w:tcPr>
            <w:tcW w:w="1418" w:type="dxa"/>
            <w:tcBorders>
              <w:tl2br w:val="nil"/>
              <w:tr2bl w:val="nil"/>
            </w:tcBorders>
            <w:vAlign w:val="center"/>
          </w:tcPr>
          <w:p>
            <w:pPr>
              <w:widowControl/>
              <w:spacing w:line="360" w:lineRule="exact"/>
              <w:jc w:val="center"/>
              <w:rPr>
                <w:rFonts w:ascii="宋体" w:hAnsi="宋体" w:eastAsia="宋体" w:cs="楷体_GB2312"/>
                <w:bCs/>
                <w:szCs w:val="21"/>
              </w:rPr>
            </w:pPr>
          </w:p>
        </w:tc>
      </w:tr>
    </w:tbl>
    <w:p>
      <w:pPr>
        <w:widowControl/>
        <w:spacing w:line="360" w:lineRule="exact"/>
        <w:jc w:val="left"/>
        <w:rPr>
          <w:rFonts w:ascii="宋体" w:hAnsi="宋体" w:eastAsia="宋体" w:cs="楷体_GB2312"/>
          <w:bCs/>
          <w:szCs w:val="21"/>
        </w:rPr>
      </w:pPr>
      <w:r>
        <w:rPr>
          <w:rFonts w:ascii="宋体" w:hAnsi="宋体" w:eastAsia="宋体" w:cs="楷体_GB2312"/>
          <w:bCs/>
          <w:szCs w:val="21"/>
        </w:rPr>
        <w:t>填表人：</w:t>
      </w:r>
      <w:r>
        <w:rPr>
          <w:rFonts w:hint="eastAsia" w:ascii="宋体" w:hAnsi="宋体" w:eastAsia="宋体" w:cs="楷体_GB2312"/>
          <w:bCs/>
          <w:szCs w:val="21"/>
        </w:rPr>
        <w:t xml:space="preserve">  陈丽娟       </w:t>
      </w:r>
      <w:r>
        <w:rPr>
          <w:rFonts w:ascii="宋体" w:hAnsi="宋体" w:eastAsia="宋体" w:cs="楷体_GB2312"/>
          <w:bCs/>
          <w:szCs w:val="21"/>
        </w:rPr>
        <w:t xml:space="preserve">  </w:t>
      </w:r>
      <w:r>
        <w:rPr>
          <w:rFonts w:hint="eastAsia" w:ascii="宋体" w:hAnsi="宋体" w:eastAsia="宋体" w:cs="楷体_GB2312"/>
          <w:bCs/>
          <w:szCs w:val="21"/>
        </w:rPr>
        <w:t>填报日期：2</w:t>
      </w:r>
      <w:r>
        <w:rPr>
          <w:rFonts w:ascii="宋体" w:hAnsi="宋体" w:eastAsia="宋体" w:cs="楷体_GB2312"/>
          <w:bCs/>
          <w:szCs w:val="21"/>
        </w:rPr>
        <w:t>024</w:t>
      </w:r>
      <w:r>
        <w:rPr>
          <w:rFonts w:hint="eastAsia" w:ascii="宋体" w:hAnsi="宋体" w:eastAsia="宋体" w:cs="楷体_GB2312"/>
          <w:bCs/>
          <w:szCs w:val="21"/>
        </w:rPr>
        <w:t xml:space="preserve">年6月6日     </w:t>
      </w:r>
      <w:r>
        <w:rPr>
          <w:rFonts w:ascii="宋体" w:hAnsi="宋体" w:eastAsia="宋体" w:cs="楷体_GB2312"/>
          <w:bCs/>
          <w:szCs w:val="21"/>
        </w:rPr>
        <w:t xml:space="preserve">  </w:t>
      </w:r>
      <w:r>
        <w:rPr>
          <w:rFonts w:hint="eastAsia" w:ascii="宋体" w:hAnsi="宋体" w:eastAsia="宋体" w:cs="楷体_GB2312"/>
          <w:bCs/>
          <w:szCs w:val="21"/>
        </w:rPr>
        <w:t>联系电话：1</w:t>
      </w:r>
      <w:r>
        <w:rPr>
          <w:rFonts w:ascii="宋体" w:hAnsi="宋体" w:eastAsia="宋体" w:cs="楷体_GB2312"/>
          <w:bCs/>
          <w:szCs w:val="21"/>
        </w:rPr>
        <w:t>9974589993</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GB2312">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DLF-3-0-1061508550+ZLTFEy-360">
    <w:altName w:val="Cambria"/>
    <w:panose1 w:val="00000000000000000000"/>
    <w:charset w:val="00"/>
    <w:family w:val="roman"/>
    <w:pitch w:val="default"/>
    <w:sig w:usb0="00000000" w:usb1="00000000" w:usb2="00000000" w:usb3="00000000" w:csb0="00000000" w:csb1="00000000"/>
  </w:font>
  <w:font w:name="方正仿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771975"/>
      <w:docPartObj>
        <w:docPartGallery w:val="autotext"/>
      </w:docPartObj>
    </w:sdtPr>
    <w:sdtEndPr>
      <w:rPr>
        <w:rFonts w:ascii="Times New Roman" w:hAnsi="Times New Roman" w:cs="Times New Roman"/>
      </w:rPr>
    </w:sdtEndPr>
    <w:sdtContent>
      <w:p>
        <w:pPr>
          <w:pStyle w:val="1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bordersDoNotSurroundHeader w:val="1"/>
  <w:bordersDoNotSurroundFooter w:val="1"/>
  <w:hideSpellingErrors/>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D6"/>
    <w:rsid w:val="000000E6"/>
    <w:rsid w:val="000001A6"/>
    <w:rsid w:val="00000F4E"/>
    <w:rsid w:val="00000F50"/>
    <w:rsid w:val="0000100A"/>
    <w:rsid w:val="00001614"/>
    <w:rsid w:val="00002995"/>
    <w:rsid w:val="00002FB6"/>
    <w:rsid w:val="000034F0"/>
    <w:rsid w:val="00003F09"/>
    <w:rsid w:val="0000532B"/>
    <w:rsid w:val="000058D0"/>
    <w:rsid w:val="00007088"/>
    <w:rsid w:val="000075AE"/>
    <w:rsid w:val="00007666"/>
    <w:rsid w:val="00007E74"/>
    <w:rsid w:val="00010441"/>
    <w:rsid w:val="00010AAF"/>
    <w:rsid w:val="00011C8D"/>
    <w:rsid w:val="0001239D"/>
    <w:rsid w:val="0001251D"/>
    <w:rsid w:val="00012F21"/>
    <w:rsid w:val="00012F55"/>
    <w:rsid w:val="00013E69"/>
    <w:rsid w:val="00013F83"/>
    <w:rsid w:val="000143A5"/>
    <w:rsid w:val="0001514A"/>
    <w:rsid w:val="000155A4"/>
    <w:rsid w:val="00015DB2"/>
    <w:rsid w:val="00016BD1"/>
    <w:rsid w:val="0001726E"/>
    <w:rsid w:val="0001749E"/>
    <w:rsid w:val="00017A67"/>
    <w:rsid w:val="00017F83"/>
    <w:rsid w:val="00020E17"/>
    <w:rsid w:val="00021524"/>
    <w:rsid w:val="0002380D"/>
    <w:rsid w:val="00024953"/>
    <w:rsid w:val="00024C19"/>
    <w:rsid w:val="00024E55"/>
    <w:rsid w:val="00024EC5"/>
    <w:rsid w:val="00025855"/>
    <w:rsid w:val="000264B2"/>
    <w:rsid w:val="00027B50"/>
    <w:rsid w:val="00027CBD"/>
    <w:rsid w:val="00030439"/>
    <w:rsid w:val="000312DC"/>
    <w:rsid w:val="000315E9"/>
    <w:rsid w:val="00033C09"/>
    <w:rsid w:val="00033E5A"/>
    <w:rsid w:val="0003508D"/>
    <w:rsid w:val="00036493"/>
    <w:rsid w:val="0003652E"/>
    <w:rsid w:val="00036B19"/>
    <w:rsid w:val="0003700A"/>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1D4"/>
    <w:rsid w:val="000555FB"/>
    <w:rsid w:val="00056C5D"/>
    <w:rsid w:val="00056D19"/>
    <w:rsid w:val="000612C8"/>
    <w:rsid w:val="0006133F"/>
    <w:rsid w:val="00062A8B"/>
    <w:rsid w:val="00063605"/>
    <w:rsid w:val="0006410F"/>
    <w:rsid w:val="00064155"/>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2EF3"/>
    <w:rsid w:val="00083EBE"/>
    <w:rsid w:val="00083F5F"/>
    <w:rsid w:val="00085062"/>
    <w:rsid w:val="00085D3C"/>
    <w:rsid w:val="0008638C"/>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3CE4"/>
    <w:rsid w:val="000B4DD5"/>
    <w:rsid w:val="000B4FC4"/>
    <w:rsid w:val="000B52E9"/>
    <w:rsid w:val="000B5520"/>
    <w:rsid w:val="000B64C1"/>
    <w:rsid w:val="000B72E5"/>
    <w:rsid w:val="000C072F"/>
    <w:rsid w:val="000C10BE"/>
    <w:rsid w:val="000C207E"/>
    <w:rsid w:val="000C21D1"/>
    <w:rsid w:val="000C3997"/>
    <w:rsid w:val="000C5778"/>
    <w:rsid w:val="000C6BA2"/>
    <w:rsid w:val="000C6CAA"/>
    <w:rsid w:val="000C7142"/>
    <w:rsid w:val="000C79A2"/>
    <w:rsid w:val="000C79D5"/>
    <w:rsid w:val="000C7D5A"/>
    <w:rsid w:val="000D0985"/>
    <w:rsid w:val="000D0B9D"/>
    <w:rsid w:val="000D2F37"/>
    <w:rsid w:val="000D3F8E"/>
    <w:rsid w:val="000D425B"/>
    <w:rsid w:val="000D4C92"/>
    <w:rsid w:val="000D5CBA"/>
    <w:rsid w:val="000D5DD9"/>
    <w:rsid w:val="000D67E9"/>
    <w:rsid w:val="000D6BBF"/>
    <w:rsid w:val="000D6C30"/>
    <w:rsid w:val="000E0641"/>
    <w:rsid w:val="000E0669"/>
    <w:rsid w:val="000E08B9"/>
    <w:rsid w:val="000E2136"/>
    <w:rsid w:val="000E2A0C"/>
    <w:rsid w:val="000E3EE0"/>
    <w:rsid w:val="000E4436"/>
    <w:rsid w:val="000E764F"/>
    <w:rsid w:val="000F03D5"/>
    <w:rsid w:val="000F0503"/>
    <w:rsid w:val="000F0B1D"/>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17336"/>
    <w:rsid w:val="001209B7"/>
    <w:rsid w:val="00120EAF"/>
    <w:rsid w:val="001229C2"/>
    <w:rsid w:val="00123CA7"/>
    <w:rsid w:val="001248D7"/>
    <w:rsid w:val="001274C3"/>
    <w:rsid w:val="00127AEB"/>
    <w:rsid w:val="001302DA"/>
    <w:rsid w:val="00131040"/>
    <w:rsid w:val="00131842"/>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D6"/>
    <w:rsid w:val="00154CB1"/>
    <w:rsid w:val="00155094"/>
    <w:rsid w:val="0015732A"/>
    <w:rsid w:val="0015761C"/>
    <w:rsid w:val="00160F1C"/>
    <w:rsid w:val="00163065"/>
    <w:rsid w:val="00163272"/>
    <w:rsid w:val="0016370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6781"/>
    <w:rsid w:val="0017683E"/>
    <w:rsid w:val="001769A5"/>
    <w:rsid w:val="0017752D"/>
    <w:rsid w:val="0018032C"/>
    <w:rsid w:val="0018096A"/>
    <w:rsid w:val="00180ED3"/>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4362"/>
    <w:rsid w:val="001A0069"/>
    <w:rsid w:val="001A0F77"/>
    <w:rsid w:val="001A107D"/>
    <w:rsid w:val="001A170C"/>
    <w:rsid w:val="001A187C"/>
    <w:rsid w:val="001A2F7B"/>
    <w:rsid w:val="001A3E4D"/>
    <w:rsid w:val="001A5B4F"/>
    <w:rsid w:val="001A674F"/>
    <w:rsid w:val="001A6CAE"/>
    <w:rsid w:val="001A7274"/>
    <w:rsid w:val="001A78AA"/>
    <w:rsid w:val="001B00D0"/>
    <w:rsid w:val="001B00FB"/>
    <w:rsid w:val="001B097A"/>
    <w:rsid w:val="001B1897"/>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D0529"/>
    <w:rsid w:val="001D0F5D"/>
    <w:rsid w:val="001D1872"/>
    <w:rsid w:val="001D19CB"/>
    <w:rsid w:val="001D2819"/>
    <w:rsid w:val="001D2EE0"/>
    <w:rsid w:val="001D3E88"/>
    <w:rsid w:val="001D6A7A"/>
    <w:rsid w:val="001E0230"/>
    <w:rsid w:val="001E07BF"/>
    <w:rsid w:val="001E1930"/>
    <w:rsid w:val="001E2ADE"/>
    <w:rsid w:val="001E39DD"/>
    <w:rsid w:val="001E3EF1"/>
    <w:rsid w:val="001E45D3"/>
    <w:rsid w:val="001E477E"/>
    <w:rsid w:val="001E4D56"/>
    <w:rsid w:val="001E5EB9"/>
    <w:rsid w:val="001E6391"/>
    <w:rsid w:val="001F04FF"/>
    <w:rsid w:val="001F2737"/>
    <w:rsid w:val="001F27D2"/>
    <w:rsid w:val="001F293C"/>
    <w:rsid w:val="001F3CEC"/>
    <w:rsid w:val="001F567D"/>
    <w:rsid w:val="001F5D4B"/>
    <w:rsid w:val="001F7480"/>
    <w:rsid w:val="001F7686"/>
    <w:rsid w:val="001F7B4E"/>
    <w:rsid w:val="001F7CC6"/>
    <w:rsid w:val="00200607"/>
    <w:rsid w:val="002011E0"/>
    <w:rsid w:val="0020218D"/>
    <w:rsid w:val="00202F81"/>
    <w:rsid w:val="00204284"/>
    <w:rsid w:val="00206099"/>
    <w:rsid w:val="0020740C"/>
    <w:rsid w:val="0021069B"/>
    <w:rsid w:val="00210A6A"/>
    <w:rsid w:val="00210EA2"/>
    <w:rsid w:val="002112AF"/>
    <w:rsid w:val="00212E6F"/>
    <w:rsid w:val="00214015"/>
    <w:rsid w:val="0021402B"/>
    <w:rsid w:val="002145E7"/>
    <w:rsid w:val="00215BE3"/>
    <w:rsid w:val="00220429"/>
    <w:rsid w:val="00220638"/>
    <w:rsid w:val="00221165"/>
    <w:rsid w:val="002211B7"/>
    <w:rsid w:val="002218FB"/>
    <w:rsid w:val="00221E72"/>
    <w:rsid w:val="002226ED"/>
    <w:rsid w:val="00222E8B"/>
    <w:rsid w:val="00222FD4"/>
    <w:rsid w:val="00223256"/>
    <w:rsid w:val="00223547"/>
    <w:rsid w:val="002243C7"/>
    <w:rsid w:val="002243FA"/>
    <w:rsid w:val="00225DA0"/>
    <w:rsid w:val="00225F14"/>
    <w:rsid w:val="00226167"/>
    <w:rsid w:val="00226177"/>
    <w:rsid w:val="00226B6D"/>
    <w:rsid w:val="002300E3"/>
    <w:rsid w:val="00231E5E"/>
    <w:rsid w:val="0023229C"/>
    <w:rsid w:val="0023321A"/>
    <w:rsid w:val="00234435"/>
    <w:rsid w:val="00234816"/>
    <w:rsid w:val="002366C2"/>
    <w:rsid w:val="00240F25"/>
    <w:rsid w:val="00241D95"/>
    <w:rsid w:val="002423A1"/>
    <w:rsid w:val="00244353"/>
    <w:rsid w:val="00244B4C"/>
    <w:rsid w:val="00244C03"/>
    <w:rsid w:val="00244D2F"/>
    <w:rsid w:val="002454FB"/>
    <w:rsid w:val="00246D7D"/>
    <w:rsid w:val="00247507"/>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D9"/>
    <w:rsid w:val="0026430E"/>
    <w:rsid w:val="00264B00"/>
    <w:rsid w:val="00266083"/>
    <w:rsid w:val="002668B6"/>
    <w:rsid w:val="00266AD9"/>
    <w:rsid w:val="00267851"/>
    <w:rsid w:val="0026798B"/>
    <w:rsid w:val="00267FBD"/>
    <w:rsid w:val="00270206"/>
    <w:rsid w:val="0027072C"/>
    <w:rsid w:val="00271B1B"/>
    <w:rsid w:val="00271B3D"/>
    <w:rsid w:val="002724D4"/>
    <w:rsid w:val="00272B70"/>
    <w:rsid w:val="002730C7"/>
    <w:rsid w:val="00274265"/>
    <w:rsid w:val="00275405"/>
    <w:rsid w:val="0027713B"/>
    <w:rsid w:val="00281777"/>
    <w:rsid w:val="00281818"/>
    <w:rsid w:val="00283BE3"/>
    <w:rsid w:val="0028525A"/>
    <w:rsid w:val="002860BC"/>
    <w:rsid w:val="00286685"/>
    <w:rsid w:val="002869C7"/>
    <w:rsid w:val="0028788A"/>
    <w:rsid w:val="00287920"/>
    <w:rsid w:val="002916B8"/>
    <w:rsid w:val="002919DA"/>
    <w:rsid w:val="0029247E"/>
    <w:rsid w:val="00293E3D"/>
    <w:rsid w:val="002942B2"/>
    <w:rsid w:val="0029471A"/>
    <w:rsid w:val="00295BB9"/>
    <w:rsid w:val="002963E6"/>
    <w:rsid w:val="00296FC0"/>
    <w:rsid w:val="002A15DA"/>
    <w:rsid w:val="002A2130"/>
    <w:rsid w:val="002A2E26"/>
    <w:rsid w:val="002A4BF9"/>
    <w:rsid w:val="002A5165"/>
    <w:rsid w:val="002A5C09"/>
    <w:rsid w:val="002B0961"/>
    <w:rsid w:val="002B2BBA"/>
    <w:rsid w:val="002B45E8"/>
    <w:rsid w:val="002B5ADF"/>
    <w:rsid w:val="002B5F28"/>
    <w:rsid w:val="002B67D4"/>
    <w:rsid w:val="002B6891"/>
    <w:rsid w:val="002B6BA2"/>
    <w:rsid w:val="002B77F4"/>
    <w:rsid w:val="002B798F"/>
    <w:rsid w:val="002C189A"/>
    <w:rsid w:val="002C3A5B"/>
    <w:rsid w:val="002C4531"/>
    <w:rsid w:val="002C4D56"/>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44ED"/>
    <w:rsid w:val="002E6CBC"/>
    <w:rsid w:val="002E730F"/>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27C8"/>
    <w:rsid w:val="00312A57"/>
    <w:rsid w:val="00314821"/>
    <w:rsid w:val="00315044"/>
    <w:rsid w:val="003163C3"/>
    <w:rsid w:val="0031715B"/>
    <w:rsid w:val="00320703"/>
    <w:rsid w:val="00320FC5"/>
    <w:rsid w:val="003213E5"/>
    <w:rsid w:val="00321CFF"/>
    <w:rsid w:val="0032254D"/>
    <w:rsid w:val="00322942"/>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EE3"/>
    <w:rsid w:val="00365086"/>
    <w:rsid w:val="003666D4"/>
    <w:rsid w:val="00367ABA"/>
    <w:rsid w:val="00371F82"/>
    <w:rsid w:val="00372394"/>
    <w:rsid w:val="003729BF"/>
    <w:rsid w:val="003748AD"/>
    <w:rsid w:val="00374BAC"/>
    <w:rsid w:val="00375894"/>
    <w:rsid w:val="003768A3"/>
    <w:rsid w:val="003768A4"/>
    <w:rsid w:val="0037691C"/>
    <w:rsid w:val="00377D74"/>
    <w:rsid w:val="00377F15"/>
    <w:rsid w:val="0038187E"/>
    <w:rsid w:val="00383851"/>
    <w:rsid w:val="00384300"/>
    <w:rsid w:val="00384F71"/>
    <w:rsid w:val="00385F04"/>
    <w:rsid w:val="00385F43"/>
    <w:rsid w:val="00386007"/>
    <w:rsid w:val="00386F1E"/>
    <w:rsid w:val="00387F74"/>
    <w:rsid w:val="003906C3"/>
    <w:rsid w:val="00391704"/>
    <w:rsid w:val="00391785"/>
    <w:rsid w:val="00391C3B"/>
    <w:rsid w:val="0039249E"/>
    <w:rsid w:val="00392CE6"/>
    <w:rsid w:val="003936E0"/>
    <w:rsid w:val="00394957"/>
    <w:rsid w:val="0039605F"/>
    <w:rsid w:val="0039612F"/>
    <w:rsid w:val="003962A8"/>
    <w:rsid w:val="003967C4"/>
    <w:rsid w:val="00397E29"/>
    <w:rsid w:val="003A033D"/>
    <w:rsid w:val="003A0852"/>
    <w:rsid w:val="003A0B2C"/>
    <w:rsid w:val="003A0D3B"/>
    <w:rsid w:val="003A1E8D"/>
    <w:rsid w:val="003A2D9B"/>
    <w:rsid w:val="003A2E02"/>
    <w:rsid w:val="003A3033"/>
    <w:rsid w:val="003A4AFD"/>
    <w:rsid w:val="003A575C"/>
    <w:rsid w:val="003A73BF"/>
    <w:rsid w:val="003A7C3E"/>
    <w:rsid w:val="003B0298"/>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C28"/>
    <w:rsid w:val="003B7BBE"/>
    <w:rsid w:val="003B7C0D"/>
    <w:rsid w:val="003C0D62"/>
    <w:rsid w:val="003C1187"/>
    <w:rsid w:val="003C2AFE"/>
    <w:rsid w:val="003C2B67"/>
    <w:rsid w:val="003C702A"/>
    <w:rsid w:val="003C73EC"/>
    <w:rsid w:val="003D098B"/>
    <w:rsid w:val="003D1399"/>
    <w:rsid w:val="003D1478"/>
    <w:rsid w:val="003D16D2"/>
    <w:rsid w:val="003D1F5F"/>
    <w:rsid w:val="003D2A6D"/>
    <w:rsid w:val="003D2F64"/>
    <w:rsid w:val="003D304D"/>
    <w:rsid w:val="003D3439"/>
    <w:rsid w:val="003D43AE"/>
    <w:rsid w:val="003D4CD2"/>
    <w:rsid w:val="003D6A74"/>
    <w:rsid w:val="003D78FF"/>
    <w:rsid w:val="003E25DE"/>
    <w:rsid w:val="003E2AE0"/>
    <w:rsid w:val="003E308E"/>
    <w:rsid w:val="003E3E73"/>
    <w:rsid w:val="003E3F16"/>
    <w:rsid w:val="003E63A9"/>
    <w:rsid w:val="003E6653"/>
    <w:rsid w:val="003E6799"/>
    <w:rsid w:val="003E75A6"/>
    <w:rsid w:val="003E794D"/>
    <w:rsid w:val="003F1653"/>
    <w:rsid w:val="003F16E2"/>
    <w:rsid w:val="003F4D22"/>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A74"/>
    <w:rsid w:val="00426DE0"/>
    <w:rsid w:val="00427401"/>
    <w:rsid w:val="00430BB3"/>
    <w:rsid w:val="00430ED4"/>
    <w:rsid w:val="00431DC4"/>
    <w:rsid w:val="00432202"/>
    <w:rsid w:val="00432DDE"/>
    <w:rsid w:val="00432F9F"/>
    <w:rsid w:val="00433A98"/>
    <w:rsid w:val="004341C1"/>
    <w:rsid w:val="0043439F"/>
    <w:rsid w:val="00434B1C"/>
    <w:rsid w:val="00434B52"/>
    <w:rsid w:val="00435423"/>
    <w:rsid w:val="0043546C"/>
    <w:rsid w:val="00435552"/>
    <w:rsid w:val="00435970"/>
    <w:rsid w:val="00435F46"/>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312"/>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16AC"/>
    <w:rsid w:val="0049363B"/>
    <w:rsid w:val="004944B2"/>
    <w:rsid w:val="00494552"/>
    <w:rsid w:val="00495CF6"/>
    <w:rsid w:val="00497343"/>
    <w:rsid w:val="00497762"/>
    <w:rsid w:val="004A0502"/>
    <w:rsid w:val="004A0821"/>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F5F"/>
    <w:rsid w:val="004B6F97"/>
    <w:rsid w:val="004C0233"/>
    <w:rsid w:val="004C18DD"/>
    <w:rsid w:val="004C35E3"/>
    <w:rsid w:val="004C3A55"/>
    <w:rsid w:val="004C6123"/>
    <w:rsid w:val="004C69E1"/>
    <w:rsid w:val="004C7A06"/>
    <w:rsid w:val="004D12BD"/>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580A"/>
    <w:rsid w:val="004F6555"/>
    <w:rsid w:val="004F7B63"/>
    <w:rsid w:val="004F7D8E"/>
    <w:rsid w:val="00501236"/>
    <w:rsid w:val="00502A0C"/>
    <w:rsid w:val="00503354"/>
    <w:rsid w:val="00503DA7"/>
    <w:rsid w:val="0050429B"/>
    <w:rsid w:val="005042E0"/>
    <w:rsid w:val="00504E77"/>
    <w:rsid w:val="005065DD"/>
    <w:rsid w:val="00506641"/>
    <w:rsid w:val="00506D07"/>
    <w:rsid w:val="00507E0F"/>
    <w:rsid w:val="005101C1"/>
    <w:rsid w:val="00510FD1"/>
    <w:rsid w:val="005112D7"/>
    <w:rsid w:val="00511B5E"/>
    <w:rsid w:val="005127B2"/>
    <w:rsid w:val="0051280D"/>
    <w:rsid w:val="00512DE4"/>
    <w:rsid w:val="005133D8"/>
    <w:rsid w:val="00513A4F"/>
    <w:rsid w:val="00515D82"/>
    <w:rsid w:val="00516762"/>
    <w:rsid w:val="005170F3"/>
    <w:rsid w:val="00517D19"/>
    <w:rsid w:val="005226FC"/>
    <w:rsid w:val="00522AC9"/>
    <w:rsid w:val="005230CE"/>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63"/>
    <w:rsid w:val="00545F0D"/>
    <w:rsid w:val="00546A9A"/>
    <w:rsid w:val="00546B04"/>
    <w:rsid w:val="005472FD"/>
    <w:rsid w:val="005475F6"/>
    <w:rsid w:val="00547C3D"/>
    <w:rsid w:val="00550190"/>
    <w:rsid w:val="00550D85"/>
    <w:rsid w:val="0055271F"/>
    <w:rsid w:val="00552C65"/>
    <w:rsid w:val="00554476"/>
    <w:rsid w:val="00554481"/>
    <w:rsid w:val="00554DEC"/>
    <w:rsid w:val="005552B0"/>
    <w:rsid w:val="00555833"/>
    <w:rsid w:val="00555B2F"/>
    <w:rsid w:val="00556669"/>
    <w:rsid w:val="0056001B"/>
    <w:rsid w:val="00560AE2"/>
    <w:rsid w:val="00562922"/>
    <w:rsid w:val="00563754"/>
    <w:rsid w:val="00564024"/>
    <w:rsid w:val="0056444C"/>
    <w:rsid w:val="0056452E"/>
    <w:rsid w:val="00564984"/>
    <w:rsid w:val="00564CC8"/>
    <w:rsid w:val="0056615F"/>
    <w:rsid w:val="00567270"/>
    <w:rsid w:val="0056756E"/>
    <w:rsid w:val="00567FAD"/>
    <w:rsid w:val="005735B6"/>
    <w:rsid w:val="00574968"/>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183A"/>
    <w:rsid w:val="005C264A"/>
    <w:rsid w:val="005C2C9B"/>
    <w:rsid w:val="005C3385"/>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600DC2"/>
    <w:rsid w:val="00601152"/>
    <w:rsid w:val="00601A48"/>
    <w:rsid w:val="00601DBA"/>
    <w:rsid w:val="006026E4"/>
    <w:rsid w:val="0060286D"/>
    <w:rsid w:val="00604C86"/>
    <w:rsid w:val="006061A1"/>
    <w:rsid w:val="006071D7"/>
    <w:rsid w:val="0060734C"/>
    <w:rsid w:val="00610B6D"/>
    <w:rsid w:val="00611A61"/>
    <w:rsid w:val="00614227"/>
    <w:rsid w:val="00614675"/>
    <w:rsid w:val="00614680"/>
    <w:rsid w:val="00615C9F"/>
    <w:rsid w:val="00621020"/>
    <w:rsid w:val="00621082"/>
    <w:rsid w:val="0062125D"/>
    <w:rsid w:val="00623694"/>
    <w:rsid w:val="00624295"/>
    <w:rsid w:val="006247DD"/>
    <w:rsid w:val="006251A3"/>
    <w:rsid w:val="0062541E"/>
    <w:rsid w:val="006257D0"/>
    <w:rsid w:val="00626FD1"/>
    <w:rsid w:val="00627C7C"/>
    <w:rsid w:val="00627F53"/>
    <w:rsid w:val="00630A9C"/>
    <w:rsid w:val="00631F6A"/>
    <w:rsid w:val="00632024"/>
    <w:rsid w:val="006328DA"/>
    <w:rsid w:val="00633E7E"/>
    <w:rsid w:val="00634176"/>
    <w:rsid w:val="0063486B"/>
    <w:rsid w:val="00636E20"/>
    <w:rsid w:val="00637463"/>
    <w:rsid w:val="00640792"/>
    <w:rsid w:val="00640B49"/>
    <w:rsid w:val="00641EA0"/>
    <w:rsid w:val="00641FB2"/>
    <w:rsid w:val="00642062"/>
    <w:rsid w:val="006424D4"/>
    <w:rsid w:val="00645393"/>
    <w:rsid w:val="006455D0"/>
    <w:rsid w:val="00646327"/>
    <w:rsid w:val="00647062"/>
    <w:rsid w:val="006473F6"/>
    <w:rsid w:val="00647896"/>
    <w:rsid w:val="0065011A"/>
    <w:rsid w:val="00650D62"/>
    <w:rsid w:val="00651BE7"/>
    <w:rsid w:val="00651D31"/>
    <w:rsid w:val="00651D3A"/>
    <w:rsid w:val="006527C5"/>
    <w:rsid w:val="00653252"/>
    <w:rsid w:val="006538B5"/>
    <w:rsid w:val="0065392C"/>
    <w:rsid w:val="00653DC4"/>
    <w:rsid w:val="00656165"/>
    <w:rsid w:val="00656841"/>
    <w:rsid w:val="00656927"/>
    <w:rsid w:val="006576FD"/>
    <w:rsid w:val="00662DDB"/>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5D55"/>
    <w:rsid w:val="006861F9"/>
    <w:rsid w:val="006869AA"/>
    <w:rsid w:val="006874FD"/>
    <w:rsid w:val="00687E86"/>
    <w:rsid w:val="0069139A"/>
    <w:rsid w:val="006913B4"/>
    <w:rsid w:val="00691D24"/>
    <w:rsid w:val="00691DED"/>
    <w:rsid w:val="0069297D"/>
    <w:rsid w:val="006934FF"/>
    <w:rsid w:val="006938C9"/>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E49"/>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50EC"/>
    <w:rsid w:val="006F74FD"/>
    <w:rsid w:val="006F7C1A"/>
    <w:rsid w:val="00700F4E"/>
    <w:rsid w:val="00700FA7"/>
    <w:rsid w:val="00701A81"/>
    <w:rsid w:val="007026B9"/>
    <w:rsid w:val="00703905"/>
    <w:rsid w:val="007051EF"/>
    <w:rsid w:val="00706D66"/>
    <w:rsid w:val="007073BE"/>
    <w:rsid w:val="00707C54"/>
    <w:rsid w:val="00707E26"/>
    <w:rsid w:val="007104AC"/>
    <w:rsid w:val="0071121E"/>
    <w:rsid w:val="00711300"/>
    <w:rsid w:val="007130AF"/>
    <w:rsid w:val="007130D9"/>
    <w:rsid w:val="007130EF"/>
    <w:rsid w:val="007135D3"/>
    <w:rsid w:val="00714918"/>
    <w:rsid w:val="00715EE9"/>
    <w:rsid w:val="0071683F"/>
    <w:rsid w:val="00716E0A"/>
    <w:rsid w:val="007178FB"/>
    <w:rsid w:val="00720293"/>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7236"/>
    <w:rsid w:val="0072791A"/>
    <w:rsid w:val="007303C9"/>
    <w:rsid w:val="0073087F"/>
    <w:rsid w:val="0073143E"/>
    <w:rsid w:val="00732016"/>
    <w:rsid w:val="0073317C"/>
    <w:rsid w:val="00733381"/>
    <w:rsid w:val="00733892"/>
    <w:rsid w:val="00733ACE"/>
    <w:rsid w:val="00734AE2"/>
    <w:rsid w:val="00734F12"/>
    <w:rsid w:val="00734F6D"/>
    <w:rsid w:val="007352A1"/>
    <w:rsid w:val="00735AC1"/>
    <w:rsid w:val="00735BB2"/>
    <w:rsid w:val="007376E5"/>
    <w:rsid w:val="007409A9"/>
    <w:rsid w:val="00743359"/>
    <w:rsid w:val="00743F7A"/>
    <w:rsid w:val="00744545"/>
    <w:rsid w:val="00744851"/>
    <w:rsid w:val="0074511E"/>
    <w:rsid w:val="00745ECB"/>
    <w:rsid w:val="00745F28"/>
    <w:rsid w:val="007479F8"/>
    <w:rsid w:val="00750018"/>
    <w:rsid w:val="0075076E"/>
    <w:rsid w:val="007508E2"/>
    <w:rsid w:val="007530F4"/>
    <w:rsid w:val="00753580"/>
    <w:rsid w:val="00753CAB"/>
    <w:rsid w:val="007545AE"/>
    <w:rsid w:val="00754A35"/>
    <w:rsid w:val="00754E69"/>
    <w:rsid w:val="00755048"/>
    <w:rsid w:val="00756DAA"/>
    <w:rsid w:val="00757C12"/>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54EB"/>
    <w:rsid w:val="007762AF"/>
    <w:rsid w:val="00780B1F"/>
    <w:rsid w:val="00781D86"/>
    <w:rsid w:val="007827CC"/>
    <w:rsid w:val="00782813"/>
    <w:rsid w:val="00783061"/>
    <w:rsid w:val="007834EF"/>
    <w:rsid w:val="00783C6C"/>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34A"/>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E93"/>
    <w:rsid w:val="008335D3"/>
    <w:rsid w:val="008337CA"/>
    <w:rsid w:val="00833A21"/>
    <w:rsid w:val="00834345"/>
    <w:rsid w:val="00835364"/>
    <w:rsid w:val="0083600C"/>
    <w:rsid w:val="00836601"/>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70F"/>
    <w:rsid w:val="0086097E"/>
    <w:rsid w:val="00861B84"/>
    <w:rsid w:val="008624E1"/>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3124"/>
    <w:rsid w:val="00883358"/>
    <w:rsid w:val="008838CC"/>
    <w:rsid w:val="00884DEC"/>
    <w:rsid w:val="00885191"/>
    <w:rsid w:val="0088592F"/>
    <w:rsid w:val="00886AE9"/>
    <w:rsid w:val="00886C69"/>
    <w:rsid w:val="00886F73"/>
    <w:rsid w:val="008872C3"/>
    <w:rsid w:val="0088788F"/>
    <w:rsid w:val="0088794C"/>
    <w:rsid w:val="008879FF"/>
    <w:rsid w:val="00887FFC"/>
    <w:rsid w:val="00890314"/>
    <w:rsid w:val="0089049C"/>
    <w:rsid w:val="00891266"/>
    <w:rsid w:val="00891AEE"/>
    <w:rsid w:val="00892B21"/>
    <w:rsid w:val="0089319D"/>
    <w:rsid w:val="00895788"/>
    <w:rsid w:val="0089618C"/>
    <w:rsid w:val="008961CF"/>
    <w:rsid w:val="008963E4"/>
    <w:rsid w:val="00897531"/>
    <w:rsid w:val="008A05C6"/>
    <w:rsid w:val="008A0A3D"/>
    <w:rsid w:val="008A2ACE"/>
    <w:rsid w:val="008A3BC6"/>
    <w:rsid w:val="008A4990"/>
    <w:rsid w:val="008A4D17"/>
    <w:rsid w:val="008A56C8"/>
    <w:rsid w:val="008A63C3"/>
    <w:rsid w:val="008A7166"/>
    <w:rsid w:val="008A79FF"/>
    <w:rsid w:val="008B0E6E"/>
    <w:rsid w:val="008B104E"/>
    <w:rsid w:val="008B29EB"/>
    <w:rsid w:val="008B3093"/>
    <w:rsid w:val="008B3596"/>
    <w:rsid w:val="008B365D"/>
    <w:rsid w:val="008B41E5"/>
    <w:rsid w:val="008B6A5C"/>
    <w:rsid w:val="008B7824"/>
    <w:rsid w:val="008C04E5"/>
    <w:rsid w:val="008C07EB"/>
    <w:rsid w:val="008C285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2045"/>
    <w:rsid w:val="008E23A2"/>
    <w:rsid w:val="008E2E30"/>
    <w:rsid w:val="008E464B"/>
    <w:rsid w:val="008E4FFA"/>
    <w:rsid w:val="008E53B8"/>
    <w:rsid w:val="008E6039"/>
    <w:rsid w:val="008E6AC7"/>
    <w:rsid w:val="008E7358"/>
    <w:rsid w:val="008E7807"/>
    <w:rsid w:val="008F06C5"/>
    <w:rsid w:val="008F0AD7"/>
    <w:rsid w:val="008F0D33"/>
    <w:rsid w:val="008F1B61"/>
    <w:rsid w:val="008F3963"/>
    <w:rsid w:val="008F3AD3"/>
    <w:rsid w:val="008F40E8"/>
    <w:rsid w:val="008F6722"/>
    <w:rsid w:val="008F6C20"/>
    <w:rsid w:val="008F73F1"/>
    <w:rsid w:val="008F7984"/>
    <w:rsid w:val="009000FC"/>
    <w:rsid w:val="00900599"/>
    <w:rsid w:val="0090102C"/>
    <w:rsid w:val="00901A36"/>
    <w:rsid w:val="00901A5C"/>
    <w:rsid w:val="00902291"/>
    <w:rsid w:val="0090397A"/>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40D6"/>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782B"/>
    <w:rsid w:val="00940BF5"/>
    <w:rsid w:val="00941474"/>
    <w:rsid w:val="009417E6"/>
    <w:rsid w:val="00941F58"/>
    <w:rsid w:val="00941FF0"/>
    <w:rsid w:val="00942107"/>
    <w:rsid w:val="00942218"/>
    <w:rsid w:val="00942FEF"/>
    <w:rsid w:val="00943DCA"/>
    <w:rsid w:val="00944272"/>
    <w:rsid w:val="0094456B"/>
    <w:rsid w:val="0094612C"/>
    <w:rsid w:val="009466AF"/>
    <w:rsid w:val="00950BEF"/>
    <w:rsid w:val="00951406"/>
    <w:rsid w:val="00952C45"/>
    <w:rsid w:val="009531C5"/>
    <w:rsid w:val="00953BC4"/>
    <w:rsid w:val="00954632"/>
    <w:rsid w:val="009561FF"/>
    <w:rsid w:val="00957F0D"/>
    <w:rsid w:val="00960264"/>
    <w:rsid w:val="0096050E"/>
    <w:rsid w:val="00961824"/>
    <w:rsid w:val="00961C97"/>
    <w:rsid w:val="009629C6"/>
    <w:rsid w:val="00962E30"/>
    <w:rsid w:val="00963468"/>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91204"/>
    <w:rsid w:val="00991A22"/>
    <w:rsid w:val="00991B41"/>
    <w:rsid w:val="00992529"/>
    <w:rsid w:val="00994A78"/>
    <w:rsid w:val="00995525"/>
    <w:rsid w:val="009955B2"/>
    <w:rsid w:val="00996BA2"/>
    <w:rsid w:val="00996ECD"/>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348B"/>
    <w:rsid w:val="009F3CE9"/>
    <w:rsid w:val="009F4DD0"/>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B8"/>
    <w:rsid w:val="00A138CA"/>
    <w:rsid w:val="00A144F5"/>
    <w:rsid w:val="00A150D7"/>
    <w:rsid w:val="00A15BF9"/>
    <w:rsid w:val="00A163CA"/>
    <w:rsid w:val="00A164CC"/>
    <w:rsid w:val="00A165F5"/>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74B2"/>
    <w:rsid w:val="00A47B37"/>
    <w:rsid w:val="00A512B0"/>
    <w:rsid w:val="00A513EB"/>
    <w:rsid w:val="00A51C82"/>
    <w:rsid w:val="00A522A9"/>
    <w:rsid w:val="00A53076"/>
    <w:rsid w:val="00A53821"/>
    <w:rsid w:val="00A53952"/>
    <w:rsid w:val="00A53A90"/>
    <w:rsid w:val="00A5418F"/>
    <w:rsid w:val="00A5443C"/>
    <w:rsid w:val="00A54E35"/>
    <w:rsid w:val="00A54F0D"/>
    <w:rsid w:val="00A55306"/>
    <w:rsid w:val="00A574B9"/>
    <w:rsid w:val="00A576EC"/>
    <w:rsid w:val="00A6078B"/>
    <w:rsid w:val="00A60FBE"/>
    <w:rsid w:val="00A611E0"/>
    <w:rsid w:val="00A627E7"/>
    <w:rsid w:val="00A646BA"/>
    <w:rsid w:val="00A672BD"/>
    <w:rsid w:val="00A673F0"/>
    <w:rsid w:val="00A67515"/>
    <w:rsid w:val="00A7015B"/>
    <w:rsid w:val="00A70E7C"/>
    <w:rsid w:val="00A72CB4"/>
    <w:rsid w:val="00A72FAF"/>
    <w:rsid w:val="00A73B0B"/>
    <w:rsid w:val="00A7447E"/>
    <w:rsid w:val="00A74561"/>
    <w:rsid w:val="00A75213"/>
    <w:rsid w:val="00A75698"/>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599C"/>
    <w:rsid w:val="00AA67DF"/>
    <w:rsid w:val="00AA6AB3"/>
    <w:rsid w:val="00AA7458"/>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2F7"/>
    <w:rsid w:val="00AC54FA"/>
    <w:rsid w:val="00AD018B"/>
    <w:rsid w:val="00AD0387"/>
    <w:rsid w:val="00AD1340"/>
    <w:rsid w:val="00AD2639"/>
    <w:rsid w:val="00AD2CE5"/>
    <w:rsid w:val="00AD33EC"/>
    <w:rsid w:val="00AD4591"/>
    <w:rsid w:val="00AD5C20"/>
    <w:rsid w:val="00AD5C81"/>
    <w:rsid w:val="00AD6011"/>
    <w:rsid w:val="00AD695D"/>
    <w:rsid w:val="00AD6F03"/>
    <w:rsid w:val="00AD6FFE"/>
    <w:rsid w:val="00AE0616"/>
    <w:rsid w:val="00AE0903"/>
    <w:rsid w:val="00AE1241"/>
    <w:rsid w:val="00AE18D1"/>
    <w:rsid w:val="00AE22F2"/>
    <w:rsid w:val="00AE49FB"/>
    <w:rsid w:val="00AE57C3"/>
    <w:rsid w:val="00AE762D"/>
    <w:rsid w:val="00AE7C51"/>
    <w:rsid w:val="00AF0038"/>
    <w:rsid w:val="00AF0628"/>
    <w:rsid w:val="00AF1229"/>
    <w:rsid w:val="00AF2D52"/>
    <w:rsid w:val="00AF37F7"/>
    <w:rsid w:val="00AF4E4D"/>
    <w:rsid w:val="00AF5695"/>
    <w:rsid w:val="00AF5952"/>
    <w:rsid w:val="00AF5E6E"/>
    <w:rsid w:val="00AF62F1"/>
    <w:rsid w:val="00AF65A8"/>
    <w:rsid w:val="00AF7642"/>
    <w:rsid w:val="00B0059C"/>
    <w:rsid w:val="00B00EEF"/>
    <w:rsid w:val="00B0178A"/>
    <w:rsid w:val="00B01C95"/>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1928"/>
    <w:rsid w:val="00B421B4"/>
    <w:rsid w:val="00B4354E"/>
    <w:rsid w:val="00B4380C"/>
    <w:rsid w:val="00B46203"/>
    <w:rsid w:val="00B4671D"/>
    <w:rsid w:val="00B50FDF"/>
    <w:rsid w:val="00B51610"/>
    <w:rsid w:val="00B52961"/>
    <w:rsid w:val="00B5360E"/>
    <w:rsid w:val="00B54983"/>
    <w:rsid w:val="00B551AC"/>
    <w:rsid w:val="00B55284"/>
    <w:rsid w:val="00B573CD"/>
    <w:rsid w:val="00B57D74"/>
    <w:rsid w:val="00B634EA"/>
    <w:rsid w:val="00B63FEF"/>
    <w:rsid w:val="00B6418F"/>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47DE"/>
    <w:rsid w:val="00B84CBB"/>
    <w:rsid w:val="00B85880"/>
    <w:rsid w:val="00B86C55"/>
    <w:rsid w:val="00B877C1"/>
    <w:rsid w:val="00B90253"/>
    <w:rsid w:val="00B9376C"/>
    <w:rsid w:val="00B949FD"/>
    <w:rsid w:val="00B957C3"/>
    <w:rsid w:val="00B968BA"/>
    <w:rsid w:val="00B97491"/>
    <w:rsid w:val="00BA0035"/>
    <w:rsid w:val="00BA0672"/>
    <w:rsid w:val="00BA2027"/>
    <w:rsid w:val="00BA2866"/>
    <w:rsid w:val="00BA39E1"/>
    <w:rsid w:val="00BA3A1F"/>
    <w:rsid w:val="00BA5DCA"/>
    <w:rsid w:val="00BA686B"/>
    <w:rsid w:val="00BA6F06"/>
    <w:rsid w:val="00BA7222"/>
    <w:rsid w:val="00BA7CD0"/>
    <w:rsid w:val="00BB0506"/>
    <w:rsid w:val="00BB1100"/>
    <w:rsid w:val="00BB148A"/>
    <w:rsid w:val="00BB15C2"/>
    <w:rsid w:val="00BB2654"/>
    <w:rsid w:val="00BB33A0"/>
    <w:rsid w:val="00BB38C7"/>
    <w:rsid w:val="00BB515B"/>
    <w:rsid w:val="00BB5C6C"/>
    <w:rsid w:val="00BC0889"/>
    <w:rsid w:val="00BC0CFB"/>
    <w:rsid w:val="00BC1E76"/>
    <w:rsid w:val="00BC218D"/>
    <w:rsid w:val="00BC2C1E"/>
    <w:rsid w:val="00BC41A9"/>
    <w:rsid w:val="00BC4A83"/>
    <w:rsid w:val="00BC4EC3"/>
    <w:rsid w:val="00BC5BA8"/>
    <w:rsid w:val="00BC67E3"/>
    <w:rsid w:val="00BC743F"/>
    <w:rsid w:val="00BC76B9"/>
    <w:rsid w:val="00BC778A"/>
    <w:rsid w:val="00BC7ED2"/>
    <w:rsid w:val="00BC7EF0"/>
    <w:rsid w:val="00BD0BAF"/>
    <w:rsid w:val="00BD3024"/>
    <w:rsid w:val="00BD49A0"/>
    <w:rsid w:val="00BD591E"/>
    <w:rsid w:val="00BD768B"/>
    <w:rsid w:val="00BD7F67"/>
    <w:rsid w:val="00BE1744"/>
    <w:rsid w:val="00BE176E"/>
    <w:rsid w:val="00BE1F11"/>
    <w:rsid w:val="00BE24C2"/>
    <w:rsid w:val="00BE3F13"/>
    <w:rsid w:val="00BE437E"/>
    <w:rsid w:val="00BE59AB"/>
    <w:rsid w:val="00BE5C3B"/>
    <w:rsid w:val="00BE7838"/>
    <w:rsid w:val="00BF01DF"/>
    <w:rsid w:val="00BF0593"/>
    <w:rsid w:val="00BF0C1B"/>
    <w:rsid w:val="00BF0D2E"/>
    <w:rsid w:val="00BF2EC9"/>
    <w:rsid w:val="00BF407D"/>
    <w:rsid w:val="00BF4F5C"/>
    <w:rsid w:val="00BF63D3"/>
    <w:rsid w:val="00BF76DE"/>
    <w:rsid w:val="00BF7897"/>
    <w:rsid w:val="00BF7F9A"/>
    <w:rsid w:val="00C00C08"/>
    <w:rsid w:val="00C02245"/>
    <w:rsid w:val="00C0269A"/>
    <w:rsid w:val="00C03088"/>
    <w:rsid w:val="00C03F3D"/>
    <w:rsid w:val="00C0505B"/>
    <w:rsid w:val="00C05208"/>
    <w:rsid w:val="00C057A9"/>
    <w:rsid w:val="00C058E6"/>
    <w:rsid w:val="00C069AD"/>
    <w:rsid w:val="00C10192"/>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91E"/>
    <w:rsid w:val="00C42E7B"/>
    <w:rsid w:val="00C4311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7CEF"/>
    <w:rsid w:val="00C729F5"/>
    <w:rsid w:val="00C72C72"/>
    <w:rsid w:val="00C740E2"/>
    <w:rsid w:val="00C74178"/>
    <w:rsid w:val="00C74786"/>
    <w:rsid w:val="00C751FD"/>
    <w:rsid w:val="00C7526D"/>
    <w:rsid w:val="00C80D61"/>
    <w:rsid w:val="00C81311"/>
    <w:rsid w:val="00C81AC2"/>
    <w:rsid w:val="00C81DF0"/>
    <w:rsid w:val="00C83196"/>
    <w:rsid w:val="00C83292"/>
    <w:rsid w:val="00C8336B"/>
    <w:rsid w:val="00C84EF1"/>
    <w:rsid w:val="00C8544E"/>
    <w:rsid w:val="00C85837"/>
    <w:rsid w:val="00C86685"/>
    <w:rsid w:val="00C9095C"/>
    <w:rsid w:val="00C9115F"/>
    <w:rsid w:val="00C91D19"/>
    <w:rsid w:val="00C930C3"/>
    <w:rsid w:val="00C94E9C"/>
    <w:rsid w:val="00C95267"/>
    <w:rsid w:val="00C95C0E"/>
    <w:rsid w:val="00C96DC3"/>
    <w:rsid w:val="00CA013F"/>
    <w:rsid w:val="00CA03D0"/>
    <w:rsid w:val="00CA1647"/>
    <w:rsid w:val="00CA216C"/>
    <w:rsid w:val="00CA3C15"/>
    <w:rsid w:val="00CA4A35"/>
    <w:rsid w:val="00CA58CA"/>
    <w:rsid w:val="00CA5FE2"/>
    <w:rsid w:val="00CA6539"/>
    <w:rsid w:val="00CB0839"/>
    <w:rsid w:val="00CB09E8"/>
    <w:rsid w:val="00CB140F"/>
    <w:rsid w:val="00CB1B23"/>
    <w:rsid w:val="00CB255F"/>
    <w:rsid w:val="00CB3016"/>
    <w:rsid w:val="00CB3424"/>
    <w:rsid w:val="00CB3DBA"/>
    <w:rsid w:val="00CB3EAC"/>
    <w:rsid w:val="00CB40DA"/>
    <w:rsid w:val="00CB4B53"/>
    <w:rsid w:val="00CB517E"/>
    <w:rsid w:val="00CB5B8D"/>
    <w:rsid w:val="00CB7107"/>
    <w:rsid w:val="00CB7134"/>
    <w:rsid w:val="00CB754C"/>
    <w:rsid w:val="00CC0449"/>
    <w:rsid w:val="00CC0C0E"/>
    <w:rsid w:val="00CC0F02"/>
    <w:rsid w:val="00CC13E8"/>
    <w:rsid w:val="00CC167E"/>
    <w:rsid w:val="00CC191B"/>
    <w:rsid w:val="00CC232C"/>
    <w:rsid w:val="00CC32C8"/>
    <w:rsid w:val="00CC4050"/>
    <w:rsid w:val="00CC52AD"/>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4469"/>
    <w:rsid w:val="00CE7256"/>
    <w:rsid w:val="00CF002F"/>
    <w:rsid w:val="00CF0953"/>
    <w:rsid w:val="00CF0B14"/>
    <w:rsid w:val="00CF0B76"/>
    <w:rsid w:val="00CF14A7"/>
    <w:rsid w:val="00CF2731"/>
    <w:rsid w:val="00CF3C7F"/>
    <w:rsid w:val="00CF6929"/>
    <w:rsid w:val="00CF784D"/>
    <w:rsid w:val="00CF7C47"/>
    <w:rsid w:val="00D01843"/>
    <w:rsid w:val="00D01942"/>
    <w:rsid w:val="00D0240D"/>
    <w:rsid w:val="00D03598"/>
    <w:rsid w:val="00D0425B"/>
    <w:rsid w:val="00D05013"/>
    <w:rsid w:val="00D0560B"/>
    <w:rsid w:val="00D073DB"/>
    <w:rsid w:val="00D1014C"/>
    <w:rsid w:val="00D10B2F"/>
    <w:rsid w:val="00D10CB6"/>
    <w:rsid w:val="00D129DA"/>
    <w:rsid w:val="00D12B9A"/>
    <w:rsid w:val="00D13F78"/>
    <w:rsid w:val="00D15A3A"/>
    <w:rsid w:val="00D16746"/>
    <w:rsid w:val="00D16BF2"/>
    <w:rsid w:val="00D1752F"/>
    <w:rsid w:val="00D1785D"/>
    <w:rsid w:val="00D17ACD"/>
    <w:rsid w:val="00D17B15"/>
    <w:rsid w:val="00D20957"/>
    <w:rsid w:val="00D22EF3"/>
    <w:rsid w:val="00D2303B"/>
    <w:rsid w:val="00D254AA"/>
    <w:rsid w:val="00D25CA8"/>
    <w:rsid w:val="00D269BE"/>
    <w:rsid w:val="00D273A9"/>
    <w:rsid w:val="00D27C77"/>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2672"/>
    <w:rsid w:val="00D431D5"/>
    <w:rsid w:val="00D43C90"/>
    <w:rsid w:val="00D448BD"/>
    <w:rsid w:val="00D452FC"/>
    <w:rsid w:val="00D453B4"/>
    <w:rsid w:val="00D4582E"/>
    <w:rsid w:val="00D45B9A"/>
    <w:rsid w:val="00D464ED"/>
    <w:rsid w:val="00D50459"/>
    <w:rsid w:val="00D51738"/>
    <w:rsid w:val="00D51A10"/>
    <w:rsid w:val="00D52375"/>
    <w:rsid w:val="00D52E61"/>
    <w:rsid w:val="00D531BA"/>
    <w:rsid w:val="00D55243"/>
    <w:rsid w:val="00D55869"/>
    <w:rsid w:val="00D56737"/>
    <w:rsid w:val="00D6090F"/>
    <w:rsid w:val="00D60EDF"/>
    <w:rsid w:val="00D615E2"/>
    <w:rsid w:val="00D61E45"/>
    <w:rsid w:val="00D62B1D"/>
    <w:rsid w:val="00D6329D"/>
    <w:rsid w:val="00D633BE"/>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E0D"/>
    <w:rsid w:val="00D87738"/>
    <w:rsid w:val="00D879E7"/>
    <w:rsid w:val="00D903BC"/>
    <w:rsid w:val="00D92247"/>
    <w:rsid w:val="00D92D73"/>
    <w:rsid w:val="00D954FA"/>
    <w:rsid w:val="00D9626E"/>
    <w:rsid w:val="00D96662"/>
    <w:rsid w:val="00D96EAB"/>
    <w:rsid w:val="00D973C4"/>
    <w:rsid w:val="00D97E81"/>
    <w:rsid w:val="00DA046A"/>
    <w:rsid w:val="00DA1676"/>
    <w:rsid w:val="00DA35B7"/>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3D29"/>
    <w:rsid w:val="00DD3F53"/>
    <w:rsid w:val="00DD4BFC"/>
    <w:rsid w:val="00DD4E56"/>
    <w:rsid w:val="00DD5C3F"/>
    <w:rsid w:val="00DD5F53"/>
    <w:rsid w:val="00DD6A32"/>
    <w:rsid w:val="00DD74AA"/>
    <w:rsid w:val="00DD7923"/>
    <w:rsid w:val="00DE07D5"/>
    <w:rsid w:val="00DE1AF4"/>
    <w:rsid w:val="00DE2964"/>
    <w:rsid w:val="00DE2A26"/>
    <w:rsid w:val="00DE3C2E"/>
    <w:rsid w:val="00DE60C6"/>
    <w:rsid w:val="00DE6191"/>
    <w:rsid w:val="00DE64B7"/>
    <w:rsid w:val="00DE6994"/>
    <w:rsid w:val="00DE7084"/>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8B8"/>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944"/>
    <w:rsid w:val="00E41A02"/>
    <w:rsid w:val="00E437C3"/>
    <w:rsid w:val="00E43ED8"/>
    <w:rsid w:val="00E456EE"/>
    <w:rsid w:val="00E45B3A"/>
    <w:rsid w:val="00E4648C"/>
    <w:rsid w:val="00E46730"/>
    <w:rsid w:val="00E46832"/>
    <w:rsid w:val="00E473FE"/>
    <w:rsid w:val="00E475DD"/>
    <w:rsid w:val="00E519A6"/>
    <w:rsid w:val="00E51C65"/>
    <w:rsid w:val="00E546C6"/>
    <w:rsid w:val="00E5487C"/>
    <w:rsid w:val="00E557FD"/>
    <w:rsid w:val="00E55E3F"/>
    <w:rsid w:val="00E60713"/>
    <w:rsid w:val="00E60A71"/>
    <w:rsid w:val="00E60E27"/>
    <w:rsid w:val="00E61562"/>
    <w:rsid w:val="00E61A06"/>
    <w:rsid w:val="00E624DC"/>
    <w:rsid w:val="00E62666"/>
    <w:rsid w:val="00E62F11"/>
    <w:rsid w:val="00E63476"/>
    <w:rsid w:val="00E63702"/>
    <w:rsid w:val="00E64D88"/>
    <w:rsid w:val="00E651E6"/>
    <w:rsid w:val="00E65D3A"/>
    <w:rsid w:val="00E66B83"/>
    <w:rsid w:val="00E67919"/>
    <w:rsid w:val="00E679A2"/>
    <w:rsid w:val="00E67AEA"/>
    <w:rsid w:val="00E67D7F"/>
    <w:rsid w:val="00E70E2D"/>
    <w:rsid w:val="00E718B1"/>
    <w:rsid w:val="00E719EA"/>
    <w:rsid w:val="00E72439"/>
    <w:rsid w:val="00E739E3"/>
    <w:rsid w:val="00E74E5F"/>
    <w:rsid w:val="00E74F0C"/>
    <w:rsid w:val="00E7666E"/>
    <w:rsid w:val="00E76CE3"/>
    <w:rsid w:val="00E8078A"/>
    <w:rsid w:val="00E80CA1"/>
    <w:rsid w:val="00E8223F"/>
    <w:rsid w:val="00E829C6"/>
    <w:rsid w:val="00E834F8"/>
    <w:rsid w:val="00E848A4"/>
    <w:rsid w:val="00E84CB2"/>
    <w:rsid w:val="00E853AA"/>
    <w:rsid w:val="00E85BF2"/>
    <w:rsid w:val="00E87B2C"/>
    <w:rsid w:val="00E903C7"/>
    <w:rsid w:val="00E90632"/>
    <w:rsid w:val="00E914FA"/>
    <w:rsid w:val="00E91F1F"/>
    <w:rsid w:val="00E9288E"/>
    <w:rsid w:val="00E94A89"/>
    <w:rsid w:val="00E94E22"/>
    <w:rsid w:val="00E96885"/>
    <w:rsid w:val="00E97EE6"/>
    <w:rsid w:val="00EA01A5"/>
    <w:rsid w:val="00EA0F0E"/>
    <w:rsid w:val="00EA4430"/>
    <w:rsid w:val="00EA4C5E"/>
    <w:rsid w:val="00EA4FAF"/>
    <w:rsid w:val="00EA558B"/>
    <w:rsid w:val="00EA6232"/>
    <w:rsid w:val="00EA6619"/>
    <w:rsid w:val="00EB08D1"/>
    <w:rsid w:val="00EB12B4"/>
    <w:rsid w:val="00EB1BFF"/>
    <w:rsid w:val="00EB27AB"/>
    <w:rsid w:val="00EB2BFD"/>
    <w:rsid w:val="00EB3358"/>
    <w:rsid w:val="00EB3606"/>
    <w:rsid w:val="00EB37B3"/>
    <w:rsid w:val="00EB40D2"/>
    <w:rsid w:val="00EB4B28"/>
    <w:rsid w:val="00EB4DEF"/>
    <w:rsid w:val="00EB6460"/>
    <w:rsid w:val="00EB7A2F"/>
    <w:rsid w:val="00EC015B"/>
    <w:rsid w:val="00EC0DF4"/>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E9"/>
    <w:rsid w:val="00EE6E7B"/>
    <w:rsid w:val="00EE7980"/>
    <w:rsid w:val="00EE7EBC"/>
    <w:rsid w:val="00EF09D1"/>
    <w:rsid w:val="00EF0FD6"/>
    <w:rsid w:val="00EF188C"/>
    <w:rsid w:val="00EF21C4"/>
    <w:rsid w:val="00EF35A4"/>
    <w:rsid w:val="00EF46F9"/>
    <w:rsid w:val="00EF746F"/>
    <w:rsid w:val="00EF7EBD"/>
    <w:rsid w:val="00F00E7A"/>
    <w:rsid w:val="00F00F38"/>
    <w:rsid w:val="00F014C0"/>
    <w:rsid w:val="00F03F51"/>
    <w:rsid w:val="00F045C3"/>
    <w:rsid w:val="00F045CC"/>
    <w:rsid w:val="00F04742"/>
    <w:rsid w:val="00F06298"/>
    <w:rsid w:val="00F06C11"/>
    <w:rsid w:val="00F11864"/>
    <w:rsid w:val="00F119E5"/>
    <w:rsid w:val="00F12046"/>
    <w:rsid w:val="00F1276A"/>
    <w:rsid w:val="00F12C88"/>
    <w:rsid w:val="00F1385D"/>
    <w:rsid w:val="00F140EC"/>
    <w:rsid w:val="00F1571B"/>
    <w:rsid w:val="00F179DD"/>
    <w:rsid w:val="00F22CCC"/>
    <w:rsid w:val="00F23706"/>
    <w:rsid w:val="00F25430"/>
    <w:rsid w:val="00F26036"/>
    <w:rsid w:val="00F268CF"/>
    <w:rsid w:val="00F3121E"/>
    <w:rsid w:val="00F3180B"/>
    <w:rsid w:val="00F338AB"/>
    <w:rsid w:val="00F3555D"/>
    <w:rsid w:val="00F35A2E"/>
    <w:rsid w:val="00F36081"/>
    <w:rsid w:val="00F37695"/>
    <w:rsid w:val="00F37DC1"/>
    <w:rsid w:val="00F40632"/>
    <w:rsid w:val="00F40D05"/>
    <w:rsid w:val="00F40E3E"/>
    <w:rsid w:val="00F41C7A"/>
    <w:rsid w:val="00F42221"/>
    <w:rsid w:val="00F4231D"/>
    <w:rsid w:val="00F42872"/>
    <w:rsid w:val="00F43117"/>
    <w:rsid w:val="00F43C9E"/>
    <w:rsid w:val="00F44410"/>
    <w:rsid w:val="00F45787"/>
    <w:rsid w:val="00F46F2B"/>
    <w:rsid w:val="00F470FF"/>
    <w:rsid w:val="00F503E9"/>
    <w:rsid w:val="00F518F1"/>
    <w:rsid w:val="00F52659"/>
    <w:rsid w:val="00F53828"/>
    <w:rsid w:val="00F549A7"/>
    <w:rsid w:val="00F54FAE"/>
    <w:rsid w:val="00F55709"/>
    <w:rsid w:val="00F576F7"/>
    <w:rsid w:val="00F57ABE"/>
    <w:rsid w:val="00F57C26"/>
    <w:rsid w:val="00F61ED9"/>
    <w:rsid w:val="00F62E09"/>
    <w:rsid w:val="00F64ECE"/>
    <w:rsid w:val="00F6551F"/>
    <w:rsid w:val="00F65A14"/>
    <w:rsid w:val="00F65D00"/>
    <w:rsid w:val="00F66524"/>
    <w:rsid w:val="00F716F1"/>
    <w:rsid w:val="00F71F88"/>
    <w:rsid w:val="00F72CF8"/>
    <w:rsid w:val="00F7417B"/>
    <w:rsid w:val="00F747CD"/>
    <w:rsid w:val="00F765E5"/>
    <w:rsid w:val="00F77C06"/>
    <w:rsid w:val="00F77CC9"/>
    <w:rsid w:val="00F80828"/>
    <w:rsid w:val="00F81132"/>
    <w:rsid w:val="00F816A7"/>
    <w:rsid w:val="00F81E0B"/>
    <w:rsid w:val="00F82836"/>
    <w:rsid w:val="00F82A83"/>
    <w:rsid w:val="00F832FB"/>
    <w:rsid w:val="00F841DE"/>
    <w:rsid w:val="00F84FA4"/>
    <w:rsid w:val="00F87F65"/>
    <w:rsid w:val="00F90DBB"/>
    <w:rsid w:val="00F92169"/>
    <w:rsid w:val="00F92353"/>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B0A91"/>
    <w:rsid w:val="00FB15B6"/>
    <w:rsid w:val="00FB1E7C"/>
    <w:rsid w:val="00FB22C1"/>
    <w:rsid w:val="00FB34C3"/>
    <w:rsid w:val="00FB4AA5"/>
    <w:rsid w:val="00FB521F"/>
    <w:rsid w:val="00FB5773"/>
    <w:rsid w:val="00FB6678"/>
    <w:rsid w:val="00FB6C09"/>
    <w:rsid w:val="00FB7188"/>
    <w:rsid w:val="00FB7770"/>
    <w:rsid w:val="00FC0211"/>
    <w:rsid w:val="00FC0FC7"/>
    <w:rsid w:val="00FC1297"/>
    <w:rsid w:val="00FC1D2C"/>
    <w:rsid w:val="00FC3766"/>
    <w:rsid w:val="00FC588F"/>
    <w:rsid w:val="00FC5B3D"/>
    <w:rsid w:val="00FC7279"/>
    <w:rsid w:val="00FC75FE"/>
    <w:rsid w:val="00FD02D7"/>
    <w:rsid w:val="00FD1E8C"/>
    <w:rsid w:val="00FD1F6B"/>
    <w:rsid w:val="00FD2E2C"/>
    <w:rsid w:val="00FD38C7"/>
    <w:rsid w:val="00FD3DB2"/>
    <w:rsid w:val="00FD408C"/>
    <w:rsid w:val="00FD482B"/>
    <w:rsid w:val="00FD4A1E"/>
    <w:rsid w:val="00FD5859"/>
    <w:rsid w:val="00FD5DFB"/>
    <w:rsid w:val="00FD6762"/>
    <w:rsid w:val="00FD72AB"/>
    <w:rsid w:val="00FD7A28"/>
    <w:rsid w:val="00FD7C7E"/>
    <w:rsid w:val="00FD7DFA"/>
    <w:rsid w:val="00FE11A2"/>
    <w:rsid w:val="00FE3258"/>
    <w:rsid w:val="00FE37AF"/>
    <w:rsid w:val="00FE3DC4"/>
    <w:rsid w:val="00FE4B83"/>
    <w:rsid w:val="00FE566E"/>
    <w:rsid w:val="00FE579F"/>
    <w:rsid w:val="00FE7A3A"/>
    <w:rsid w:val="00FE7AD5"/>
    <w:rsid w:val="00FF00AC"/>
    <w:rsid w:val="00FF13F2"/>
    <w:rsid w:val="00FF187C"/>
    <w:rsid w:val="00FF28B9"/>
    <w:rsid w:val="00FF32D1"/>
    <w:rsid w:val="00FF3552"/>
    <w:rsid w:val="00FF37C4"/>
    <w:rsid w:val="00FF54D0"/>
    <w:rsid w:val="00FF584F"/>
    <w:rsid w:val="00FF5EC8"/>
    <w:rsid w:val="00FF6D6F"/>
    <w:rsid w:val="00FF7129"/>
    <w:rsid w:val="00FF7809"/>
    <w:rsid w:val="05293958"/>
    <w:rsid w:val="06BE2B7E"/>
    <w:rsid w:val="0B1E3DC1"/>
    <w:rsid w:val="17AD7A39"/>
    <w:rsid w:val="20B27E27"/>
    <w:rsid w:val="2DF15F50"/>
    <w:rsid w:val="3EBC09CE"/>
    <w:rsid w:val="431F5E25"/>
    <w:rsid w:val="4AEA7129"/>
    <w:rsid w:val="52EC5F78"/>
    <w:rsid w:val="54C76DA2"/>
    <w:rsid w:val="5E8E593C"/>
    <w:rsid w:val="72144569"/>
    <w:rsid w:val="77566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uiPriority w:val="39"/>
    <w:pPr>
      <w:ind w:left="2520" w:leftChars="1200"/>
    </w:pPr>
  </w:style>
  <w:style w:type="paragraph" w:styleId="5">
    <w:name w:val="table of authorities"/>
    <w:basedOn w:val="1"/>
    <w:next w:val="1"/>
    <w:link w:val="49"/>
    <w:semiHidden/>
    <w:unhideWhenUsed/>
    <w:uiPriority w:val="99"/>
    <w:pPr>
      <w:ind w:left="420" w:leftChars="200"/>
    </w:pPr>
  </w:style>
  <w:style w:type="paragraph" w:styleId="6">
    <w:name w:val="Normal Indent"/>
    <w:basedOn w:val="1"/>
    <w:unhideWhenUsed/>
    <w:qFormat/>
    <w:uiPriority w:val="99"/>
    <w:pPr>
      <w:ind w:firstLine="420" w:firstLineChars="200"/>
    </w:pPr>
  </w:style>
  <w:style w:type="paragraph" w:styleId="7">
    <w:name w:val="annotation text"/>
    <w:basedOn w:val="1"/>
    <w:link w:val="71"/>
    <w:qFormat/>
    <w:uiPriority w:val="0"/>
    <w:pPr>
      <w:widowControl/>
      <w:jc w:val="left"/>
    </w:pPr>
    <w:rPr>
      <w:rFonts w:ascii="仿宋GB2312" w:hAnsi="仿宋" w:eastAsia="仿宋GB2312" w:cs="楷体_GB2312"/>
      <w:bCs/>
      <w:sz w:val="18"/>
      <w:szCs w:val="18"/>
    </w:rPr>
  </w:style>
  <w:style w:type="paragraph" w:styleId="8">
    <w:name w:val="Body Text Indent"/>
    <w:basedOn w:val="1"/>
    <w:link w:val="67"/>
    <w:unhideWhenUsed/>
    <w:qFormat/>
    <w:uiPriority w:val="0"/>
    <w:pPr>
      <w:spacing w:after="120"/>
      <w:ind w:left="420" w:leftChars="200"/>
    </w:pPr>
  </w:style>
  <w:style w:type="paragraph" w:styleId="9">
    <w:name w:val="toc 5"/>
    <w:basedOn w:val="1"/>
    <w:next w:val="1"/>
    <w:unhideWhenUsed/>
    <w:qFormat/>
    <w:uiPriority w:val="39"/>
    <w:pPr>
      <w:ind w:left="1680" w:leftChars="800"/>
    </w:pPr>
  </w:style>
  <w:style w:type="paragraph" w:styleId="10">
    <w:name w:val="toc 3"/>
    <w:basedOn w:val="11"/>
    <w:next w:val="1"/>
    <w:unhideWhenUsed/>
    <w:qFormat/>
    <w:uiPriority w:val="39"/>
    <w:pPr>
      <w:widowControl/>
      <w:tabs>
        <w:tab w:val="right" w:leader="dot" w:pos="8296"/>
      </w:tabs>
      <w:spacing w:after="100" w:line="276" w:lineRule="auto"/>
      <w:ind w:left="442"/>
    </w:pPr>
    <w:rPr>
      <w:b w:val="0"/>
      <w:kern w:val="0"/>
    </w:rPr>
  </w:style>
  <w:style w:type="paragraph" w:customStyle="1" w:styleId="11">
    <w:name w:val="3标题"/>
    <w:basedOn w:val="12"/>
    <w:link w:val="41"/>
    <w:qFormat/>
    <w:uiPriority w:val="0"/>
    <w:pPr>
      <w:snapToGrid w:val="0"/>
      <w:spacing w:before="0" w:after="0" w:line="440" w:lineRule="exact"/>
      <w:ind w:firstLine="200" w:firstLineChars="200"/>
      <w:jc w:val="left"/>
      <w:outlineLvl w:val="2"/>
    </w:pPr>
    <w:rPr>
      <w:rFonts w:ascii="Times New Roman" w:hAnsi="Times New Roman" w:eastAsia="宋体"/>
      <w:sz w:val="24"/>
      <w:szCs w:val="21"/>
    </w:rPr>
  </w:style>
  <w:style w:type="paragraph" w:styleId="12">
    <w:name w:val="Title"/>
    <w:basedOn w:val="1"/>
    <w:next w:val="1"/>
    <w:link w:val="38"/>
    <w:qFormat/>
    <w:uiPriority w:val="10"/>
    <w:pPr>
      <w:spacing w:before="240" w:after="60"/>
      <w:jc w:val="center"/>
      <w:outlineLvl w:val="0"/>
    </w:pPr>
    <w:rPr>
      <w:rFonts w:asciiTheme="majorHAnsi" w:hAnsiTheme="majorHAnsi" w:eastAsiaTheme="majorEastAsia" w:cstheme="majorBidi"/>
      <w:b/>
      <w:bCs/>
      <w:sz w:val="32"/>
      <w:szCs w:val="32"/>
    </w:rPr>
  </w:style>
  <w:style w:type="paragraph" w:styleId="13">
    <w:name w:val="toc 8"/>
    <w:basedOn w:val="1"/>
    <w:next w:val="1"/>
    <w:unhideWhenUsed/>
    <w:qFormat/>
    <w:uiPriority w:val="39"/>
    <w:pPr>
      <w:ind w:left="2940" w:leftChars="1400"/>
    </w:pPr>
  </w:style>
  <w:style w:type="paragraph" w:styleId="14">
    <w:name w:val="Balloon Text"/>
    <w:basedOn w:val="1"/>
    <w:link w:val="54"/>
    <w:unhideWhenUsed/>
    <w:qFormat/>
    <w:uiPriority w:val="0"/>
    <w:rPr>
      <w:sz w:val="18"/>
      <w:szCs w:val="18"/>
    </w:rPr>
  </w:style>
  <w:style w:type="paragraph" w:styleId="15">
    <w:name w:val="footer"/>
    <w:basedOn w:val="1"/>
    <w:link w:val="35"/>
    <w:unhideWhenUsed/>
    <w:qFormat/>
    <w:uiPriority w:val="0"/>
    <w:pPr>
      <w:tabs>
        <w:tab w:val="center" w:pos="4153"/>
        <w:tab w:val="right" w:pos="8306"/>
      </w:tabs>
      <w:snapToGrid w:val="0"/>
      <w:jc w:val="left"/>
    </w:pPr>
    <w:rPr>
      <w:sz w:val="18"/>
      <w:szCs w:val="18"/>
    </w:rPr>
  </w:style>
  <w:style w:type="paragraph" w:styleId="16">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8"/>
    <w:next w:val="1"/>
    <w:unhideWhenUsed/>
    <w:qFormat/>
    <w:uiPriority w:val="39"/>
    <w:pPr>
      <w:widowControl/>
      <w:spacing w:line="276" w:lineRule="auto"/>
    </w:pPr>
    <w:rPr>
      <w:b w:val="0"/>
      <w:snapToGrid w:val="0"/>
      <w:kern w:val="0"/>
    </w:rPr>
  </w:style>
  <w:style w:type="paragraph" w:customStyle="1" w:styleId="18">
    <w:name w:val="1标题"/>
    <w:basedOn w:val="19"/>
    <w:link w:val="39"/>
    <w:qFormat/>
    <w:uiPriority w:val="0"/>
    <w:pPr>
      <w:snapToGrid/>
      <w:spacing w:line="288" w:lineRule="auto"/>
      <w:ind w:firstLine="562"/>
    </w:pPr>
    <w:rPr>
      <w:sz w:val="30"/>
    </w:rPr>
  </w:style>
  <w:style w:type="paragraph" w:customStyle="1" w:styleId="19">
    <w:name w:val="2标题"/>
    <w:basedOn w:val="12"/>
    <w:link w:val="40"/>
    <w:qFormat/>
    <w:uiPriority w:val="0"/>
    <w:pPr>
      <w:snapToGrid w:val="0"/>
      <w:spacing w:before="0" w:after="0" w:line="440" w:lineRule="exact"/>
      <w:ind w:firstLine="200" w:firstLineChars="200"/>
      <w:jc w:val="left"/>
      <w:outlineLvl w:val="1"/>
    </w:pPr>
    <w:rPr>
      <w:rFonts w:ascii="Times New Roman" w:hAnsi="Times New Roman" w:eastAsia="宋体"/>
      <w:sz w:val="28"/>
      <w:szCs w:val="24"/>
    </w:rPr>
  </w:style>
  <w:style w:type="paragraph" w:styleId="20">
    <w:name w:val="toc 4"/>
    <w:basedOn w:val="1"/>
    <w:next w:val="1"/>
    <w:unhideWhenUsed/>
    <w:qFormat/>
    <w:uiPriority w:val="39"/>
    <w:pPr>
      <w:ind w:left="1260" w:leftChars="600"/>
    </w:pPr>
  </w:style>
  <w:style w:type="paragraph" w:styleId="21">
    <w:name w:val="toc 6"/>
    <w:basedOn w:val="1"/>
    <w:next w:val="1"/>
    <w:unhideWhenUsed/>
    <w:qFormat/>
    <w:uiPriority w:val="39"/>
    <w:pPr>
      <w:ind w:left="2100" w:leftChars="1000"/>
    </w:pPr>
  </w:style>
  <w:style w:type="paragraph" w:styleId="22">
    <w:name w:val="toc 2"/>
    <w:basedOn w:val="19"/>
    <w:next w:val="1"/>
    <w:unhideWhenUsed/>
    <w:qFormat/>
    <w:uiPriority w:val="39"/>
    <w:pPr>
      <w:widowControl/>
      <w:tabs>
        <w:tab w:val="right" w:leader="dot" w:pos="8296"/>
      </w:tabs>
      <w:spacing w:line="276" w:lineRule="auto"/>
      <w:ind w:left="221"/>
    </w:pPr>
    <w:rPr>
      <w:b w:val="0"/>
      <w:kern w:val="0"/>
    </w:rPr>
  </w:style>
  <w:style w:type="paragraph" w:styleId="23">
    <w:name w:val="toc 9"/>
    <w:basedOn w:val="1"/>
    <w:next w:val="1"/>
    <w:unhideWhenUsed/>
    <w:qFormat/>
    <w:uiPriority w:val="39"/>
    <w:pPr>
      <w:ind w:left="3360" w:leftChars="1600"/>
    </w:pPr>
  </w:style>
  <w:style w:type="paragraph" w:styleId="24">
    <w:name w:val="Normal (Web)"/>
    <w:basedOn w:val="1"/>
    <w:qFormat/>
    <w:uiPriority w:val="0"/>
    <w:pPr>
      <w:widowControl/>
      <w:shd w:val="clear" w:color="auto" w:fill="FFFFFF"/>
      <w:snapToGrid w:val="0"/>
      <w:spacing w:line="520" w:lineRule="exact"/>
      <w:ind w:firstLine="320" w:firstLineChars="100"/>
      <w:jc w:val="left"/>
    </w:pPr>
    <w:rPr>
      <w:rFonts w:ascii="微软雅黑" w:hAnsi="微软雅黑" w:eastAsia="微软雅黑" w:cs="微软雅黑"/>
      <w:color w:val="000000"/>
      <w:kern w:val="0"/>
      <w:sz w:val="32"/>
      <w:szCs w:val="32"/>
    </w:rPr>
  </w:style>
  <w:style w:type="paragraph" w:styleId="25">
    <w:name w:val="annotation subject"/>
    <w:basedOn w:val="7"/>
    <w:next w:val="7"/>
    <w:link w:val="72"/>
    <w:qFormat/>
    <w:uiPriority w:val="0"/>
    <w:rPr>
      <w:b/>
      <w:bCs w:val="0"/>
    </w:rPr>
  </w:style>
  <w:style w:type="paragraph" w:styleId="26">
    <w:name w:val="Body Text First Indent 2"/>
    <w:basedOn w:val="8"/>
    <w:link w:val="68"/>
    <w:unhideWhenUsed/>
    <w:qFormat/>
    <w:uiPriority w:val="99"/>
    <w:pPr>
      <w:ind w:firstLine="420" w:firstLineChars="200"/>
    </w:p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basedOn w:val="29"/>
    <w:unhideWhenUsed/>
    <w:qFormat/>
    <w:uiPriority w:val="99"/>
    <w:rPr>
      <w:color w:val="0563C1" w:themeColor="hyperlink"/>
      <w:u w:val="single"/>
      <w14:textFill>
        <w14:solidFill>
          <w14:schemeClr w14:val="hlink"/>
        </w14:solidFill>
      </w14:textFill>
    </w:rPr>
  </w:style>
  <w:style w:type="character" w:styleId="31">
    <w:name w:val="annotation reference"/>
    <w:basedOn w:val="29"/>
    <w:qFormat/>
    <w:uiPriority w:val="0"/>
    <w:rPr>
      <w:sz w:val="21"/>
      <w:szCs w:val="21"/>
    </w:rPr>
  </w:style>
  <w:style w:type="character" w:customStyle="1" w:styleId="32">
    <w:name w:val="标题 1 字符"/>
    <w:basedOn w:val="29"/>
    <w:link w:val="2"/>
    <w:qFormat/>
    <w:uiPriority w:val="9"/>
    <w:rPr>
      <w:b/>
      <w:bCs/>
      <w:kern w:val="44"/>
      <w:sz w:val="44"/>
      <w:szCs w:val="44"/>
    </w:rPr>
  </w:style>
  <w:style w:type="character" w:customStyle="1" w:styleId="33">
    <w:name w:val="标题 2 字符"/>
    <w:basedOn w:val="29"/>
    <w:link w:val="3"/>
    <w:qFormat/>
    <w:uiPriority w:val="0"/>
    <w:rPr>
      <w:rFonts w:asciiTheme="majorHAnsi" w:hAnsiTheme="majorHAnsi" w:eastAsiaTheme="majorEastAsia" w:cstheme="majorBidi"/>
      <w:b/>
      <w:bCs/>
      <w:sz w:val="32"/>
      <w:szCs w:val="32"/>
    </w:rPr>
  </w:style>
  <w:style w:type="character" w:customStyle="1" w:styleId="34">
    <w:name w:val="页眉 字符"/>
    <w:basedOn w:val="29"/>
    <w:link w:val="16"/>
    <w:qFormat/>
    <w:uiPriority w:val="0"/>
    <w:rPr>
      <w:sz w:val="18"/>
      <w:szCs w:val="18"/>
    </w:rPr>
  </w:style>
  <w:style w:type="character" w:customStyle="1" w:styleId="35">
    <w:name w:val="页脚 字符"/>
    <w:basedOn w:val="29"/>
    <w:link w:val="15"/>
    <w:qFormat/>
    <w:uiPriority w:val="0"/>
    <w:rPr>
      <w:sz w:val="18"/>
      <w:szCs w:val="18"/>
    </w:rPr>
  </w:style>
  <w:style w:type="table" w:customStyle="1" w:styleId="36">
    <w:name w:val="TableGrid"/>
    <w:qFormat/>
    <w:uiPriority w:val="0"/>
    <w:tblPr>
      <w:tblCellMar>
        <w:top w:w="0" w:type="dxa"/>
        <w:left w:w="0" w:type="dxa"/>
        <w:bottom w:w="0" w:type="dxa"/>
        <w:right w:w="0" w:type="dxa"/>
      </w:tblCellMar>
    </w:tblPr>
  </w:style>
  <w:style w:type="paragraph" w:styleId="37">
    <w:name w:val="List Paragraph"/>
    <w:basedOn w:val="1"/>
    <w:qFormat/>
    <w:uiPriority w:val="99"/>
    <w:pPr>
      <w:ind w:firstLine="420" w:firstLineChars="200"/>
    </w:pPr>
  </w:style>
  <w:style w:type="character" w:customStyle="1" w:styleId="38">
    <w:name w:val="标题 字符"/>
    <w:basedOn w:val="29"/>
    <w:link w:val="12"/>
    <w:qFormat/>
    <w:uiPriority w:val="10"/>
    <w:rPr>
      <w:rFonts w:asciiTheme="majorHAnsi" w:hAnsiTheme="majorHAnsi" w:eastAsiaTheme="majorEastAsia" w:cstheme="majorBidi"/>
      <w:b/>
      <w:bCs/>
      <w:sz w:val="32"/>
      <w:szCs w:val="32"/>
    </w:rPr>
  </w:style>
  <w:style w:type="character" w:customStyle="1" w:styleId="39">
    <w:name w:val="1标题 字符"/>
    <w:basedOn w:val="29"/>
    <w:link w:val="18"/>
    <w:qFormat/>
    <w:uiPriority w:val="0"/>
    <w:rPr>
      <w:rFonts w:ascii="Times New Roman" w:hAnsi="Times New Roman" w:eastAsia="宋体" w:cstheme="majorBidi"/>
      <w:b/>
      <w:bCs/>
      <w:sz w:val="30"/>
      <w:szCs w:val="24"/>
    </w:rPr>
  </w:style>
  <w:style w:type="character" w:customStyle="1" w:styleId="40">
    <w:name w:val="2标题 字符"/>
    <w:basedOn w:val="29"/>
    <w:link w:val="19"/>
    <w:qFormat/>
    <w:uiPriority w:val="0"/>
    <w:rPr>
      <w:rFonts w:ascii="Times New Roman" w:hAnsi="Times New Roman" w:eastAsia="宋体" w:cstheme="majorBidi"/>
      <w:b/>
      <w:bCs/>
      <w:sz w:val="28"/>
      <w:szCs w:val="24"/>
    </w:rPr>
  </w:style>
  <w:style w:type="character" w:customStyle="1" w:styleId="41">
    <w:name w:val="3标题 字符"/>
    <w:basedOn w:val="40"/>
    <w:link w:val="11"/>
    <w:qFormat/>
    <w:uiPriority w:val="0"/>
    <w:rPr>
      <w:rFonts w:ascii="Times New Roman" w:hAnsi="Times New Roman" w:eastAsia="宋体" w:cstheme="majorBidi"/>
      <w:sz w:val="24"/>
      <w:szCs w:val="21"/>
    </w:rPr>
  </w:style>
  <w:style w:type="paragraph" w:customStyle="1" w:styleId="42">
    <w:name w:val="4正文"/>
    <w:basedOn w:val="1"/>
    <w:link w:val="43"/>
    <w:qFormat/>
    <w:uiPriority w:val="0"/>
    <w:pPr>
      <w:snapToGrid w:val="0"/>
      <w:spacing w:line="440" w:lineRule="exact"/>
      <w:ind w:firstLine="200" w:firstLineChars="200"/>
    </w:pPr>
    <w:rPr>
      <w:rFonts w:ascii="Times New Roman" w:hAnsi="Times New Roman" w:eastAsia="宋体"/>
      <w:sz w:val="24"/>
    </w:rPr>
  </w:style>
  <w:style w:type="character" w:customStyle="1" w:styleId="43">
    <w:name w:val="4正文 字符"/>
    <w:basedOn w:val="29"/>
    <w:link w:val="42"/>
    <w:qFormat/>
    <w:uiPriority w:val="0"/>
    <w:rPr>
      <w:rFonts w:ascii="Times New Roman" w:hAnsi="Times New Roman" w:eastAsia="宋体"/>
      <w:sz w:val="24"/>
    </w:rPr>
  </w:style>
  <w:style w:type="paragraph" w:customStyle="1" w:styleId="44">
    <w:name w:val="5表格内标题"/>
    <w:basedOn w:val="1"/>
    <w:link w:val="45"/>
    <w:qFormat/>
    <w:uiPriority w:val="0"/>
    <w:pPr>
      <w:snapToGrid w:val="0"/>
      <w:spacing w:line="440" w:lineRule="exact"/>
      <w:ind w:firstLine="200" w:firstLineChars="200"/>
      <w:jc w:val="center"/>
    </w:pPr>
    <w:rPr>
      <w:rFonts w:ascii="Times New Roman" w:hAnsi="Times New Roman" w:eastAsia="宋体"/>
    </w:rPr>
  </w:style>
  <w:style w:type="character" w:customStyle="1" w:styleId="45">
    <w:name w:val="5表格内标题 字符"/>
    <w:basedOn w:val="29"/>
    <w:link w:val="44"/>
    <w:qFormat/>
    <w:uiPriority w:val="0"/>
    <w:rPr>
      <w:rFonts w:ascii="Times New Roman" w:hAnsi="Times New Roman" w:eastAsia="宋体"/>
    </w:rPr>
  </w:style>
  <w:style w:type="paragraph" w:customStyle="1" w:styleId="4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47">
    <w:name w:val="我的笔记目录"/>
    <w:basedOn w:val="17"/>
    <w:link w:val="48"/>
    <w:qFormat/>
    <w:uiPriority w:val="0"/>
    <w:pPr>
      <w:tabs>
        <w:tab w:val="right" w:leader="dot" w:pos="8296"/>
      </w:tabs>
    </w:pPr>
    <w:rPr>
      <w:szCs w:val="21"/>
    </w:rPr>
  </w:style>
  <w:style w:type="character" w:customStyle="1" w:styleId="48">
    <w:name w:val="我的笔记目录 字符"/>
    <w:basedOn w:val="49"/>
    <w:link w:val="47"/>
    <w:qFormat/>
    <w:uiPriority w:val="0"/>
    <w:rPr>
      <w:rFonts w:ascii="微软雅黑" w:hAnsi="微软雅黑" w:eastAsia="微软雅黑"/>
      <w:snapToGrid w:val="0"/>
      <w:kern w:val="0"/>
      <w:szCs w:val="21"/>
    </w:rPr>
  </w:style>
  <w:style w:type="character" w:customStyle="1" w:styleId="49">
    <w:name w:val="引文目录 字符"/>
    <w:basedOn w:val="29"/>
    <w:link w:val="5"/>
    <w:semiHidden/>
    <w:qFormat/>
    <w:uiPriority w:val="99"/>
  </w:style>
  <w:style w:type="table" w:customStyle="1" w:styleId="50">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网格型2"/>
    <w:basedOn w:val="2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TableGrid1"/>
    <w:qFormat/>
    <w:uiPriority w:val="0"/>
    <w:rPr>
      <w:kern w:val="0"/>
      <w:sz w:val="20"/>
      <w:szCs w:val="20"/>
    </w:rPr>
    <w:tblPr>
      <w:tblCellMar>
        <w:top w:w="0" w:type="dxa"/>
        <w:left w:w="0" w:type="dxa"/>
        <w:bottom w:w="0" w:type="dxa"/>
        <w:right w:w="0" w:type="dxa"/>
      </w:tblCellMar>
    </w:tblPr>
  </w:style>
  <w:style w:type="character" w:customStyle="1" w:styleId="53">
    <w:name w:val="Unresolved Mention"/>
    <w:basedOn w:val="29"/>
    <w:semiHidden/>
    <w:unhideWhenUsed/>
    <w:qFormat/>
    <w:uiPriority w:val="99"/>
    <w:rPr>
      <w:color w:val="808080"/>
      <w:shd w:val="clear" w:color="auto" w:fill="E6E6E6"/>
    </w:rPr>
  </w:style>
  <w:style w:type="character" w:customStyle="1" w:styleId="54">
    <w:name w:val="批注框文本 字符"/>
    <w:basedOn w:val="29"/>
    <w:link w:val="14"/>
    <w:qFormat/>
    <w:uiPriority w:val="0"/>
    <w:rPr>
      <w:sz w:val="18"/>
      <w:szCs w:val="18"/>
    </w:rPr>
  </w:style>
  <w:style w:type="paragraph" w:customStyle="1" w:styleId="55">
    <w:name w:val="Bibliography"/>
    <w:basedOn w:val="1"/>
    <w:next w:val="1"/>
    <w:unhideWhenUsed/>
    <w:qFormat/>
    <w:uiPriority w:val="37"/>
    <w:pPr>
      <w:tabs>
        <w:tab w:val="left" w:pos="384"/>
      </w:tabs>
      <w:ind w:left="384" w:hanging="384"/>
    </w:pPr>
  </w:style>
  <w:style w:type="character" w:customStyle="1" w:styleId="56">
    <w:name w:val="fontstyle01"/>
    <w:basedOn w:val="29"/>
    <w:qFormat/>
    <w:uiPriority w:val="0"/>
    <w:rPr>
      <w:rFonts w:hint="eastAsia" w:ascii="宋体" w:hAnsi="宋体" w:eastAsia="宋体"/>
      <w:color w:val="242021"/>
      <w:sz w:val="20"/>
      <w:szCs w:val="20"/>
    </w:rPr>
  </w:style>
  <w:style w:type="character" w:customStyle="1" w:styleId="57">
    <w:name w:val="fontstyle11"/>
    <w:basedOn w:val="29"/>
    <w:qFormat/>
    <w:uiPriority w:val="0"/>
    <w:rPr>
      <w:color w:val="242021"/>
      <w:sz w:val="20"/>
      <w:szCs w:val="20"/>
    </w:rPr>
  </w:style>
  <w:style w:type="character" w:customStyle="1" w:styleId="58">
    <w:name w:val="fontstyle21"/>
    <w:basedOn w:val="29"/>
    <w:qFormat/>
    <w:uiPriority w:val="0"/>
    <w:rPr>
      <w:rFonts w:hint="default" w:ascii="DLF-3-0-1061508550+ZLTFEy-360" w:hAnsi="DLF-3-0-1061508550+ZLTFEy-360"/>
      <w:color w:val="242021"/>
      <w:sz w:val="22"/>
      <w:szCs w:val="22"/>
    </w:rPr>
  </w:style>
  <w:style w:type="paragraph" w:customStyle="1" w:styleId="59">
    <w:name w:val="正文缩进1"/>
    <w:basedOn w:val="1"/>
    <w:next w:val="6"/>
    <w:unhideWhenUsed/>
    <w:qFormat/>
    <w:uiPriority w:val="99"/>
    <w:pPr>
      <w:widowControl/>
      <w:ind w:firstLine="420" w:firstLineChars="200"/>
      <w:jc w:val="left"/>
    </w:pPr>
    <w:rPr>
      <w:sz w:val="24"/>
      <w:szCs w:val="24"/>
    </w:rPr>
  </w:style>
  <w:style w:type="paragraph" w:customStyle="1" w:styleId="60">
    <w:name w:val="正文文本缩进1"/>
    <w:basedOn w:val="1"/>
    <w:next w:val="8"/>
    <w:link w:val="61"/>
    <w:unhideWhenUsed/>
    <w:qFormat/>
    <w:uiPriority w:val="0"/>
    <w:pPr>
      <w:widowControl/>
      <w:ind w:firstLine="640" w:firstLineChars="200"/>
      <w:jc w:val="left"/>
    </w:pPr>
    <w:rPr>
      <w:sz w:val="32"/>
      <w:szCs w:val="24"/>
    </w:rPr>
  </w:style>
  <w:style w:type="character" w:customStyle="1" w:styleId="61">
    <w:name w:val="正文文本缩进 字符"/>
    <w:basedOn w:val="29"/>
    <w:link w:val="60"/>
    <w:qFormat/>
    <w:uiPriority w:val="0"/>
    <w:rPr>
      <w:kern w:val="2"/>
      <w:sz w:val="32"/>
      <w:szCs w:val="24"/>
    </w:rPr>
  </w:style>
  <w:style w:type="paragraph" w:customStyle="1" w:styleId="62">
    <w:name w:val="正文文本首行缩进 21"/>
    <w:basedOn w:val="8"/>
    <w:next w:val="26"/>
    <w:link w:val="63"/>
    <w:unhideWhenUsed/>
    <w:qFormat/>
    <w:uiPriority w:val="99"/>
    <w:pPr>
      <w:widowControl/>
      <w:spacing w:after="0"/>
      <w:ind w:left="0" w:leftChars="0" w:firstLine="420" w:firstLineChars="200"/>
      <w:jc w:val="left"/>
    </w:pPr>
    <w:rPr>
      <w:sz w:val="32"/>
      <w:szCs w:val="24"/>
    </w:rPr>
  </w:style>
  <w:style w:type="character" w:customStyle="1" w:styleId="63">
    <w:name w:val="正文文本首行缩进 2 字符"/>
    <w:basedOn w:val="61"/>
    <w:link w:val="62"/>
    <w:qFormat/>
    <w:uiPriority w:val="99"/>
    <w:rPr>
      <w:kern w:val="2"/>
      <w:sz w:val="32"/>
      <w:szCs w:val="24"/>
    </w:rPr>
  </w:style>
  <w:style w:type="paragraph" w:customStyle="1" w:styleId="64">
    <w:name w:val="标题1总标题"/>
    <w:basedOn w:val="11"/>
    <w:qFormat/>
    <w:uiPriority w:val="0"/>
    <w:pPr>
      <w:spacing w:line="360" w:lineRule="auto"/>
      <w:ind w:firstLine="0" w:firstLineChars="0"/>
      <w:jc w:val="center"/>
    </w:pPr>
    <w:rPr>
      <w:sz w:val="36"/>
    </w:rPr>
  </w:style>
  <w:style w:type="paragraph" w:customStyle="1" w:styleId="65">
    <w:name w:val="首行缩进"/>
    <w:basedOn w:val="1"/>
    <w:qFormat/>
    <w:uiPriority w:val="0"/>
    <w:pPr>
      <w:widowControl/>
      <w:ind w:firstLine="480" w:firstLineChars="200"/>
      <w:jc w:val="left"/>
    </w:pPr>
    <w:rPr>
      <w:sz w:val="24"/>
      <w:szCs w:val="24"/>
      <w:lang w:val="zh-CN"/>
    </w:rPr>
  </w:style>
  <w:style w:type="paragraph" w:styleId="66">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正文文本缩进 字符1"/>
    <w:basedOn w:val="29"/>
    <w:link w:val="8"/>
    <w:semiHidden/>
    <w:qFormat/>
    <w:uiPriority w:val="99"/>
  </w:style>
  <w:style w:type="character" w:customStyle="1" w:styleId="68">
    <w:name w:val="正文文本首行缩进 2 字符1"/>
    <w:basedOn w:val="67"/>
    <w:link w:val="26"/>
    <w:semiHidden/>
    <w:qFormat/>
    <w:uiPriority w:val="99"/>
  </w:style>
  <w:style w:type="paragraph" w:customStyle="1" w:styleId="69">
    <w:name w:val="总标题"/>
    <w:basedOn w:val="42"/>
    <w:link w:val="70"/>
    <w:qFormat/>
    <w:uiPriority w:val="0"/>
    <w:pPr>
      <w:ind w:firstLine="480"/>
    </w:pPr>
    <w:rPr>
      <w:rFonts w:cs="方正仿宋简体"/>
      <w:bCs/>
    </w:rPr>
  </w:style>
  <w:style w:type="character" w:customStyle="1" w:styleId="70">
    <w:name w:val="总标题 字符"/>
    <w:basedOn w:val="43"/>
    <w:link w:val="69"/>
    <w:qFormat/>
    <w:uiPriority w:val="0"/>
    <w:rPr>
      <w:rFonts w:ascii="Times New Roman" w:hAnsi="Times New Roman" w:eastAsia="宋体" w:cs="方正仿宋简体"/>
      <w:bCs/>
      <w:sz w:val="24"/>
    </w:rPr>
  </w:style>
  <w:style w:type="character" w:customStyle="1" w:styleId="71">
    <w:name w:val="批注文字 字符"/>
    <w:basedOn w:val="29"/>
    <w:link w:val="7"/>
    <w:qFormat/>
    <w:uiPriority w:val="0"/>
    <w:rPr>
      <w:rFonts w:ascii="仿宋GB2312" w:hAnsi="仿宋" w:eastAsia="仿宋GB2312" w:cs="楷体_GB2312"/>
      <w:bCs/>
      <w:sz w:val="18"/>
      <w:szCs w:val="18"/>
    </w:rPr>
  </w:style>
  <w:style w:type="character" w:customStyle="1" w:styleId="72">
    <w:name w:val="批注主题 字符"/>
    <w:basedOn w:val="71"/>
    <w:link w:val="25"/>
    <w:qFormat/>
    <w:uiPriority w:val="0"/>
    <w:rPr>
      <w:rFonts w:ascii="仿宋GB2312" w:hAnsi="仿宋" w:eastAsia="仿宋GB2312" w:cs="楷体_GB2312"/>
      <w:b/>
      <w:bCs w:val="0"/>
      <w:sz w:val="18"/>
      <w:szCs w:val="18"/>
    </w:rPr>
  </w:style>
  <w:style w:type="paragraph" w:customStyle="1" w:styleId="73">
    <w:name w:val="标题1"/>
    <w:basedOn w:val="3"/>
    <w:qFormat/>
    <w:uiPriority w:val="0"/>
    <w:pPr>
      <w:widowControl/>
      <w:spacing w:before="0" w:after="0" w:line="560" w:lineRule="exact"/>
      <w:ind w:firstLine="200" w:firstLineChars="200"/>
      <w:jc w:val="left"/>
    </w:pPr>
    <w:rPr>
      <w:rFonts w:eastAsia="黑体"/>
      <w:b w:val="0"/>
      <w:bCs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CCB68D-D625-4507-9386-6808DCDA7A8B}">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1934</Words>
  <Characters>11027</Characters>
  <Lines>91</Lines>
  <Paragraphs>25</Paragraphs>
  <TotalTime>86</TotalTime>
  <ScaleCrop>false</ScaleCrop>
  <LinksUpToDate>false</LinksUpToDate>
  <CharactersWithSpaces>12936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2024-07-26T09:05:00Z</dcterms:created>
  <dc:creator>Administrator</dc:creator>
  <cp:lastModifiedBy>Administrator</cp:lastModifiedBy>
  <cp:lastPrinted>2018-04-17T08:16:00Z</cp:lastPrinted>
  <dcterms:modified xsi:type="dcterms:W3CDTF">2024-07-30T00:47:34Z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2052-11.1.0.9740</vt:lpwstr>
  </property>
</Properties>
</file>