
<file path=[Content_Types].xml><?xml version="1.0" encoding="utf-8"?>
<Types xmlns="http://schemas.openxmlformats.org/package/2006/content-types">
  <Default Extension="xml" ContentType="application/xml"/>
  <Default Extension="xlsx" ContentType="application/vnd.openxmlformats-officedocument.spreadsheetml.shee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F4C4DF">
      <w:pPr>
        <w:pStyle w:val="13"/>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37BA873">
                            <w:pPr>
                              <w:rPr>
                                <w:rFonts w:ascii="楷体" w:hAnsi="楷体" w:eastAsia="楷体" w:cs="楷体"/>
                                <w:sz w:val="30"/>
                                <w:szCs w:val="30"/>
                              </w:rPr>
                            </w:pPr>
                            <w:r>
                              <w:rPr>
                                <w:rFonts w:hint="eastAsia" w:ascii="楷体" w:hAnsi="楷体" w:eastAsia="楷体" w:cs="楷体"/>
                                <w:sz w:val="30"/>
                                <w:szCs w:val="30"/>
                              </w:rPr>
                              <w:t>附件1：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337BA873">
                      <w:pPr>
                        <w:rPr>
                          <w:rFonts w:ascii="楷体" w:hAnsi="楷体" w:eastAsia="楷体" w:cs="楷体"/>
                          <w:sz w:val="30"/>
                          <w:szCs w:val="30"/>
                        </w:rPr>
                      </w:pPr>
                      <w:r>
                        <w:rPr>
                          <w:rFonts w:hint="eastAsia" w:ascii="楷体" w:hAnsi="楷体" w:eastAsia="楷体" w:cs="楷体"/>
                          <w:sz w:val="30"/>
                          <w:szCs w:val="30"/>
                        </w:rPr>
                        <w:t>附件1：</w:t>
                      </w:r>
                    </w:p>
                  </w:txbxContent>
                </v:textbox>
              </v:shape>
            </w:pict>
          </mc:Fallback>
        </mc:AlternateContent>
      </w:r>
    </w:p>
    <w:p w14:paraId="0313CFA3">
      <w:pPr>
        <w:pStyle w:val="13"/>
        <w:jc w:val="center"/>
        <w:rPr>
          <w:sz w:val="56"/>
          <w:szCs w:val="56"/>
        </w:rPr>
      </w:pPr>
    </w:p>
    <w:p w14:paraId="3A09B6DA">
      <w:pPr>
        <w:pStyle w:val="13"/>
        <w:jc w:val="center"/>
        <w:rPr>
          <w:sz w:val="84"/>
          <w:szCs w:val="84"/>
        </w:rPr>
      </w:pPr>
    </w:p>
    <w:p w14:paraId="1C131E93">
      <w:pPr>
        <w:pStyle w:val="13"/>
        <w:jc w:val="center"/>
        <w:rPr>
          <w:sz w:val="84"/>
          <w:szCs w:val="84"/>
        </w:rPr>
      </w:pPr>
    </w:p>
    <w:p w14:paraId="0D6407A2">
      <w:pPr>
        <w:pStyle w:val="13"/>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2023年度</w:t>
      </w:r>
    </w:p>
    <w:p w14:paraId="1106F7AF">
      <w:pPr>
        <w:pStyle w:val="13"/>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怀化市城乡建设事务中心</w:t>
      </w:r>
    </w:p>
    <w:p w14:paraId="40A10464">
      <w:pPr>
        <w:pStyle w:val="13"/>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部门决算</w:t>
      </w:r>
    </w:p>
    <w:p w14:paraId="0DE5DDA7">
      <w:pPr>
        <w:pStyle w:val="13"/>
        <w:jc w:val="center"/>
        <w:rPr>
          <w:rFonts w:ascii="方正小标宋_GBK" w:hAnsi="方正小标宋_GBK" w:eastAsia="方正小标宋_GBK" w:cs="方正小标宋_GBK"/>
          <w:sz w:val="72"/>
          <w:szCs w:val="72"/>
        </w:rPr>
      </w:pPr>
    </w:p>
    <w:p w14:paraId="6275AE89">
      <w:pPr>
        <w:pStyle w:val="13"/>
        <w:jc w:val="center"/>
        <w:rPr>
          <w:sz w:val="56"/>
          <w:szCs w:val="56"/>
        </w:rPr>
      </w:pPr>
    </w:p>
    <w:p w14:paraId="5CECC697">
      <w:pPr>
        <w:pStyle w:val="13"/>
        <w:jc w:val="center"/>
        <w:rPr>
          <w:sz w:val="56"/>
          <w:szCs w:val="56"/>
        </w:rPr>
      </w:pPr>
    </w:p>
    <w:p w14:paraId="351CED36">
      <w:pPr>
        <w:pStyle w:val="13"/>
        <w:jc w:val="center"/>
        <w:rPr>
          <w:sz w:val="56"/>
          <w:szCs w:val="56"/>
        </w:rPr>
      </w:pPr>
    </w:p>
    <w:p w14:paraId="754BA66C">
      <w:pPr>
        <w:pStyle w:val="13"/>
        <w:jc w:val="center"/>
        <w:rPr>
          <w:sz w:val="32"/>
          <w:szCs w:val="32"/>
        </w:rPr>
      </w:pPr>
    </w:p>
    <w:p w14:paraId="194274B7">
      <w:pPr>
        <w:pStyle w:val="13"/>
        <w:jc w:val="center"/>
        <w:rPr>
          <w:sz w:val="32"/>
          <w:szCs w:val="32"/>
        </w:rPr>
      </w:pPr>
    </w:p>
    <w:p w14:paraId="599F8AE2">
      <w:pPr>
        <w:pStyle w:val="13"/>
        <w:jc w:val="center"/>
        <w:rPr>
          <w:sz w:val="32"/>
          <w:szCs w:val="32"/>
        </w:rPr>
      </w:pPr>
    </w:p>
    <w:p w14:paraId="263E6CAD">
      <w:pPr>
        <w:pStyle w:val="13"/>
        <w:jc w:val="center"/>
        <w:rPr>
          <w:sz w:val="32"/>
          <w:szCs w:val="32"/>
        </w:rPr>
      </w:pPr>
    </w:p>
    <w:p w14:paraId="6E970E38">
      <w:pPr>
        <w:pStyle w:val="13"/>
        <w:jc w:val="center"/>
        <w:rPr>
          <w:sz w:val="32"/>
          <w:szCs w:val="32"/>
        </w:rPr>
      </w:pPr>
    </w:p>
    <w:p w14:paraId="42299291">
      <w:pPr>
        <w:pStyle w:val="13"/>
        <w:spacing w:line="540" w:lineRule="exact"/>
        <w:jc w:val="center"/>
        <w:rPr>
          <w:sz w:val="56"/>
          <w:szCs w:val="56"/>
        </w:rPr>
      </w:pPr>
    </w:p>
    <w:p w14:paraId="5BBA041B">
      <w:pPr>
        <w:pStyle w:val="13"/>
        <w:spacing w:line="500" w:lineRule="exact"/>
        <w:jc w:val="both"/>
        <w:rPr>
          <w:b/>
          <w:sz w:val="36"/>
          <w:szCs w:val="28"/>
        </w:rPr>
      </w:pPr>
    </w:p>
    <w:p w14:paraId="0E159616">
      <w:pPr>
        <w:pStyle w:val="13"/>
        <w:spacing w:line="500" w:lineRule="exact"/>
        <w:jc w:val="center"/>
        <w:rPr>
          <w:b/>
          <w:sz w:val="36"/>
          <w:szCs w:val="28"/>
        </w:rPr>
      </w:pPr>
      <w:r>
        <w:rPr>
          <w:rFonts w:hint="eastAsia"/>
          <w:b/>
          <w:sz w:val="36"/>
          <w:szCs w:val="28"/>
        </w:rPr>
        <w:t>目录</w:t>
      </w:r>
    </w:p>
    <w:p w14:paraId="1121AE00">
      <w:pPr>
        <w:pStyle w:val="13"/>
        <w:spacing w:line="500" w:lineRule="exact"/>
        <w:rPr>
          <w:rFonts w:hAnsi="黑体"/>
          <w:bCs/>
          <w:sz w:val="28"/>
          <w:szCs w:val="28"/>
        </w:rPr>
      </w:pPr>
      <w:r>
        <w:rPr>
          <w:rFonts w:hint="eastAsia" w:hAnsi="黑体"/>
          <w:bCs/>
          <w:sz w:val="28"/>
          <w:szCs w:val="28"/>
        </w:rPr>
        <w:t>第一部分 怀化市城乡建设事务中心概况</w:t>
      </w:r>
    </w:p>
    <w:p w14:paraId="787E20B6">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1384F171">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70D3CCCF">
      <w:pPr>
        <w:pStyle w:val="13"/>
        <w:spacing w:line="500" w:lineRule="exact"/>
        <w:rPr>
          <w:rFonts w:hAnsi="黑体"/>
          <w:bCs/>
          <w:sz w:val="28"/>
          <w:szCs w:val="28"/>
        </w:rPr>
      </w:pPr>
      <w:r>
        <w:rPr>
          <w:rFonts w:hint="eastAsia" w:hAnsi="黑体"/>
          <w:bCs/>
          <w:sz w:val="28"/>
          <w:szCs w:val="28"/>
        </w:rPr>
        <w:t>第二部分 部门决算表</w:t>
      </w:r>
    </w:p>
    <w:p w14:paraId="72589794">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1C5DA867">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4E0E1343">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5002F7DA">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2887AE92">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0EADFAC4">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4FF604C9">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7EBC82C9">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38608550">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19C16336">
      <w:pPr>
        <w:pStyle w:val="13"/>
        <w:spacing w:line="500" w:lineRule="exact"/>
        <w:rPr>
          <w:rFonts w:hAnsi="黑体"/>
          <w:bCs/>
          <w:sz w:val="28"/>
          <w:szCs w:val="28"/>
        </w:rPr>
      </w:pPr>
      <w:r>
        <w:rPr>
          <w:rFonts w:hint="eastAsia" w:hAnsi="黑体"/>
          <w:bCs/>
          <w:sz w:val="28"/>
          <w:szCs w:val="28"/>
        </w:rPr>
        <w:t>第三部分 部门决算情况说明</w:t>
      </w:r>
    </w:p>
    <w:p w14:paraId="7D545700">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3864149D">
      <w:pPr>
        <w:spacing w:line="500" w:lineRule="exact"/>
        <w:ind w:firstLine="700" w:firstLineChars="25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565D08F4">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12622864">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28E2475F">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24DA905D">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26A7BDC4">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2F59EA4B">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6C40AA34">
      <w:pPr>
        <w:pStyle w:val="2"/>
        <w:ind w:firstLine="700" w:firstLineChars="2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九、国有资本经营预算收入支出决算情况</w:t>
      </w:r>
    </w:p>
    <w:p w14:paraId="39364752">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十、关于机关运行经费支出说明</w:t>
      </w:r>
    </w:p>
    <w:p w14:paraId="4F999BF4">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十一、一般性支出情况说明</w:t>
      </w:r>
    </w:p>
    <w:p w14:paraId="3A9384E9">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十二、关于政府采购支出说明</w:t>
      </w:r>
    </w:p>
    <w:p w14:paraId="3977F1D9">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十三、关于国有资产占用情况说明</w:t>
      </w:r>
    </w:p>
    <w:p w14:paraId="220C6F1A">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十四、关于</w:t>
      </w:r>
      <w:r>
        <w:rPr>
          <w:rFonts w:ascii="Times New Roman" w:hAnsi="Times New Roman" w:eastAsia="仿宋_GB2312" w:cs="Times New Roman"/>
          <w:sz w:val="28"/>
          <w:szCs w:val="28"/>
        </w:rPr>
        <w:t>2023</w:t>
      </w:r>
      <w:r>
        <w:rPr>
          <w:rFonts w:hint="eastAsia" w:ascii="仿宋_GB2312" w:hAnsi="仿宋_GB2312" w:eastAsia="仿宋_GB2312" w:cs="仿宋_GB2312"/>
          <w:sz w:val="28"/>
          <w:szCs w:val="28"/>
        </w:rPr>
        <w:t>年度预算绩效情况的说明</w:t>
      </w:r>
    </w:p>
    <w:p w14:paraId="75D97485">
      <w:pPr>
        <w:pStyle w:val="13"/>
        <w:spacing w:line="500" w:lineRule="exact"/>
        <w:rPr>
          <w:rFonts w:hAnsi="黑体"/>
          <w:bCs/>
          <w:sz w:val="28"/>
          <w:szCs w:val="28"/>
        </w:rPr>
      </w:pPr>
      <w:r>
        <w:rPr>
          <w:rFonts w:hint="eastAsia" w:hAnsi="黑体"/>
          <w:bCs/>
          <w:sz w:val="28"/>
          <w:szCs w:val="28"/>
        </w:rPr>
        <w:t>第四部分 名词解释</w:t>
      </w:r>
    </w:p>
    <w:p w14:paraId="30B03EF2">
      <w:pPr>
        <w:pStyle w:val="13"/>
        <w:spacing w:line="500" w:lineRule="exact"/>
        <w:rPr>
          <w:rFonts w:hAnsi="黑体"/>
          <w:bCs/>
          <w:sz w:val="28"/>
          <w:szCs w:val="28"/>
        </w:rPr>
      </w:pPr>
      <w:r>
        <w:rPr>
          <w:rFonts w:hint="eastAsia" w:hAnsi="黑体"/>
          <w:bCs/>
          <w:sz w:val="28"/>
          <w:szCs w:val="28"/>
        </w:rPr>
        <w:t>第五部分 附件</w:t>
      </w:r>
    </w:p>
    <w:p w14:paraId="2658C07E">
      <w:pPr>
        <w:pStyle w:val="13"/>
        <w:spacing w:line="500" w:lineRule="exact"/>
        <w:rPr>
          <w:rFonts w:hAnsi="黑体"/>
          <w:bCs/>
          <w:sz w:val="28"/>
          <w:szCs w:val="28"/>
        </w:rPr>
      </w:pPr>
    </w:p>
    <w:p w14:paraId="784041C1">
      <w:pPr>
        <w:jc w:val="center"/>
        <w:rPr>
          <w:sz w:val="72"/>
          <w:szCs w:val="72"/>
        </w:rPr>
      </w:pPr>
    </w:p>
    <w:p w14:paraId="28759AAE">
      <w:pPr>
        <w:pStyle w:val="13"/>
        <w:jc w:val="center"/>
        <w:rPr>
          <w:rFonts w:ascii="方正小标宋_GBK" w:hAnsi="方正小标宋_GBK" w:eastAsia="方正小标宋_GBK" w:cs="方正小标宋_GBK"/>
          <w:sz w:val="84"/>
          <w:szCs w:val="84"/>
        </w:rPr>
      </w:pPr>
    </w:p>
    <w:p w14:paraId="638F8D2C">
      <w:pPr>
        <w:pStyle w:val="13"/>
        <w:jc w:val="center"/>
        <w:rPr>
          <w:rFonts w:ascii="方正小标宋_GBK" w:hAnsi="方正小标宋_GBK" w:eastAsia="方正小标宋_GBK" w:cs="方正小标宋_GBK"/>
          <w:sz w:val="84"/>
          <w:szCs w:val="84"/>
        </w:rPr>
      </w:pPr>
    </w:p>
    <w:p w14:paraId="59AE5C10">
      <w:pPr>
        <w:pStyle w:val="13"/>
        <w:jc w:val="center"/>
        <w:rPr>
          <w:rFonts w:ascii="方正小标宋_GBK" w:hAnsi="方正小标宋_GBK" w:eastAsia="方正小标宋_GBK" w:cs="方正小标宋_GBK"/>
          <w:sz w:val="84"/>
          <w:szCs w:val="84"/>
        </w:rPr>
      </w:pPr>
    </w:p>
    <w:p w14:paraId="7935A808">
      <w:pPr>
        <w:pStyle w:val="13"/>
        <w:jc w:val="center"/>
        <w:rPr>
          <w:rFonts w:ascii="方正小标宋_GBK" w:hAnsi="方正小标宋_GBK" w:eastAsia="方正小标宋_GBK" w:cs="方正小标宋_GBK"/>
          <w:sz w:val="84"/>
          <w:szCs w:val="84"/>
        </w:rPr>
      </w:pPr>
    </w:p>
    <w:p w14:paraId="6B1622AF">
      <w:pPr>
        <w:pStyle w:val="13"/>
        <w:jc w:val="center"/>
        <w:rPr>
          <w:rFonts w:ascii="方正小标宋_GBK" w:hAnsi="方正小标宋_GBK" w:eastAsia="方正小标宋_GBK" w:cs="方正小标宋_GBK"/>
          <w:sz w:val="84"/>
          <w:szCs w:val="84"/>
        </w:rPr>
      </w:pPr>
    </w:p>
    <w:p w14:paraId="51FB1A48">
      <w:pPr>
        <w:pStyle w:val="13"/>
        <w:jc w:val="center"/>
        <w:rPr>
          <w:rFonts w:ascii="方正小标宋_GBK" w:hAnsi="方正小标宋_GBK" w:eastAsia="方正小标宋_GBK" w:cs="方正小标宋_GBK"/>
          <w:sz w:val="84"/>
          <w:szCs w:val="84"/>
        </w:rPr>
      </w:pPr>
    </w:p>
    <w:p w14:paraId="393E480D">
      <w:pPr>
        <w:pStyle w:val="13"/>
        <w:jc w:val="center"/>
        <w:rPr>
          <w:rFonts w:ascii="方正小标宋_GBK" w:hAnsi="方正小标宋_GBK" w:eastAsia="方正小标宋_GBK" w:cs="方正小标宋_GBK"/>
          <w:sz w:val="84"/>
          <w:szCs w:val="84"/>
        </w:rPr>
      </w:pPr>
    </w:p>
    <w:p w14:paraId="0C46D311">
      <w:pPr>
        <w:pStyle w:val="13"/>
        <w:jc w:val="center"/>
        <w:rPr>
          <w:rFonts w:ascii="方正小标宋_GBK" w:hAnsi="方正小标宋_GBK" w:eastAsia="方正小标宋_GBK" w:cs="方正小标宋_GBK"/>
          <w:sz w:val="84"/>
          <w:szCs w:val="84"/>
        </w:rPr>
      </w:pPr>
    </w:p>
    <w:p w14:paraId="74632FC3">
      <w:pPr>
        <w:pStyle w:val="13"/>
        <w:jc w:val="center"/>
        <w:rPr>
          <w:rFonts w:ascii="方正小标宋_GBK" w:hAnsi="方正小标宋_GBK" w:eastAsia="方正小标宋_GBK" w:cs="方正小标宋_GBK"/>
          <w:sz w:val="52"/>
          <w:szCs w:val="52"/>
        </w:rPr>
      </w:pPr>
    </w:p>
    <w:p w14:paraId="0180446A">
      <w:pPr>
        <w:pStyle w:val="13"/>
        <w:jc w:val="center"/>
        <w:rPr>
          <w:rFonts w:ascii="方正小标宋_GBK" w:hAnsi="方正小标宋_GBK" w:eastAsia="方正小标宋_GBK" w:cs="方正小标宋_GBK"/>
          <w:sz w:val="52"/>
          <w:szCs w:val="52"/>
        </w:rPr>
      </w:pPr>
    </w:p>
    <w:p w14:paraId="79846799">
      <w:pPr>
        <w:pStyle w:val="13"/>
        <w:jc w:val="center"/>
        <w:rPr>
          <w:rFonts w:ascii="方正小标宋_GBK" w:hAnsi="方正小标宋_GBK" w:eastAsia="方正小标宋_GBK" w:cs="方正小标宋_GBK"/>
          <w:sz w:val="52"/>
          <w:szCs w:val="52"/>
        </w:rPr>
      </w:pPr>
    </w:p>
    <w:p w14:paraId="3AF070E6">
      <w:pPr>
        <w:pStyle w:val="13"/>
        <w:jc w:val="center"/>
        <w:rPr>
          <w:rFonts w:ascii="方正小标宋_GBK" w:hAnsi="方正小标宋_GBK" w:eastAsia="方正小标宋_GBK" w:cs="方正小标宋_GBK"/>
          <w:sz w:val="52"/>
          <w:szCs w:val="52"/>
        </w:rPr>
      </w:pPr>
    </w:p>
    <w:p w14:paraId="66AD33C8">
      <w:pPr>
        <w:pStyle w:val="13"/>
        <w:jc w:val="center"/>
        <w:rPr>
          <w:rFonts w:ascii="方正小标宋_GBK" w:hAnsi="方正小标宋_GBK" w:eastAsia="方正小标宋_GBK" w:cs="方正小标宋_GBK"/>
          <w:sz w:val="52"/>
          <w:szCs w:val="52"/>
        </w:rPr>
      </w:pPr>
    </w:p>
    <w:p w14:paraId="310FDEE2">
      <w:pPr>
        <w:pStyle w:val="13"/>
        <w:jc w:val="center"/>
        <w:rPr>
          <w:rFonts w:ascii="方正小标宋_GBK" w:hAnsi="方正小标宋_GBK" w:eastAsia="方正小标宋_GBK" w:cs="方正小标宋_GBK"/>
          <w:sz w:val="52"/>
          <w:szCs w:val="52"/>
        </w:rPr>
      </w:pPr>
    </w:p>
    <w:p w14:paraId="36305586">
      <w:pPr>
        <w:pStyle w:val="13"/>
        <w:jc w:val="center"/>
        <w:rPr>
          <w:rFonts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 xml:space="preserve">第一部分 </w:t>
      </w:r>
    </w:p>
    <w:p w14:paraId="597CEEC0">
      <w:pPr>
        <w:pStyle w:val="13"/>
        <w:jc w:val="center"/>
        <w:rPr>
          <w:rFonts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怀化市城乡建设事务中心概况</w:t>
      </w:r>
    </w:p>
    <w:p w14:paraId="56360ABF">
      <w:pPr>
        <w:jc w:val="center"/>
        <w:rPr>
          <w:sz w:val="52"/>
          <w:szCs w:val="52"/>
        </w:rPr>
      </w:pPr>
    </w:p>
    <w:p w14:paraId="67EE5904">
      <w:pPr>
        <w:pStyle w:val="2"/>
      </w:pPr>
    </w:p>
    <w:p w14:paraId="7E6142B2">
      <w:pPr>
        <w:pStyle w:val="3"/>
        <w:ind w:firstLine="480"/>
      </w:pPr>
    </w:p>
    <w:p w14:paraId="700F36CB"/>
    <w:p w14:paraId="76833472">
      <w:pPr>
        <w:pStyle w:val="2"/>
      </w:pPr>
    </w:p>
    <w:p w14:paraId="2DCC6583">
      <w:pPr>
        <w:pStyle w:val="3"/>
        <w:ind w:firstLine="480"/>
      </w:pPr>
    </w:p>
    <w:p w14:paraId="78219EA1"/>
    <w:p w14:paraId="2CF62CA9">
      <w:pPr>
        <w:pStyle w:val="2"/>
      </w:pPr>
    </w:p>
    <w:p w14:paraId="62654544">
      <w:pPr>
        <w:pStyle w:val="3"/>
        <w:ind w:firstLine="480"/>
      </w:pPr>
    </w:p>
    <w:p w14:paraId="512B4038"/>
    <w:p w14:paraId="471DBB99">
      <w:pPr>
        <w:pStyle w:val="2"/>
      </w:pPr>
    </w:p>
    <w:p w14:paraId="2621C878">
      <w:pPr>
        <w:pStyle w:val="3"/>
        <w:ind w:firstLine="480"/>
      </w:pPr>
    </w:p>
    <w:p w14:paraId="2BF82042"/>
    <w:p w14:paraId="259B95E9">
      <w:pPr>
        <w:pStyle w:val="2"/>
      </w:pPr>
    </w:p>
    <w:p w14:paraId="347DB206">
      <w:pPr>
        <w:pStyle w:val="3"/>
        <w:ind w:firstLine="480"/>
      </w:pPr>
    </w:p>
    <w:p w14:paraId="07B70C2D"/>
    <w:p w14:paraId="28263C9C">
      <w:pPr>
        <w:pStyle w:val="2"/>
      </w:pPr>
    </w:p>
    <w:p w14:paraId="5367907C">
      <w:pPr>
        <w:pStyle w:val="3"/>
        <w:ind w:firstLine="480"/>
      </w:pPr>
    </w:p>
    <w:p w14:paraId="382A41DD"/>
    <w:p w14:paraId="253D2310">
      <w:pPr>
        <w:pStyle w:val="2"/>
      </w:pPr>
    </w:p>
    <w:p w14:paraId="7805B78A">
      <w:pPr>
        <w:pStyle w:val="3"/>
        <w:ind w:firstLine="480"/>
      </w:pPr>
    </w:p>
    <w:p w14:paraId="121911E9"/>
    <w:p w14:paraId="023DDFFE">
      <w:pPr>
        <w:pStyle w:val="2"/>
      </w:pPr>
    </w:p>
    <w:p w14:paraId="141C695F">
      <w:pPr>
        <w:pStyle w:val="3"/>
        <w:ind w:firstLine="480"/>
      </w:pPr>
    </w:p>
    <w:p w14:paraId="79D2F176"/>
    <w:p w14:paraId="0292F0AB">
      <w:pPr>
        <w:pStyle w:val="2"/>
      </w:pPr>
    </w:p>
    <w:p w14:paraId="3A11005F">
      <w:pPr>
        <w:pStyle w:val="3"/>
        <w:ind w:firstLine="480"/>
      </w:pPr>
    </w:p>
    <w:p w14:paraId="2F277A1A"/>
    <w:p w14:paraId="63545378"/>
    <w:p w14:paraId="464A7AA0">
      <w:pPr>
        <w:pStyle w:val="14"/>
        <w:numPr>
          <w:ilvl w:val="0"/>
          <w:numId w:val="1"/>
        </w:numPr>
        <w:ind w:firstLineChars="0"/>
        <w:jc w:val="left"/>
        <w:rPr>
          <w:rFonts w:ascii="黑体" w:hAnsi="黑体" w:eastAsia="黑体" w:cs="黑体"/>
          <w:sz w:val="32"/>
          <w:szCs w:val="32"/>
        </w:rPr>
      </w:pPr>
      <w:r>
        <w:rPr>
          <w:rFonts w:hint="eastAsia" w:ascii="黑体" w:hAnsi="黑体" w:eastAsia="黑体" w:cs="黑体"/>
          <w:sz w:val="32"/>
          <w:szCs w:val="32"/>
        </w:rPr>
        <w:t>部门职责</w:t>
      </w:r>
    </w:p>
    <w:p w14:paraId="123BADE5">
      <w:pPr>
        <w:widowControl/>
        <w:spacing w:line="600" w:lineRule="exact"/>
        <w:rPr>
          <w:rFonts w:ascii="仿宋" w:hAnsi="仿宋" w:eastAsia="仿宋" w:cs="仿宋"/>
          <w:sz w:val="32"/>
          <w:szCs w:val="32"/>
        </w:rPr>
      </w:pPr>
      <w:r>
        <w:rPr>
          <w:rFonts w:hint="eastAsia" w:ascii="Times New Roman" w:hAnsi="Times New Roman" w:eastAsia="仿宋_GB2312" w:cs="仿宋_GB2312"/>
          <w:sz w:val="32"/>
          <w:szCs w:val="32"/>
        </w:rPr>
        <w:t>（一）</w:t>
      </w:r>
      <w:r>
        <w:rPr>
          <w:rFonts w:hint="eastAsia" w:ascii="仿宋" w:hAnsi="仿宋" w:eastAsia="仿宋" w:cs="仿宋"/>
          <w:sz w:val="32"/>
          <w:szCs w:val="32"/>
        </w:rPr>
        <w:t>负责市本级城市规划区内（含鹤城区）和指导县（市、区）燃气管理工作。</w:t>
      </w:r>
    </w:p>
    <w:p w14:paraId="653DAEF8">
      <w:pPr>
        <w:widowControl/>
        <w:spacing w:line="600" w:lineRule="exact"/>
        <w:rPr>
          <w:rFonts w:ascii="仿宋" w:hAnsi="仿宋" w:eastAsia="仿宋" w:cs="仿宋"/>
          <w:sz w:val="32"/>
          <w:szCs w:val="32"/>
        </w:rPr>
      </w:pPr>
      <w:r>
        <w:rPr>
          <w:rFonts w:hint="eastAsia" w:ascii="仿宋" w:hAnsi="仿宋" w:eastAsia="仿宋" w:cs="仿宋"/>
          <w:sz w:val="32"/>
          <w:szCs w:val="32"/>
        </w:rPr>
        <w:t>（二）负责宣传贯彻国家、省、市燃气管理的法规、标准、政策。</w:t>
      </w:r>
    </w:p>
    <w:p w14:paraId="23AF3E0F">
      <w:pPr>
        <w:widowControl/>
        <w:spacing w:line="600" w:lineRule="exact"/>
        <w:rPr>
          <w:rFonts w:ascii="仿宋" w:hAnsi="仿宋" w:eastAsia="仿宋" w:cs="仿宋"/>
          <w:sz w:val="32"/>
          <w:szCs w:val="32"/>
        </w:rPr>
      </w:pPr>
      <w:r>
        <w:rPr>
          <w:rFonts w:hint="eastAsia" w:ascii="仿宋" w:hAnsi="仿宋" w:eastAsia="仿宋" w:cs="仿宋"/>
          <w:sz w:val="32"/>
          <w:szCs w:val="32"/>
        </w:rPr>
        <w:t>（三）负责城镇燃气规划、计划的制定、修订及组织实施。</w:t>
      </w:r>
    </w:p>
    <w:p w14:paraId="0B64E69A">
      <w:pPr>
        <w:widowControl/>
        <w:spacing w:line="600" w:lineRule="exact"/>
        <w:rPr>
          <w:rFonts w:ascii="仿宋" w:hAnsi="仿宋" w:eastAsia="仿宋" w:cs="仿宋"/>
          <w:sz w:val="32"/>
          <w:szCs w:val="32"/>
        </w:rPr>
      </w:pPr>
      <w:r>
        <w:rPr>
          <w:rFonts w:hint="eastAsia" w:ascii="仿宋" w:hAnsi="仿宋" w:eastAsia="仿宋" w:cs="仿宋"/>
          <w:sz w:val="32"/>
          <w:szCs w:val="32"/>
        </w:rPr>
        <w:t>（四）负责燃气企业、燃气燃烧器具安装维修企业及燃气设施改动行政审批的审核及管理工作。</w:t>
      </w:r>
    </w:p>
    <w:p w14:paraId="446AD69A">
      <w:pPr>
        <w:widowControl/>
        <w:spacing w:line="600" w:lineRule="exact"/>
        <w:rPr>
          <w:rFonts w:ascii="仿宋" w:hAnsi="仿宋" w:eastAsia="仿宋" w:cs="仿宋"/>
          <w:sz w:val="32"/>
          <w:szCs w:val="32"/>
        </w:rPr>
      </w:pPr>
      <w:r>
        <w:rPr>
          <w:rFonts w:hint="eastAsia" w:ascii="仿宋" w:hAnsi="仿宋" w:eastAsia="仿宋" w:cs="仿宋"/>
          <w:sz w:val="32"/>
          <w:szCs w:val="32"/>
        </w:rPr>
        <w:t>（五）负责对燃气企业经营单位及燃气燃烧器具安装维修企业的监督。</w:t>
      </w:r>
    </w:p>
    <w:p w14:paraId="08D96B21">
      <w:pPr>
        <w:widowControl/>
        <w:spacing w:line="600" w:lineRule="exact"/>
        <w:rPr>
          <w:rFonts w:ascii="仿宋" w:hAnsi="仿宋" w:eastAsia="仿宋" w:cs="仿宋"/>
          <w:sz w:val="32"/>
          <w:szCs w:val="32"/>
        </w:rPr>
      </w:pPr>
      <w:r>
        <w:rPr>
          <w:rFonts w:hint="eastAsia" w:ascii="仿宋" w:hAnsi="仿宋" w:eastAsia="仿宋" w:cs="仿宋"/>
          <w:sz w:val="32"/>
          <w:szCs w:val="32"/>
        </w:rPr>
        <w:t>（六）负责燃气经营单位及燃气燃烧器具安装维修企业从业人员的职业技能资格培训工作。</w:t>
      </w:r>
    </w:p>
    <w:p w14:paraId="2C8BA533">
      <w:pPr>
        <w:widowControl/>
        <w:spacing w:line="600" w:lineRule="exact"/>
        <w:rPr>
          <w:rFonts w:ascii="仿宋" w:hAnsi="仿宋" w:eastAsia="仿宋" w:cs="仿宋"/>
          <w:sz w:val="32"/>
          <w:szCs w:val="32"/>
        </w:rPr>
      </w:pPr>
      <w:r>
        <w:rPr>
          <w:rFonts w:hint="eastAsia" w:ascii="仿宋" w:hAnsi="仿宋" w:eastAsia="仿宋" w:cs="仿宋"/>
          <w:sz w:val="32"/>
          <w:szCs w:val="32"/>
        </w:rPr>
        <w:t>（七）负责供气事故应急预案的制定、修订及组织实施。</w:t>
      </w:r>
    </w:p>
    <w:p w14:paraId="6E572D49">
      <w:pPr>
        <w:widowControl/>
        <w:spacing w:line="600" w:lineRule="exact"/>
        <w:rPr>
          <w:rFonts w:ascii="仿宋" w:hAnsi="仿宋" w:eastAsia="仿宋" w:cs="仿宋"/>
          <w:sz w:val="32"/>
          <w:szCs w:val="32"/>
        </w:rPr>
      </w:pPr>
      <w:r>
        <w:rPr>
          <w:rFonts w:hint="eastAsia" w:ascii="仿宋" w:hAnsi="仿宋" w:eastAsia="仿宋" w:cs="仿宋"/>
          <w:sz w:val="32"/>
          <w:szCs w:val="32"/>
        </w:rPr>
        <w:t>（八）为建设工程提供造价管理服务。</w:t>
      </w:r>
    </w:p>
    <w:p w14:paraId="09E02B08">
      <w:pPr>
        <w:widowControl/>
        <w:spacing w:line="600" w:lineRule="exact"/>
        <w:rPr>
          <w:rFonts w:ascii="仿宋" w:hAnsi="仿宋" w:eastAsia="仿宋" w:cs="仿宋"/>
          <w:sz w:val="32"/>
          <w:szCs w:val="32"/>
        </w:rPr>
      </w:pPr>
      <w:r>
        <w:rPr>
          <w:rFonts w:hint="eastAsia" w:ascii="仿宋" w:hAnsi="仿宋" w:eastAsia="仿宋" w:cs="仿宋"/>
          <w:sz w:val="32"/>
          <w:szCs w:val="32"/>
        </w:rPr>
        <w:t>（九）贯彻执行有关工程造价法律、政策，按时准确发布建安材料价格信息。实行动态管理，对造价从业人员、造价咨询机构进行统一管理、监督、检查，做好定额解释、仲裁服务工作。</w:t>
      </w:r>
    </w:p>
    <w:p w14:paraId="128AF7EF">
      <w:pPr>
        <w:widowControl/>
        <w:spacing w:line="600" w:lineRule="exact"/>
        <w:rPr>
          <w:rFonts w:ascii="仿宋" w:hAnsi="仿宋" w:eastAsia="仿宋" w:cs="仿宋"/>
          <w:sz w:val="32"/>
          <w:szCs w:val="32"/>
        </w:rPr>
      </w:pPr>
      <w:r>
        <w:rPr>
          <w:rFonts w:hint="eastAsia" w:ascii="仿宋" w:hAnsi="仿宋" w:eastAsia="仿宋" w:cs="仿宋"/>
          <w:sz w:val="32"/>
          <w:szCs w:val="32"/>
        </w:rPr>
        <w:t>（十）配合生态环境部门积极做好入河排污口排查整治工作。</w:t>
      </w:r>
    </w:p>
    <w:p w14:paraId="07BE8C28">
      <w:pPr>
        <w:widowControl/>
        <w:spacing w:line="600" w:lineRule="exact"/>
        <w:rPr>
          <w:rFonts w:ascii="仿宋" w:hAnsi="仿宋" w:eastAsia="仿宋" w:cs="仿宋"/>
          <w:sz w:val="32"/>
          <w:szCs w:val="32"/>
        </w:rPr>
      </w:pPr>
      <w:r>
        <w:rPr>
          <w:rFonts w:hint="eastAsia" w:ascii="仿宋" w:hAnsi="仿宋" w:eastAsia="仿宋" w:cs="仿宋"/>
          <w:sz w:val="32"/>
          <w:szCs w:val="32"/>
        </w:rPr>
        <w:t>（十一）加强对污水主干管网维护单位的日常监管，督促指导维护单位建立应急预案，完善应急管理机制。</w:t>
      </w:r>
    </w:p>
    <w:p w14:paraId="26E06CB4">
      <w:pPr>
        <w:widowControl/>
        <w:spacing w:line="600" w:lineRule="exact"/>
        <w:rPr>
          <w:rFonts w:ascii="仿宋" w:hAnsi="仿宋" w:eastAsia="仿宋" w:cs="仿宋"/>
          <w:sz w:val="32"/>
          <w:szCs w:val="32"/>
        </w:rPr>
      </w:pPr>
      <w:r>
        <w:rPr>
          <w:rFonts w:hint="eastAsia" w:ascii="仿宋" w:hAnsi="仿宋" w:eastAsia="仿宋" w:cs="仿宋"/>
          <w:sz w:val="32"/>
          <w:szCs w:val="32"/>
        </w:rPr>
        <w:t>（十二）有序推进太平溪污染问题整改工作。</w:t>
      </w:r>
    </w:p>
    <w:p w14:paraId="4FEE7023">
      <w:pPr>
        <w:widowControl/>
        <w:spacing w:line="600" w:lineRule="exact"/>
        <w:rPr>
          <w:rFonts w:ascii="仿宋" w:hAnsi="仿宋" w:eastAsia="仿宋" w:cs="仿宋"/>
          <w:sz w:val="32"/>
          <w:szCs w:val="32"/>
        </w:rPr>
      </w:pPr>
      <w:r>
        <w:rPr>
          <w:rFonts w:hint="eastAsia" w:ascii="仿宋" w:hAnsi="仿宋" w:eastAsia="仿宋" w:cs="仿宋"/>
          <w:sz w:val="32"/>
          <w:szCs w:val="32"/>
        </w:rPr>
        <w:t>（十三）宣传和贯彻执行国家、省有关建设工程招标投标的方针政策和法律、规章。</w:t>
      </w:r>
    </w:p>
    <w:p w14:paraId="331D351A">
      <w:pPr>
        <w:widowControl/>
        <w:spacing w:line="600" w:lineRule="exact"/>
        <w:rPr>
          <w:rFonts w:ascii="仿宋" w:hAnsi="仿宋" w:eastAsia="仿宋" w:cs="仿宋"/>
          <w:sz w:val="32"/>
          <w:szCs w:val="32"/>
        </w:rPr>
      </w:pPr>
      <w:r>
        <w:rPr>
          <w:rFonts w:hint="eastAsia" w:ascii="仿宋" w:hAnsi="仿宋" w:eastAsia="仿宋" w:cs="仿宋"/>
          <w:sz w:val="32"/>
          <w:szCs w:val="32"/>
        </w:rPr>
        <w:t>（十四）承担对市住房城乡建设局指定区域范围内房屋建筑和市政工程招标投标活动实施监督管理的事务性工作。</w:t>
      </w:r>
    </w:p>
    <w:p w14:paraId="19AC142B">
      <w:pPr>
        <w:widowControl/>
        <w:spacing w:line="600" w:lineRule="exact"/>
        <w:rPr>
          <w:rFonts w:ascii="仿宋" w:hAnsi="仿宋" w:eastAsia="仿宋" w:cs="仿宋"/>
          <w:sz w:val="32"/>
          <w:szCs w:val="32"/>
        </w:rPr>
      </w:pPr>
      <w:r>
        <w:rPr>
          <w:rFonts w:hint="eastAsia" w:ascii="仿宋" w:hAnsi="仿宋" w:eastAsia="仿宋" w:cs="仿宋"/>
          <w:sz w:val="32"/>
          <w:szCs w:val="32"/>
        </w:rPr>
        <w:t>（十五）承担规范招标代理机构市场行为的事务性工作,负责招标代理机构的业务培训、不良行为的记录等工作。</w:t>
      </w:r>
    </w:p>
    <w:p w14:paraId="6AD91FA6">
      <w:pPr>
        <w:widowControl/>
        <w:spacing w:line="600" w:lineRule="exact"/>
        <w:rPr>
          <w:rFonts w:ascii="仿宋" w:hAnsi="仿宋" w:eastAsia="仿宋" w:cs="仿宋"/>
          <w:sz w:val="32"/>
          <w:szCs w:val="32"/>
        </w:rPr>
      </w:pPr>
      <w:r>
        <w:rPr>
          <w:rFonts w:hint="eastAsia" w:ascii="仿宋" w:hAnsi="仿宋" w:eastAsia="仿宋" w:cs="仿宋"/>
          <w:sz w:val="32"/>
          <w:szCs w:val="32"/>
        </w:rPr>
        <w:t>（十六）承担招标投标活动中违法违规行为查处的事务性工作。</w:t>
      </w:r>
    </w:p>
    <w:p w14:paraId="3B7B6E55">
      <w:pPr>
        <w:widowControl/>
        <w:spacing w:line="600" w:lineRule="exact"/>
        <w:rPr>
          <w:rFonts w:ascii="仿宋" w:hAnsi="仿宋" w:eastAsia="仿宋" w:cs="仿宋"/>
          <w:sz w:val="32"/>
          <w:szCs w:val="32"/>
        </w:rPr>
      </w:pPr>
      <w:r>
        <w:rPr>
          <w:rFonts w:hint="eastAsia" w:ascii="仿宋" w:hAnsi="仿宋" w:eastAsia="仿宋" w:cs="仿宋"/>
          <w:sz w:val="32"/>
          <w:szCs w:val="32"/>
        </w:rPr>
        <w:t>（十七）承担评标专家履职情况检查的事务性工作。</w:t>
      </w:r>
    </w:p>
    <w:p w14:paraId="7FFEDA63">
      <w:pPr>
        <w:widowControl/>
        <w:spacing w:line="600" w:lineRule="exact"/>
        <w:rPr>
          <w:rFonts w:ascii="仿宋" w:hAnsi="仿宋" w:eastAsia="仿宋" w:cs="仿宋"/>
          <w:sz w:val="32"/>
          <w:szCs w:val="32"/>
        </w:rPr>
      </w:pPr>
      <w:r>
        <w:rPr>
          <w:rFonts w:hint="eastAsia" w:ascii="仿宋" w:hAnsi="仿宋" w:eastAsia="仿宋" w:cs="仿宋"/>
          <w:sz w:val="32"/>
          <w:szCs w:val="32"/>
        </w:rPr>
        <w:t>（十八）协助处理招标投标活动的投诉举报工作。</w:t>
      </w:r>
    </w:p>
    <w:p w14:paraId="3F81F584">
      <w:pPr>
        <w:widowControl/>
        <w:spacing w:line="600" w:lineRule="exact"/>
        <w:rPr>
          <w:rFonts w:ascii="仿宋" w:hAnsi="仿宋" w:eastAsia="仿宋" w:cs="仿宋"/>
          <w:sz w:val="32"/>
          <w:szCs w:val="32"/>
        </w:rPr>
      </w:pPr>
      <w:r>
        <w:rPr>
          <w:rFonts w:hint="eastAsia" w:ascii="仿宋" w:hAnsi="仿宋" w:eastAsia="仿宋" w:cs="仿宋"/>
          <w:sz w:val="32"/>
          <w:szCs w:val="32"/>
        </w:rPr>
        <w:t>（十九）负责对区县（市)建设工程招标投标工作的业务指导。</w:t>
      </w:r>
    </w:p>
    <w:p w14:paraId="56AED516">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5BEDC8CD">
      <w:pPr>
        <w:widowControl/>
        <w:spacing w:line="500" w:lineRule="auto"/>
        <w:ind w:firstLine="627" w:firstLineChars="196"/>
        <w:rPr>
          <w:rFonts w:ascii="仿宋" w:hAnsi="仿宋" w:eastAsia="仿宋" w:cs="仿宋"/>
          <w:sz w:val="32"/>
          <w:szCs w:val="32"/>
        </w:rPr>
      </w:pPr>
      <w:r>
        <w:rPr>
          <w:rFonts w:hint="eastAsia" w:ascii="Times New Roman" w:hAnsi="Times New Roman" w:eastAsia="仿宋_GB2312" w:cs="仿宋_GB2312"/>
          <w:bCs/>
          <w:kern w:val="0"/>
          <w:sz w:val="32"/>
          <w:szCs w:val="32"/>
        </w:rPr>
        <w:t>（一）内设机构设置。</w:t>
      </w:r>
      <w:r>
        <w:rPr>
          <w:rFonts w:hint="eastAsia" w:ascii="仿宋" w:hAnsi="仿宋" w:eastAsia="仿宋" w:cs="仿宋"/>
          <w:sz w:val="32"/>
          <w:szCs w:val="32"/>
        </w:rPr>
        <w:t>怀化市城乡建设事务中心作为怀化市住房和城乡建设局的二级部门预算单位，属正科级公益一类事业单位。</w:t>
      </w:r>
    </w:p>
    <w:p w14:paraId="324E73DA">
      <w:pPr>
        <w:pStyle w:val="13"/>
        <w:autoSpaceDE/>
        <w:autoSpaceDN/>
        <w:spacing w:line="600" w:lineRule="exact"/>
        <w:ind w:firstLine="640" w:firstLineChars="200"/>
        <w:jc w:val="both"/>
        <w:rPr>
          <w:rFonts w:ascii="仿宋" w:hAnsi="仿宋" w:eastAsia="仿宋" w:cs="仿宋"/>
          <w:color w:val="auto"/>
          <w:kern w:val="2"/>
          <w:sz w:val="32"/>
          <w:szCs w:val="32"/>
        </w:rPr>
      </w:pPr>
      <w:r>
        <w:rPr>
          <w:rFonts w:hint="eastAsia" w:ascii="Times New Roman" w:hAnsi="Times New Roman" w:eastAsia="仿宋_GB2312" w:cs="仿宋_GB2312"/>
          <w:bCs/>
          <w:sz w:val="32"/>
          <w:szCs w:val="32"/>
        </w:rPr>
        <w:t>（二）决算单位构成。</w:t>
      </w:r>
      <w:bookmarkStart w:id="0" w:name="_Hlk112351331"/>
      <w:r>
        <w:rPr>
          <w:rFonts w:hint="eastAsia" w:ascii="仿宋" w:hAnsi="仿宋" w:eastAsia="仿宋" w:cs="仿宋"/>
          <w:color w:val="auto"/>
          <w:kern w:val="2"/>
          <w:sz w:val="32"/>
          <w:szCs w:val="32"/>
        </w:rPr>
        <w:t>怀化市城乡建设</w:t>
      </w:r>
      <w:bookmarkEnd w:id="0"/>
      <w:r>
        <w:rPr>
          <w:rFonts w:hint="eastAsia" w:ascii="仿宋" w:hAnsi="仿宋" w:eastAsia="仿宋" w:cs="仿宋"/>
          <w:color w:val="auto"/>
          <w:kern w:val="2"/>
          <w:sz w:val="32"/>
          <w:szCs w:val="32"/>
        </w:rPr>
        <w:t>事务中心202</w:t>
      </w:r>
      <w:r>
        <w:rPr>
          <w:rFonts w:ascii="仿宋" w:hAnsi="仿宋" w:eastAsia="仿宋" w:cs="仿宋"/>
          <w:color w:val="auto"/>
          <w:kern w:val="2"/>
          <w:sz w:val="32"/>
          <w:szCs w:val="32"/>
        </w:rPr>
        <w:t>3</w:t>
      </w:r>
      <w:r>
        <w:rPr>
          <w:rFonts w:hint="eastAsia" w:ascii="仿宋" w:hAnsi="仿宋" w:eastAsia="仿宋" w:cs="仿宋"/>
          <w:color w:val="auto"/>
          <w:kern w:val="2"/>
          <w:sz w:val="32"/>
          <w:szCs w:val="32"/>
        </w:rPr>
        <w:t>年部门决算汇总公开单位构成包括：怀化市城乡建设事务中心本级。</w:t>
      </w:r>
    </w:p>
    <w:p w14:paraId="42406924">
      <w:pPr>
        <w:widowControl/>
        <w:spacing w:line="600" w:lineRule="exact"/>
        <w:rPr>
          <w:rFonts w:ascii="仿宋" w:hAnsi="仿宋" w:eastAsia="仿宋" w:cs="仿宋"/>
          <w:sz w:val="32"/>
          <w:szCs w:val="32"/>
        </w:rPr>
      </w:pPr>
    </w:p>
    <w:p w14:paraId="77195844">
      <w:pPr>
        <w:widowControl/>
        <w:spacing w:line="600" w:lineRule="exact"/>
        <w:rPr>
          <w:rFonts w:ascii="仿宋_GB2312" w:eastAsia="仿宋_GB2312" w:hAnsiTheme="minorEastAsia"/>
          <w:sz w:val="28"/>
          <w:szCs w:val="32"/>
        </w:rPr>
      </w:pPr>
    </w:p>
    <w:p w14:paraId="2D57071B">
      <w:pPr>
        <w:jc w:val="center"/>
        <w:rPr>
          <w:rFonts w:ascii="黑体" w:hAnsi="黑体" w:eastAsia="黑体"/>
          <w:sz w:val="28"/>
          <w:szCs w:val="28"/>
        </w:rPr>
      </w:pPr>
    </w:p>
    <w:p w14:paraId="6F6F89CE">
      <w:pPr>
        <w:jc w:val="center"/>
        <w:rPr>
          <w:rFonts w:ascii="黑体" w:hAnsi="黑体" w:eastAsia="黑体"/>
          <w:sz w:val="28"/>
          <w:szCs w:val="28"/>
        </w:rPr>
      </w:pPr>
    </w:p>
    <w:p w14:paraId="6445A673">
      <w:pPr>
        <w:jc w:val="center"/>
        <w:rPr>
          <w:rFonts w:ascii="黑体" w:hAnsi="黑体" w:eastAsia="黑体"/>
          <w:sz w:val="28"/>
          <w:szCs w:val="28"/>
        </w:rPr>
      </w:pPr>
    </w:p>
    <w:p w14:paraId="7396C5AB">
      <w:pPr>
        <w:jc w:val="center"/>
        <w:rPr>
          <w:rFonts w:ascii="黑体" w:hAnsi="黑体" w:eastAsia="黑体"/>
          <w:sz w:val="28"/>
          <w:szCs w:val="28"/>
        </w:rPr>
      </w:pPr>
    </w:p>
    <w:p w14:paraId="264C8010">
      <w:pPr>
        <w:jc w:val="center"/>
        <w:rPr>
          <w:rFonts w:ascii="黑体" w:hAnsi="黑体" w:eastAsia="黑体"/>
          <w:sz w:val="28"/>
          <w:szCs w:val="28"/>
        </w:rPr>
      </w:pPr>
    </w:p>
    <w:p w14:paraId="23AE7F61">
      <w:pPr>
        <w:jc w:val="center"/>
        <w:rPr>
          <w:rFonts w:ascii="黑体" w:hAnsi="黑体" w:eastAsia="黑体"/>
          <w:sz w:val="28"/>
          <w:szCs w:val="28"/>
        </w:rPr>
      </w:pPr>
    </w:p>
    <w:p w14:paraId="13F68D78">
      <w:pPr>
        <w:jc w:val="center"/>
        <w:rPr>
          <w:rFonts w:ascii="黑体" w:hAnsi="黑体" w:eastAsia="黑体"/>
          <w:sz w:val="28"/>
          <w:szCs w:val="28"/>
        </w:rPr>
      </w:pPr>
    </w:p>
    <w:p w14:paraId="7B41B9AE">
      <w:pPr>
        <w:jc w:val="center"/>
        <w:rPr>
          <w:rFonts w:ascii="黑体" w:hAnsi="黑体" w:eastAsia="黑体"/>
          <w:sz w:val="28"/>
          <w:szCs w:val="28"/>
        </w:rPr>
      </w:pPr>
    </w:p>
    <w:p w14:paraId="55777807">
      <w:pPr>
        <w:jc w:val="center"/>
        <w:rPr>
          <w:rFonts w:ascii="黑体" w:hAnsi="黑体" w:eastAsia="黑体"/>
          <w:sz w:val="28"/>
          <w:szCs w:val="28"/>
        </w:rPr>
      </w:pPr>
    </w:p>
    <w:p w14:paraId="3E4EA77D">
      <w:pPr>
        <w:jc w:val="center"/>
        <w:rPr>
          <w:rFonts w:ascii="黑体" w:hAnsi="黑体" w:eastAsia="黑体"/>
          <w:sz w:val="28"/>
          <w:szCs w:val="28"/>
        </w:rPr>
      </w:pPr>
    </w:p>
    <w:p w14:paraId="39DD8A67">
      <w:pPr>
        <w:pStyle w:val="13"/>
        <w:jc w:val="center"/>
        <w:rPr>
          <w:rFonts w:ascii="方正小标宋_GBK" w:hAnsi="方正小标宋_GBK" w:eastAsia="方正小标宋_GBK" w:cs="方正小标宋_GBK"/>
          <w:sz w:val="84"/>
          <w:szCs w:val="84"/>
        </w:rPr>
      </w:pPr>
    </w:p>
    <w:p w14:paraId="5AC8ECDB">
      <w:pPr>
        <w:pStyle w:val="13"/>
        <w:jc w:val="center"/>
        <w:rPr>
          <w:rFonts w:ascii="方正小标宋_GBK" w:hAnsi="方正小标宋_GBK" w:eastAsia="方正小标宋_GBK" w:cs="方正小标宋_GBK"/>
          <w:sz w:val="52"/>
          <w:szCs w:val="52"/>
        </w:rPr>
      </w:pPr>
    </w:p>
    <w:p w14:paraId="3418B467">
      <w:pPr>
        <w:pStyle w:val="13"/>
        <w:jc w:val="center"/>
        <w:rPr>
          <w:rFonts w:ascii="方正小标宋_GBK" w:hAnsi="方正小标宋_GBK" w:eastAsia="方正小标宋_GBK" w:cs="方正小标宋_GBK"/>
          <w:sz w:val="52"/>
          <w:szCs w:val="52"/>
        </w:rPr>
      </w:pPr>
    </w:p>
    <w:p w14:paraId="4DAFFAE5">
      <w:pPr>
        <w:pStyle w:val="13"/>
        <w:jc w:val="center"/>
        <w:rPr>
          <w:rFonts w:ascii="方正小标宋_GBK" w:hAnsi="方正小标宋_GBK" w:eastAsia="方正小标宋_GBK" w:cs="方正小标宋_GBK"/>
          <w:sz w:val="52"/>
          <w:szCs w:val="52"/>
        </w:rPr>
      </w:pPr>
    </w:p>
    <w:p w14:paraId="6E6C86A9">
      <w:pPr>
        <w:pStyle w:val="13"/>
        <w:jc w:val="center"/>
        <w:rPr>
          <w:rFonts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第二部分</w:t>
      </w:r>
    </w:p>
    <w:p w14:paraId="3BD755DA">
      <w:pPr>
        <w:pStyle w:val="13"/>
        <w:jc w:val="center"/>
        <w:rPr>
          <w:rFonts w:ascii="方正小标宋_GBK" w:hAnsi="方正小标宋_GBK" w:eastAsia="方正小标宋_GBK" w:cs="方正小标宋_GBK"/>
          <w:sz w:val="52"/>
          <w:szCs w:val="52"/>
        </w:rPr>
      </w:pPr>
    </w:p>
    <w:p w14:paraId="38B24180">
      <w:pPr>
        <w:pStyle w:val="13"/>
        <w:jc w:val="center"/>
        <w:rPr>
          <w:rFonts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部门决算表</w:t>
      </w:r>
    </w:p>
    <w:p w14:paraId="14262CA1">
      <w:pPr>
        <w:jc w:val="center"/>
        <w:rPr>
          <w:sz w:val="72"/>
          <w:szCs w:val="72"/>
        </w:rPr>
      </w:pPr>
    </w:p>
    <w:p w14:paraId="46911B88">
      <w:pPr>
        <w:jc w:val="center"/>
        <w:rPr>
          <w:sz w:val="72"/>
          <w:szCs w:val="72"/>
        </w:rPr>
      </w:pPr>
    </w:p>
    <w:p w14:paraId="734B0CE5">
      <w:pPr>
        <w:jc w:val="center"/>
        <w:rPr>
          <w:sz w:val="72"/>
          <w:szCs w:val="72"/>
        </w:rPr>
      </w:pPr>
    </w:p>
    <w:p w14:paraId="08EEE88D">
      <w:pPr>
        <w:jc w:val="center"/>
        <w:rPr>
          <w:sz w:val="72"/>
          <w:szCs w:val="72"/>
        </w:rPr>
      </w:pPr>
    </w:p>
    <w:p w14:paraId="6BA25307">
      <w:pPr>
        <w:jc w:val="center"/>
        <w:rPr>
          <w:sz w:val="72"/>
          <w:szCs w:val="72"/>
        </w:rPr>
      </w:pPr>
    </w:p>
    <w:p w14:paraId="64D859B3">
      <w:pPr>
        <w:jc w:val="center"/>
        <w:rPr>
          <w:sz w:val="72"/>
          <w:szCs w:val="72"/>
        </w:rPr>
      </w:pPr>
    </w:p>
    <w:p w14:paraId="597C26CD">
      <w:pPr>
        <w:jc w:val="left"/>
        <w:rPr>
          <w:sz w:val="32"/>
          <w:szCs w:val="32"/>
        </w:rPr>
      </w:pPr>
    </w:p>
    <w:p w14:paraId="095C9383">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p w14:paraId="6DB1C7E9">
      <w:r>
        <w:object>
          <v:shape id="_x0000_i1025" o:spt="75" type="#_x0000_t75" style="height:554.25pt;width:762pt;" o:ole="t" filled="f" o:preferrelative="t" stroked="f" coordsize="21600,21600">
            <v:path/>
            <v:fill on="f" focussize="0,0"/>
            <v:stroke on="f" joinstyle="miter"/>
            <v:imagedata r:id="rId5" o:title=""/>
            <o:lock v:ext="edit" aspectratio="t"/>
            <w10:wrap type="none"/>
            <w10:anchorlock/>
          </v:shape>
          <o:OLEObject Type="Embed" ProgID="Excel.Sheet.12" ShapeID="_x0000_i1025" DrawAspect="Content" ObjectID="_1468075725" r:id="rId4">
            <o:LockedField>false</o:LockedField>
          </o:OLEObject>
        </w:object>
      </w:r>
      <w:r>
        <w:br w:type="page"/>
      </w:r>
    </w:p>
    <w:p w14:paraId="01072FC4">
      <w:pPr>
        <w:widowControl/>
        <w:jc w:val="left"/>
      </w:pPr>
      <w:r>
        <w:object>
          <v:shape id="_x0000_i1026" o:spt="75" type="#_x0000_t75" style="height:471.75pt;width:790.5pt;" o:ole="t" filled="f" o:preferrelative="t" stroked="f" coordsize="21600,21600">
            <v:path/>
            <v:fill on="f" focussize="0,0"/>
            <v:stroke on="f" joinstyle="miter"/>
            <v:imagedata r:id="rId7" o:title=""/>
            <o:lock v:ext="edit" aspectratio="t"/>
            <w10:wrap type="none"/>
            <w10:anchorlock/>
          </v:shape>
          <o:OLEObject Type="Embed" ProgID="Excel.Sheet.12" ShapeID="_x0000_i1026" DrawAspect="Content" ObjectID="_1468075726" r:id="rId6">
            <o:LockedField>false</o:LockedField>
          </o:OLEObject>
        </w:object>
      </w:r>
      <w:r>
        <w:br w:type="page"/>
      </w:r>
    </w:p>
    <w:p w14:paraId="56447728"/>
    <w:p w14:paraId="6659A36C">
      <w:pPr>
        <w:widowControl/>
        <w:jc w:val="center"/>
      </w:pPr>
      <w:r>
        <w:object>
          <v:shape id="_x0000_i1027" o:spt="75" type="#_x0000_t75" style="height:484.5pt;width:726pt;" o:ole="t" filled="f" o:preferrelative="t" stroked="f" coordsize="21600,21600">
            <v:path/>
            <v:fill on="f" focussize="0,0"/>
            <v:stroke on="f" joinstyle="miter"/>
            <v:imagedata r:id="rId9" o:title=""/>
            <o:lock v:ext="edit" aspectratio="t"/>
            <w10:wrap type="none"/>
            <w10:anchorlock/>
          </v:shape>
          <o:OLEObject Type="Embed" ProgID="Excel.Sheet.12" ShapeID="_x0000_i1027" DrawAspect="Content" ObjectID="_1468075727" r:id="rId8">
            <o:LockedField>false</o:LockedField>
          </o:OLEObject>
        </w:object>
      </w:r>
      <w:r>
        <w:br w:type="page"/>
      </w:r>
    </w:p>
    <w:p w14:paraId="6F9FF98E">
      <w:pPr>
        <w:jc w:val="center"/>
      </w:pPr>
      <w:r>
        <w:object>
          <v:shape id="_x0000_i1028" o:spt="75" type="#_x0000_t75" style="height:542.25pt;width:781.5pt;" o:ole="t" filled="f" o:preferrelative="t" stroked="f" coordsize="21600,21600">
            <v:path/>
            <v:fill on="f" focussize="0,0"/>
            <v:stroke on="f" joinstyle="miter"/>
            <v:imagedata r:id="rId11" o:title=""/>
            <o:lock v:ext="edit" aspectratio="t"/>
            <w10:wrap type="none"/>
            <w10:anchorlock/>
          </v:shape>
          <o:OLEObject Type="Embed" ProgID="Excel.Sheet.12" ShapeID="_x0000_i1028" DrawAspect="Content" ObjectID="_1468075728" r:id="rId10">
            <o:LockedField>false</o:LockedField>
          </o:OLEObject>
        </w:object>
      </w:r>
      <w:r>
        <w:object>
          <v:shape id="_x0000_i1029" o:spt="75" type="#_x0000_t75" style="height:393pt;width:574.5pt;" o:ole="t" filled="f" o:preferrelative="t" stroked="f" coordsize="21600,21600">
            <v:path/>
            <v:fill on="f" focussize="0,0"/>
            <v:stroke on="f" joinstyle="miter"/>
            <v:imagedata r:id="rId13" o:title=""/>
            <o:lock v:ext="edit" aspectratio="t"/>
            <w10:wrap type="none"/>
            <w10:anchorlock/>
          </v:shape>
          <o:OLEObject Type="Embed" ProgID="Excel.Sheet.12" ShapeID="_x0000_i1029" DrawAspect="Content" ObjectID="_1468075729" r:id="rId12">
            <o:LockedField>false</o:LockedField>
          </o:OLEObject>
        </w:object>
      </w:r>
    </w:p>
    <w:p w14:paraId="1DF47C08">
      <w:pPr>
        <w:widowControl/>
        <w:jc w:val="center"/>
      </w:pPr>
      <w:r>
        <w:br w:type="page"/>
      </w:r>
    </w:p>
    <w:p w14:paraId="5C170A95">
      <w:pPr>
        <w:widowControl/>
        <w:jc w:val="center"/>
      </w:pPr>
      <w:r>
        <w:object>
          <v:shape id="_x0000_i1030" o:spt="75" type="#_x0000_t75" style="height:543.75pt;width:786pt;" o:ole="t" filled="f" o:preferrelative="t" stroked="f" coordsize="21600,21600">
            <v:path/>
            <v:fill on="f" focussize="0,0"/>
            <v:stroke on="f" joinstyle="miter"/>
            <v:imagedata r:id="rId15" o:title=""/>
            <o:lock v:ext="edit" aspectratio="t"/>
            <w10:wrap type="none"/>
            <w10:anchorlock/>
          </v:shape>
          <o:OLEObject Type="Embed" ProgID="Excel.Sheet.12" ShapeID="_x0000_i1030" DrawAspect="Content" ObjectID="_1468075730" r:id="rId14">
            <o:LockedField>false</o:LockedField>
          </o:OLEObject>
        </w:object>
      </w:r>
      <w:bookmarkStart w:id="1" w:name="_MON_1788630029"/>
      <w:bookmarkEnd w:id="1"/>
      <w:r>
        <w:object>
          <v:shape id="_x0000_i1031" o:spt="75" type="#_x0000_t75" style="height:213pt;width:693pt;" o:ole="t" filled="f" o:preferrelative="t" stroked="f" coordsize="21600,21600">
            <v:path/>
            <v:fill on="f" focussize="0,0"/>
            <v:stroke on="f" joinstyle="miter"/>
            <v:imagedata r:id="rId17" o:title=""/>
            <o:lock v:ext="edit" aspectratio="t"/>
            <w10:wrap type="none"/>
            <w10:anchorlock/>
          </v:shape>
          <o:OLEObject Type="Embed" ProgID="Excel.Sheet.12" ShapeID="_x0000_i1031" DrawAspect="Content" ObjectID="_1468075731" r:id="rId16">
            <o:LockedField>false</o:LockedField>
          </o:OLEObject>
        </w:object>
      </w:r>
      <w:r>
        <w:br w:type="page"/>
      </w:r>
    </w:p>
    <w:p w14:paraId="4410E751">
      <w:pPr>
        <w:jc w:val="center"/>
      </w:pPr>
      <w:r>
        <w:object>
          <v:shape id="_x0000_i1032" o:spt="75" type="#_x0000_t75" style="height:192pt;width:669.75pt;" o:ole="t" filled="f" o:preferrelative="t" stroked="f" coordsize="21600,21600">
            <v:path/>
            <v:fill on="f" focussize="0,0"/>
            <v:stroke on="f" joinstyle="miter"/>
            <v:imagedata r:id="rId19" o:title=""/>
            <o:lock v:ext="edit" aspectratio="t"/>
            <w10:wrap type="none"/>
            <w10:anchorlock/>
          </v:shape>
          <o:OLEObject Type="Embed" ProgID="Excel.Sheet.12" ShapeID="_x0000_i1032" DrawAspect="Content" ObjectID="_1468075732" r:id="rId18">
            <o:LockedField>false</o:LockedField>
          </o:OLEObject>
        </w:object>
      </w:r>
    </w:p>
    <w:p w14:paraId="26A9B4A1">
      <w:pPr>
        <w:widowControl/>
        <w:jc w:val="left"/>
      </w:pPr>
      <w:r>
        <w:br w:type="page"/>
      </w:r>
    </w:p>
    <w:p w14:paraId="19023530">
      <w:r>
        <w:object>
          <v:shape id="_x0000_i1033" o:spt="75" type="#_x0000_t75" style="height:175.5pt;width:798.75pt;" o:ole="t" filled="f" o:preferrelative="t" stroked="f" coordsize="21600,21600">
            <v:path/>
            <v:fill on="f" focussize="0,0"/>
            <v:stroke on="f" joinstyle="miter"/>
            <v:imagedata r:id="rId21" o:title=""/>
            <o:lock v:ext="edit" aspectratio="t"/>
            <w10:wrap type="none"/>
            <w10:anchorlock/>
          </v:shape>
          <o:OLEObject Type="Embed" ProgID="Excel.Sheet.12" ShapeID="_x0000_i1033" DrawAspect="Content" ObjectID="_1468075733" r:id="rId20">
            <o:LockedField>false</o:LockedField>
          </o:OLEObject>
        </w:object>
      </w:r>
      <w:r>
        <w:br w:type="page"/>
      </w:r>
    </w:p>
    <w:p w14:paraId="3E58DB65">
      <w:pPr>
        <w:widowControl/>
        <w:jc w:val="left"/>
        <w:rPr>
          <w:sz w:val="72"/>
          <w:szCs w:val="72"/>
        </w:rPr>
        <w:sectPr>
          <w:pgSz w:w="16838" w:h="11906" w:orient="landscape"/>
          <w:pgMar w:top="720" w:right="720" w:bottom="720" w:left="720" w:header="851" w:footer="992" w:gutter="0"/>
          <w:cols w:space="425" w:num="1"/>
          <w:docGrid w:type="lines" w:linePitch="312" w:charSpace="0"/>
        </w:sectPr>
      </w:pPr>
    </w:p>
    <w:p w14:paraId="7C3EC1AA">
      <w:pPr>
        <w:pStyle w:val="13"/>
        <w:rPr>
          <w:sz w:val="72"/>
          <w:szCs w:val="72"/>
        </w:rPr>
      </w:pPr>
    </w:p>
    <w:p w14:paraId="25E16D22">
      <w:pPr>
        <w:pStyle w:val="13"/>
        <w:jc w:val="center"/>
        <w:rPr>
          <w:rFonts w:ascii="方正小标宋_GBK" w:hAnsi="方正小标宋_GBK" w:eastAsia="方正小标宋_GBK" w:cs="方正小标宋_GBK"/>
          <w:sz w:val="72"/>
          <w:szCs w:val="72"/>
        </w:rPr>
      </w:pPr>
    </w:p>
    <w:p w14:paraId="291F61E8">
      <w:pPr>
        <w:pStyle w:val="13"/>
        <w:jc w:val="center"/>
        <w:rPr>
          <w:rFonts w:ascii="方正小标宋_GBK" w:hAnsi="方正小标宋_GBK" w:eastAsia="方正小标宋_GBK" w:cs="方正小标宋_GBK"/>
          <w:sz w:val="72"/>
          <w:szCs w:val="72"/>
        </w:rPr>
      </w:pPr>
    </w:p>
    <w:p w14:paraId="373F3A88">
      <w:pPr>
        <w:pStyle w:val="13"/>
        <w:jc w:val="center"/>
        <w:rPr>
          <w:rFonts w:ascii="方正小标宋_GBK" w:hAnsi="方正小标宋_GBK" w:eastAsia="方正小标宋_GBK" w:cs="方正小标宋_GBK"/>
          <w:sz w:val="72"/>
          <w:szCs w:val="72"/>
        </w:rPr>
      </w:pPr>
    </w:p>
    <w:p w14:paraId="7EF85C01">
      <w:pPr>
        <w:pStyle w:val="13"/>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57DAB469">
      <w:pPr>
        <w:pStyle w:val="13"/>
        <w:jc w:val="center"/>
        <w:rPr>
          <w:rFonts w:ascii="方正小标宋_GBK" w:hAnsi="方正小标宋_GBK" w:eastAsia="方正小标宋_GBK" w:cs="方正小标宋_GBK"/>
          <w:sz w:val="70"/>
          <w:szCs w:val="70"/>
        </w:rPr>
      </w:pPr>
    </w:p>
    <w:p w14:paraId="0A8F347D">
      <w:pPr>
        <w:pStyle w:val="13"/>
        <w:jc w:val="center"/>
        <w:rPr>
          <w:rFonts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2023年度部门决算情况说明</w:t>
      </w:r>
    </w:p>
    <w:p w14:paraId="78B316DA">
      <w:pPr>
        <w:widowControl/>
        <w:jc w:val="left"/>
        <w:rPr>
          <w:rFonts w:asciiTheme="minorEastAsia" w:hAnsiTheme="minorEastAsia"/>
          <w:sz w:val="32"/>
          <w:szCs w:val="32"/>
        </w:rPr>
      </w:pPr>
      <w:r>
        <w:rPr>
          <w:rFonts w:hint="eastAsia" w:ascii="方正小标宋_GBK" w:hAnsi="方正小标宋_GBK" w:eastAsia="方正小标宋_GBK" w:cs="方正小标宋_GBK"/>
          <w:sz w:val="70"/>
          <w:szCs w:val="70"/>
        </w:rPr>
        <w:br w:type="page"/>
      </w:r>
    </w:p>
    <w:p w14:paraId="2F14C073">
      <w:pPr>
        <w:pStyle w:val="13"/>
        <w:spacing w:line="600" w:lineRule="exact"/>
        <w:ind w:firstLine="640" w:firstLineChars="200"/>
        <w:rPr>
          <w:rFonts w:hAnsi="黑体"/>
          <w:bCs/>
          <w:sz w:val="32"/>
          <w:szCs w:val="32"/>
        </w:rPr>
      </w:pPr>
      <w:r>
        <w:rPr>
          <w:rFonts w:hint="eastAsia" w:hAnsi="黑体"/>
          <w:bCs/>
          <w:sz w:val="32"/>
          <w:szCs w:val="32"/>
        </w:rPr>
        <w:t>一、收入支出决算总体情况说明</w:t>
      </w:r>
    </w:p>
    <w:p w14:paraId="068422F1">
      <w:pPr>
        <w:widowControl/>
        <w:spacing w:line="600" w:lineRule="exact"/>
        <w:ind w:firstLine="480" w:firstLineChars="150"/>
        <w:rPr>
          <w:rFonts w:ascii="仿宋" w:hAnsi="仿宋" w:eastAsia="仿宋" w:cs="仿宋"/>
          <w:sz w:val="32"/>
          <w:szCs w:val="32"/>
        </w:rPr>
      </w:pPr>
      <w:r>
        <w:rPr>
          <w:rFonts w:hint="eastAsia" w:ascii="仿宋" w:hAnsi="仿宋" w:eastAsia="仿宋" w:cs="仿宋"/>
          <w:sz w:val="32"/>
          <w:szCs w:val="32"/>
        </w:rPr>
        <w:t>2023年度收、支总计781.06万元。与上年相比，增加226.27万元，增长40.78%，主要是因为原怀化市污水处理监督管理办公室于2023年7月并入事务中心，人员增加13人，工资福利支出增加，公用经费增加，项目拨款增加。</w:t>
      </w:r>
    </w:p>
    <w:p w14:paraId="35D7350C">
      <w:pPr>
        <w:widowControl/>
        <w:spacing w:line="600" w:lineRule="exact"/>
        <w:ind w:firstLine="640" w:firstLineChars="200"/>
        <w:rPr>
          <w:rFonts w:ascii="黑体" w:hAnsi="黑体" w:eastAsia="黑体" w:cs="黑体"/>
          <w:bCs/>
          <w:color w:val="000000"/>
          <w:kern w:val="0"/>
          <w:sz w:val="32"/>
          <w:szCs w:val="32"/>
        </w:rPr>
      </w:pPr>
      <w:r>
        <w:rPr>
          <w:rFonts w:hint="eastAsia" w:ascii="黑体" w:hAnsi="黑体" w:eastAsia="黑体" w:cs="黑体"/>
          <w:bCs/>
          <w:color w:val="000000"/>
          <w:kern w:val="0"/>
          <w:sz w:val="32"/>
          <w:szCs w:val="32"/>
        </w:rPr>
        <w:t>二、收入决算情况说明</w:t>
      </w:r>
    </w:p>
    <w:p w14:paraId="245495D7">
      <w:pPr>
        <w:pStyle w:val="13"/>
        <w:spacing w:line="600" w:lineRule="exact"/>
        <w:ind w:firstLine="640" w:firstLineChars="200"/>
        <w:rPr>
          <w:rFonts w:hAnsi="黑体"/>
          <w:bCs/>
          <w:sz w:val="32"/>
          <w:szCs w:val="32"/>
        </w:rPr>
      </w:pPr>
      <w:r>
        <w:rPr>
          <w:rFonts w:hint="eastAsia" w:ascii="仿宋" w:hAnsi="仿宋" w:eastAsia="仿宋" w:cs="仿宋"/>
          <w:color w:val="auto"/>
          <w:kern w:val="2"/>
          <w:sz w:val="32"/>
          <w:szCs w:val="32"/>
        </w:rPr>
        <w:t xml:space="preserve">2023年度收入合计781.06万元，其中：财政拨款收入780.73万元，占99.96%；上级补助收入0万元，占0%；事业收入0万元，占0%；经营收入0万元，占0%；附属单位上缴收入0万元，占0%；其他收入0.33万元，占0.04%。 </w:t>
      </w:r>
      <w:r>
        <w:rPr>
          <w:rFonts w:ascii="仿宋" w:hAnsi="仿宋" w:eastAsia="仿宋" w:cs="仿宋"/>
          <w:color w:val="auto"/>
          <w:kern w:val="2"/>
          <w:sz w:val="32"/>
          <w:szCs w:val="32"/>
        </w:rPr>
        <w:t xml:space="preserve">                              </w:t>
      </w:r>
      <w:r>
        <w:rPr>
          <w:rFonts w:hint="eastAsia" w:hAnsi="黑体"/>
          <w:bCs/>
          <w:sz w:val="32"/>
          <w:szCs w:val="32"/>
        </w:rPr>
        <w:t>三、支出决算情况说明</w:t>
      </w:r>
    </w:p>
    <w:p w14:paraId="5C894066">
      <w:pPr>
        <w:pStyle w:val="13"/>
        <w:spacing w:line="600" w:lineRule="exact"/>
        <w:ind w:firstLine="640" w:firstLineChars="200"/>
        <w:rPr>
          <w:rFonts w:ascii="仿宋" w:hAnsi="仿宋" w:eastAsia="仿宋" w:cs="仿宋"/>
          <w:color w:val="auto"/>
          <w:kern w:val="2"/>
          <w:sz w:val="32"/>
          <w:szCs w:val="32"/>
        </w:rPr>
      </w:pPr>
      <w:r>
        <w:rPr>
          <w:rFonts w:hint="eastAsia" w:ascii="仿宋" w:hAnsi="仿宋" w:eastAsia="仿宋" w:cs="仿宋"/>
          <w:color w:val="auto"/>
          <w:kern w:val="2"/>
          <w:sz w:val="32"/>
          <w:szCs w:val="32"/>
        </w:rPr>
        <w:t>2023年度支出合计781.06万元，其中：基本支出483.19万元，占61.86%；项目支出297.87万元，占38.14%；上缴上级支出0万元，占0%；经营支出0万元，占0%；对附属单位补助支出0万元，占0%。</w:t>
      </w:r>
    </w:p>
    <w:p w14:paraId="18C87771">
      <w:pPr>
        <w:pStyle w:val="13"/>
        <w:numPr>
          <w:ilvl w:val="0"/>
          <w:numId w:val="2"/>
        </w:numPr>
        <w:spacing w:line="600" w:lineRule="exact"/>
        <w:ind w:firstLine="640" w:firstLineChars="200"/>
        <w:rPr>
          <w:rFonts w:hint="eastAsia" w:hAnsi="黑体"/>
          <w:bCs/>
          <w:sz w:val="32"/>
          <w:szCs w:val="32"/>
        </w:rPr>
      </w:pPr>
      <w:r>
        <w:rPr>
          <w:rFonts w:hint="eastAsia" w:hAnsi="黑体"/>
          <w:bCs/>
          <w:sz w:val="32"/>
          <w:szCs w:val="32"/>
        </w:rPr>
        <w:t>财政拨款收入支出决算总体情况说明</w:t>
      </w:r>
    </w:p>
    <w:p w14:paraId="0516D4F1">
      <w:pPr>
        <w:pStyle w:val="13"/>
        <w:numPr>
          <w:numId w:val="0"/>
        </w:numPr>
        <w:spacing w:line="600" w:lineRule="exact"/>
        <w:ind w:firstLine="640" w:firstLineChars="200"/>
        <w:rPr>
          <w:rFonts w:ascii="仿宋" w:hAnsi="仿宋" w:eastAsia="仿宋" w:cs="仿宋"/>
          <w:color w:val="auto"/>
          <w:kern w:val="2"/>
          <w:sz w:val="32"/>
          <w:szCs w:val="32"/>
        </w:rPr>
      </w:pPr>
      <w:r>
        <w:rPr>
          <w:rFonts w:hint="eastAsia" w:ascii="Times New Roman" w:hAnsi="Times New Roman" w:eastAsia="仿宋_GB2312"/>
          <w:sz w:val="32"/>
          <w:szCs w:val="32"/>
        </w:rPr>
        <w:t xml:space="preserve"> </w:t>
      </w:r>
      <w:r>
        <w:rPr>
          <w:rFonts w:hint="eastAsia" w:ascii="仿宋" w:hAnsi="仿宋" w:eastAsia="仿宋" w:cs="仿宋"/>
          <w:color w:val="auto"/>
          <w:kern w:val="2"/>
          <w:sz w:val="32"/>
          <w:szCs w:val="32"/>
        </w:rPr>
        <w:t>2023年度财政拨款收、支总计780.73万元，与上年相比，增加273.59万元,增长53.95%，主要是因为原怀化市污水处理监督管理办公室于2023年7月并入事务中心，在职人员增加13人，工资福利支出增加，公用经费增加，项目拨款增加。</w:t>
      </w:r>
    </w:p>
    <w:p w14:paraId="380F87C9">
      <w:pPr>
        <w:pStyle w:val="13"/>
        <w:spacing w:line="600" w:lineRule="exact"/>
        <w:ind w:firstLine="640" w:firstLineChars="200"/>
        <w:rPr>
          <w:rFonts w:hAnsi="黑体"/>
          <w:bCs/>
          <w:sz w:val="32"/>
          <w:szCs w:val="32"/>
        </w:rPr>
      </w:pPr>
      <w:r>
        <w:rPr>
          <w:rFonts w:hint="eastAsia" w:hAnsi="黑体"/>
          <w:bCs/>
          <w:sz w:val="32"/>
          <w:szCs w:val="32"/>
        </w:rPr>
        <w:t>五、一般公共预算财政拨款支出决算情况说明</w:t>
      </w:r>
    </w:p>
    <w:p w14:paraId="073FF73B">
      <w:pPr>
        <w:pStyle w:val="13"/>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（一）一般公共预算财政拨款支出决算总体情况</w:t>
      </w:r>
    </w:p>
    <w:p w14:paraId="399795B4">
      <w:pPr>
        <w:pStyle w:val="13"/>
        <w:spacing w:line="600" w:lineRule="exact"/>
        <w:ind w:firstLine="960" w:firstLineChars="300"/>
        <w:rPr>
          <w:rFonts w:ascii="仿宋" w:hAnsi="仿宋" w:eastAsia="仿宋" w:cs="仿宋"/>
          <w:color w:val="auto"/>
          <w:kern w:val="2"/>
          <w:sz w:val="32"/>
          <w:szCs w:val="32"/>
        </w:rPr>
      </w:pPr>
      <w:r>
        <w:rPr>
          <w:rFonts w:hint="eastAsia" w:ascii="仿宋" w:hAnsi="仿宋" w:eastAsia="仿宋" w:cs="仿宋"/>
          <w:color w:val="auto"/>
          <w:kern w:val="2"/>
          <w:sz w:val="32"/>
          <w:szCs w:val="32"/>
        </w:rPr>
        <w:t>2023年度一般公共预算财政拨款支出675.92万元，占本年财政拨款支出合计的86.58%，与上年相比，一般公共预算财政拨款支出增加168.78万元，增长33.28%，主要原因是原怀化市污水处理监督管理办公室于2023年7月并入事务中心，在职人员增加13人，工资福利支出增加，公用经费增加，项目拨款增加。</w:t>
      </w:r>
    </w:p>
    <w:p w14:paraId="176EE0AA">
      <w:pPr>
        <w:pStyle w:val="13"/>
        <w:spacing w:line="600" w:lineRule="exact"/>
        <w:ind w:firstLine="480" w:firstLineChars="150"/>
        <w:rPr>
          <w:rFonts w:ascii="楷体" w:hAnsi="楷体" w:eastAsia="楷体" w:cs="楷体"/>
          <w:bCs/>
          <w:sz w:val="32"/>
          <w:szCs w:val="32"/>
        </w:rPr>
      </w:pPr>
      <w:r>
        <w:rPr>
          <w:rFonts w:hint="eastAsia" w:ascii="楷体" w:hAnsi="楷体" w:eastAsia="楷体" w:cs="楷体"/>
          <w:bCs/>
          <w:sz w:val="32"/>
          <w:szCs w:val="32"/>
        </w:rPr>
        <w:t>（二）一般公共预算财政拨款支出决算结构情况</w:t>
      </w:r>
    </w:p>
    <w:p w14:paraId="62972547">
      <w:pPr>
        <w:pStyle w:val="13"/>
        <w:spacing w:line="600" w:lineRule="exact"/>
        <w:ind w:firstLine="800" w:firstLineChars="250"/>
        <w:rPr>
          <w:rFonts w:ascii="仿宋" w:hAnsi="仿宋" w:eastAsia="仿宋" w:cs="仿宋"/>
          <w:color w:val="auto"/>
          <w:kern w:val="2"/>
          <w:sz w:val="32"/>
          <w:szCs w:val="32"/>
        </w:rPr>
      </w:pPr>
      <w:r>
        <w:rPr>
          <w:rFonts w:hint="eastAsia" w:ascii="仿宋" w:hAnsi="仿宋" w:eastAsia="仿宋" w:cs="仿宋"/>
          <w:color w:val="auto"/>
          <w:kern w:val="2"/>
          <w:sz w:val="32"/>
          <w:szCs w:val="32"/>
        </w:rPr>
        <w:t>2023年度一般公共预算财政拨款支出675.92万元，主要用于以下方面：社会保障和就业（类）支出73.88万元，占10.93%；卫生健康（类）支出21.21万元，占3.14%；城乡社区（类）支出580.8</w:t>
      </w:r>
      <w:r>
        <w:rPr>
          <w:rFonts w:ascii="仿宋" w:hAnsi="仿宋" w:eastAsia="仿宋" w:cs="仿宋"/>
          <w:color w:val="auto"/>
          <w:kern w:val="2"/>
          <w:sz w:val="32"/>
          <w:szCs w:val="32"/>
        </w:rPr>
        <w:t>4</w:t>
      </w:r>
      <w:r>
        <w:rPr>
          <w:rFonts w:hint="eastAsia" w:ascii="仿宋" w:hAnsi="仿宋" w:eastAsia="仿宋" w:cs="仿宋"/>
          <w:color w:val="auto"/>
          <w:kern w:val="2"/>
          <w:sz w:val="32"/>
          <w:szCs w:val="32"/>
        </w:rPr>
        <w:t>万元，占85.93%。</w:t>
      </w:r>
    </w:p>
    <w:p w14:paraId="5ABD9997">
      <w:pPr>
        <w:pStyle w:val="13"/>
        <w:spacing w:line="600" w:lineRule="exact"/>
        <w:ind w:firstLine="800" w:firstLineChars="250"/>
        <w:rPr>
          <w:rFonts w:ascii="楷体" w:hAnsi="楷体" w:eastAsia="楷体" w:cs="楷体"/>
          <w:bCs/>
          <w:sz w:val="32"/>
          <w:szCs w:val="32"/>
        </w:rPr>
      </w:pPr>
      <w:r>
        <w:rPr>
          <w:rFonts w:hint="eastAsia" w:ascii="楷体" w:hAnsi="楷体" w:eastAsia="楷体" w:cs="楷体"/>
          <w:bCs/>
          <w:sz w:val="32"/>
          <w:szCs w:val="32"/>
        </w:rPr>
        <w:t>（三）一般公共预算财政拨款支出决算具体情况</w:t>
      </w:r>
    </w:p>
    <w:p w14:paraId="14E462F2">
      <w:pPr>
        <w:pStyle w:val="13"/>
        <w:spacing w:line="600" w:lineRule="exact"/>
        <w:ind w:firstLine="800" w:firstLineChars="250"/>
        <w:rPr>
          <w:rFonts w:ascii="仿宋" w:hAnsi="仿宋" w:eastAsia="仿宋" w:cs="仿宋"/>
          <w:color w:val="auto"/>
          <w:kern w:val="2"/>
          <w:sz w:val="32"/>
          <w:szCs w:val="32"/>
        </w:rPr>
      </w:pPr>
      <w:r>
        <w:rPr>
          <w:rFonts w:hint="eastAsia" w:ascii="仿宋" w:hAnsi="仿宋" w:eastAsia="仿宋" w:cs="仿宋"/>
          <w:color w:val="auto"/>
          <w:kern w:val="2"/>
          <w:sz w:val="32"/>
          <w:szCs w:val="32"/>
        </w:rPr>
        <w:t>2023年度一般公共预算财政拨款支出年初预算数为</w:t>
      </w:r>
      <w:r>
        <w:rPr>
          <w:rFonts w:ascii="仿宋" w:hAnsi="仿宋" w:eastAsia="仿宋" w:cs="仿宋"/>
          <w:color w:val="auto"/>
          <w:kern w:val="2"/>
          <w:sz w:val="32"/>
          <w:szCs w:val="32"/>
        </w:rPr>
        <w:t>568.61</w:t>
      </w:r>
      <w:r>
        <w:rPr>
          <w:rFonts w:hint="eastAsia" w:ascii="仿宋" w:hAnsi="仿宋" w:eastAsia="仿宋" w:cs="仿宋"/>
          <w:color w:val="auto"/>
          <w:kern w:val="2"/>
          <w:sz w:val="32"/>
          <w:szCs w:val="32"/>
        </w:rPr>
        <w:t>万元，支出决算数为</w:t>
      </w:r>
      <w:r>
        <w:rPr>
          <w:rFonts w:ascii="仿宋" w:hAnsi="仿宋" w:eastAsia="仿宋" w:cs="仿宋"/>
          <w:color w:val="auto"/>
          <w:kern w:val="2"/>
          <w:sz w:val="32"/>
          <w:szCs w:val="32"/>
        </w:rPr>
        <w:t>675.92</w:t>
      </w:r>
      <w:r>
        <w:rPr>
          <w:rFonts w:hint="eastAsia" w:ascii="仿宋" w:hAnsi="仿宋" w:eastAsia="仿宋" w:cs="仿宋"/>
          <w:color w:val="auto"/>
          <w:kern w:val="2"/>
          <w:sz w:val="32"/>
          <w:szCs w:val="32"/>
        </w:rPr>
        <w:t>万元，完成年初预算的</w:t>
      </w:r>
      <w:r>
        <w:rPr>
          <w:rFonts w:ascii="仿宋" w:hAnsi="仿宋" w:eastAsia="仿宋" w:cs="仿宋"/>
          <w:color w:val="auto"/>
          <w:kern w:val="2"/>
          <w:sz w:val="32"/>
          <w:szCs w:val="32"/>
        </w:rPr>
        <w:t>118.87</w:t>
      </w:r>
      <w:r>
        <w:rPr>
          <w:rFonts w:hint="eastAsia" w:ascii="仿宋" w:hAnsi="仿宋" w:eastAsia="仿宋" w:cs="仿宋"/>
          <w:color w:val="auto"/>
          <w:kern w:val="2"/>
          <w:sz w:val="32"/>
          <w:szCs w:val="32"/>
        </w:rPr>
        <w:t>%，其中：</w:t>
      </w:r>
    </w:p>
    <w:p w14:paraId="506740BA">
      <w:pPr>
        <w:pStyle w:val="13"/>
        <w:autoSpaceDE/>
        <w:autoSpaceDN/>
        <w:spacing w:line="600" w:lineRule="exact"/>
        <w:ind w:firstLine="640" w:firstLineChars="200"/>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1、社会保障和就业支出（类）行政事业单位养老支出（款）机关事业单位基本养老保险缴费支出（项）。</w:t>
      </w:r>
    </w:p>
    <w:p w14:paraId="15F4FDA0">
      <w:pPr>
        <w:pStyle w:val="13"/>
        <w:spacing w:line="600" w:lineRule="exact"/>
        <w:ind w:left="315" w:leftChars="150" w:firstLine="320" w:firstLineChars="100"/>
        <w:rPr>
          <w:rFonts w:ascii="仿宋" w:hAnsi="仿宋" w:eastAsia="仿宋" w:cs="仿宋"/>
          <w:color w:val="auto"/>
          <w:kern w:val="2"/>
          <w:sz w:val="32"/>
          <w:szCs w:val="32"/>
        </w:rPr>
      </w:pPr>
      <w:r>
        <w:rPr>
          <w:rFonts w:hint="eastAsia" w:ascii="仿宋" w:hAnsi="仿宋" w:eastAsia="仿宋" w:cs="仿宋"/>
          <w:color w:val="auto"/>
          <w:kern w:val="2"/>
          <w:sz w:val="32"/>
          <w:szCs w:val="32"/>
        </w:rPr>
        <w:t>年初预算为</w:t>
      </w:r>
      <w:r>
        <w:rPr>
          <w:rFonts w:ascii="仿宋" w:hAnsi="仿宋" w:eastAsia="仿宋" w:cs="仿宋"/>
          <w:color w:val="auto"/>
          <w:kern w:val="2"/>
          <w:sz w:val="32"/>
          <w:szCs w:val="32"/>
        </w:rPr>
        <w:t>41.13</w:t>
      </w:r>
      <w:r>
        <w:rPr>
          <w:rFonts w:hint="eastAsia" w:ascii="仿宋" w:hAnsi="仿宋" w:eastAsia="仿宋" w:cs="仿宋"/>
          <w:color w:val="auto"/>
          <w:kern w:val="2"/>
          <w:sz w:val="32"/>
          <w:szCs w:val="32"/>
        </w:rPr>
        <w:t>万元，支出决算为</w:t>
      </w:r>
      <w:r>
        <w:rPr>
          <w:rFonts w:ascii="仿宋" w:hAnsi="仿宋" w:eastAsia="仿宋" w:cs="仿宋"/>
          <w:color w:val="auto"/>
          <w:kern w:val="2"/>
          <w:sz w:val="32"/>
          <w:szCs w:val="32"/>
        </w:rPr>
        <w:t>52.09</w:t>
      </w:r>
      <w:r>
        <w:rPr>
          <w:rFonts w:hint="eastAsia" w:ascii="仿宋" w:hAnsi="仿宋" w:eastAsia="仿宋" w:cs="仿宋"/>
          <w:color w:val="auto"/>
          <w:kern w:val="2"/>
          <w:sz w:val="32"/>
          <w:szCs w:val="32"/>
        </w:rPr>
        <w:t>万元，</w:t>
      </w:r>
      <w:bookmarkStart w:id="2" w:name="_Hlk176632184"/>
      <w:r>
        <w:rPr>
          <w:rFonts w:hint="eastAsia" w:ascii="仿宋" w:hAnsi="仿宋" w:eastAsia="仿宋" w:cs="仿宋"/>
          <w:color w:val="auto"/>
          <w:kern w:val="2"/>
          <w:sz w:val="32"/>
          <w:szCs w:val="32"/>
        </w:rPr>
        <w:t>完成年初预算的</w:t>
      </w:r>
      <w:bookmarkEnd w:id="2"/>
      <w:r>
        <w:rPr>
          <w:rFonts w:ascii="仿宋" w:hAnsi="仿宋" w:eastAsia="仿宋" w:cs="仿宋"/>
          <w:color w:val="auto"/>
          <w:kern w:val="2"/>
          <w:sz w:val="32"/>
          <w:szCs w:val="32"/>
        </w:rPr>
        <w:t>126.65</w:t>
      </w:r>
      <w:r>
        <w:rPr>
          <w:rFonts w:hint="eastAsia" w:ascii="仿宋" w:hAnsi="仿宋" w:eastAsia="仿宋" w:cs="仿宋"/>
          <w:color w:val="auto"/>
          <w:kern w:val="2"/>
          <w:sz w:val="32"/>
          <w:szCs w:val="32"/>
        </w:rPr>
        <w:t>%，决算数大于年初预算数的主要原因是：</w:t>
      </w:r>
      <w:bookmarkStart w:id="3" w:name="_Hlk176632600"/>
      <w:r>
        <w:rPr>
          <w:rFonts w:hint="eastAsia" w:ascii="仿宋" w:hAnsi="仿宋" w:eastAsia="仿宋" w:cs="仿宋"/>
          <w:color w:val="auto"/>
          <w:kern w:val="2"/>
          <w:sz w:val="32"/>
          <w:szCs w:val="32"/>
        </w:rPr>
        <w:t>主要是因为原怀化市污水处理监督管理办公室于2</w:t>
      </w:r>
      <w:r>
        <w:rPr>
          <w:rFonts w:ascii="仿宋" w:hAnsi="仿宋" w:eastAsia="仿宋" w:cs="仿宋"/>
          <w:color w:val="auto"/>
          <w:kern w:val="2"/>
          <w:sz w:val="32"/>
          <w:szCs w:val="32"/>
        </w:rPr>
        <w:t>023</w:t>
      </w:r>
      <w:r>
        <w:rPr>
          <w:rFonts w:hint="eastAsia" w:ascii="仿宋" w:hAnsi="仿宋" w:eastAsia="仿宋" w:cs="仿宋"/>
          <w:color w:val="auto"/>
          <w:kern w:val="2"/>
          <w:sz w:val="32"/>
          <w:szCs w:val="32"/>
        </w:rPr>
        <w:t>年7月并入事务中心，在职人员增加1</w:t>
      </w:r>
      <w:r>
        <w:rPr>
          <w:rFonts w:ascii="仿宋" w:hAnsi="仿宋" w:eastAsia="仿宋" w:cs="仿宋"/>
          <w:color w:val="auto"/>
          <w:kern w:val="2"/>
          <w:sz w:val="32"/>
          <w:szCs w:val="32"/>
        </w:rPr>
        <w:t>3</w:t>
      </w:r>
      <w:r>
        <w:rPr>
          <w:rFonts w:hint="eastAsia" w:ascii="仿宋" w:hAnsi="仿宋" w:eastAsia="仿宋" w:cs="仿宋"/>
          <w:color w:val="auto"/>
          <w:kern w:val="2"/>
          <w:sz w:val="32"/>
          <w:szCs w:val="32"/>
        </w:rPr>
        <w:t>人，单位基本养老保险缴费支出增加。</w:t>
      </w:r>
    </w:p>
    <w:bookmarkEnd w:id="3"/>
    <w:p w14:paraId="703F5A26">
      <w:pPr>
        <w:pStyle w:val="13"/>
        <w:autoSpaceDE/>
        <w:autoSpaceDN/>
        <w:spacing w:line="600" w:lineRule="exact"/>
        <w:ind w:firstLine="640" w:firstLineChars="200"/>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2、社会保障和就业支出（类）行政事业单位养老支出（款）其他行政事业单位养老支出（项）。</w:t>
      </w:r>
    </w:p>
    <w:p w14:paraId="6F350D88">
      <w:pPr>
        <w:pStyle w:val="13"/>
        <w:spacing w:line="600" w:lineRule="exact"/>
        <w:ind w:firstLine="800" w:firstLineChars="250"/>
        <w:rPr>
          <w:rFonts w:ascii="仿宋" w:hAnsi="仿宋" w:eastAsia="仿宋" w:cs="仿宋"/>
          <w:color w:val="auto"/>
          <w:kern w:val="2"/>
          <w:sz w:val="32"/>
          <w:szCs w:val="32"/>
        </w:rPr>
      </w:pPr>
      <w:r>
        <w:rPr>
          <w:rFonts w:hint="eastAsia" w:ascii="仿宋" w:hAnsi="仿宋" w:eastAsia="仿宋" w:cs="仿宋"/>
          <w:color w:val="auto"/>
          <w:kern w:val="2"/>
          <w:sz w:val="32"/>
          <w:szCs w:val="32"/>
        </w:rPr>
        <w:t>年初预算为</w:t>
      </w:r>
      <w:r>
        <w:rPr>
          <w:rFonts w:ascii="仿宋" w:hAnsi="仿宋" w:eastAsia="仿宋" w:cs="仿宋"/>
          <w:color w:val="auto"/>
          <w:kern w:val="2"/>
          <w:sz w:val="32"/>
          <w:szCs w:val="32"/>
        </w:rPr>
        <w:t>21</w:t>
      </w:r>
      <w:r>
        <w:rPr>
          <w:rFonts w:hint="eastAsia" w:ascii="仿宋" w:hAnsi="仿宋" w:eastAsia="仿宋" w:cs="仿宋"/>
          <w:color w:val="auto"/>
          <w:kern w:val="2"/>
          <w:sz w:val="32"/>
          <w:szCs w:val="32"/>
        </w:rPr>
        <w:t>万元，支出决算为</w:t>
      </w:r>
      <w:r>
        <w:rPr>
          <w:rFonts w:ascii="仿宋" w:hAnsi="仿宋" w:eastAsia="仿宋" w:cs="仿宋"/>
          <w:color w:val="auto"/>
          <w:kern w:val="2"/>
          <w:sz w:val="32"/>
          <w:szCs w:val="32"/>
        </w:rPr>
        <w:t>21.79</w:t>
      </w:r>
      <w:r>
        <w:rPr>
          <w:rFonts w:hint="eastAsia" w:ascii="仿宋" w:hAnsi="仿宋" w:eastAsia="仿宋" w:cs="仿宋"/>
          <w:color w:val="auto"/>
          <w:kern w:val="2"/>
          <w:sz w:val="32"/>
          <w:szCs w:val="32"/>
        </w:rPr>
        <w:t>万元，</w:t>
      </w:r>
      <w:bookmarkStart w:id="4" w:name="_Hlk176632539"/>
      <w:r>
        <w:rPr>
          <w:rFonts w:hint="eastAsia" w:ascii="仿宋" w:hAnsi="仿宋" w:eastAsia="仿宋" w:cs="仿宋"/>
          <w:color w:val="auto"/>
          <w:kern w:val="2"/>
          <w:sz w:val="32"/>
          <w:szCs w:val="32"/>
        </w:rPr>
        <w:t>完成年初预算的</w:t>
      </w:r>
      <w:bookmarkEnd w:id="4"/>
      <w:r>
        <w:rPr>
          <w:rFonts w:hint="eastAsia" w:ascii="仿宋" w:hAnsi="仿宋" w:eastAsia="仿宋" w:cs="仿宋"/>
          <w:color w:val="auto"/>
          <w:kern w:val="2"/>
          <w:sz w:val="32"/>
          <w:szCs w:val="32"/>
        </w:rPr>
        <w:t>1</w:t>
      </w:r>
      <w:r>
        <w:rPr>
          <w:rFonts w:ascii="仿宋" w:hAnsi="仿宋" w:eastAsia="仿宋" w:cs="仿宋"/>
          <w:color w:val="auto"/>
          <w:kern w:val="2"/>
          <w:sz w:val="32"/>
          <w:szCs w:val="32"/>
        </w:rPr>
        <w:t>03.76%</w:t>
      </w:r>
      <w:r>
        <w:rPr>
          <w:rFonts w:hint="eastAsia" w:ascii="仿宋" w:hAnsi="仿宋" w:eastAsia="仿宋" w:cs="仿宋"/>
          <w:color w:val="auto"/>
          <w:kern w:val="2"/>
          <w:sz w:val="32"/>
          <w:szCs w:val="32"/>
        </w:rPr>
        <w:t>，决算数略大于年初预算数的主要原因是：预算较精准。</w:t>
      </w:r>
    </w:p>
    <w:p w14:paraId="31E9607D">
      <w:pPr>
        <w:pStyle w:val="13"/>
        <w:autoSpaceDE/>
        <w:autoSpaceDN/>
        <w:spacing w:line="600" w:lineRule="exact"/>
        <w:ind w:firstLine="640" w:firstLineChars="200"/>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3、卫生健康支出（类）行政事业单位医疗（款）行政单位医疗（项）</w:t>
      </w:r>
    </w:p>
    <w:p w14:paraId="708169CF">
      <w:pPr>
        <w:pStyle w:val="13"/>
        <w:autoSpaceDE/>
        <w:autoSpaceDN/>
        <w:spacing w:line="600" w:lineRule="exact"/>
        <w:ind w:firstLine="640" w:firstLineChars="200"/>
        <w:jc w:val="both"/>
        <w:rPr>
          <w:rFonts w:ascii="仿宋" w:hAnsi="仿宋" w:eastAsia="仿宋" w:cs="仿宋"/>
          <w:color w:val="auto"/>
          <w:kern w:val="2"/>
          <w:sz w:val="32"/>
          <w:szCs w:val="32"/>
        </w:rPr>
      </w:pPr>
      <w:r>
        <w:rPr>
          <w:rFonts w:hint="eastAsia" w:ascii="仿宋" w:hAnsi="仿宋" w:eastAsia="仿宋" w:cs="仿宋"/>
          <w:color w:val="auto"/>
          <w:kern w:val="2"/>
          <w:sz w:val="32"/>
          <w:szCs w:val="32"/>
        </w:rPr>
        <w:t>年初预算为</w:t>
      </w:r>
      <w:r>
        <w:rPr>
          <w:rFonts w:ascii="仿宋" w:hAnsi="仿宋" w:eastAsia="仿宋" w:cs="仿宋"/>
          <w:color w:val="auto"/>
          <w:kern w:val="2"/>
          <w:sz w:val="32"/>
          <w:szCs w:val="32"/>
        </w:rPr>
        <w:t>17.56</w:t>
      </w:r>
      <w:r>
        <w:rPr>
          <w:rFonts w:hint="eastAsia" w:ascii="仿宋" w:hAnsi="仿宋" w:eastAsia="仿宋" w:cs="仿宋"/>
          <w:color w:val="auto"/>
          <w:kern w:val="2"/>
          <w:sz w:val="32"/>
          <w:szCs w:val="32"/>
        </w:rPr>
        <w:t>万元，支出决算为</w:t>
      </w:r>
      <w:r>
        <w:rPr>
          <w:rFonts w:ascii="仿宋" w:hAnsi="仿宋" w:eastAsia="仿宋" w:cs="仿宋"/>
          <w:color w:val="auto"/>
          <w:kern w:val="2"/>
          <w:sz w:val="32"/>
          <w:szCs w:val="32"/>
        </w:rPr>
        <w:t>21.21</w:t>
      </w:r>
      <w:r>
        <w:rPr>
          <w:rFonts w:hint="eastAsia" w:ascii="仿宋" w:hAnsi="仿宋" w:eastAsia="仿宋" w:cs="仿宋"/>
          <w:color w:val="auto"/>
          <w:kern w:val="2"/>
          <w:sz w:val="32"/>
          <w:szCs w:val="32"/>
        </w:rPr>
        <w:t>万元，完成年初预算的1</w:t>
      </w:r>
      <w:r>
        <w:rPr>
          <w:rFonts w:ascii="仿宋" w:hAnsi="仿宋" w:eastAsia="仿宋" w:cs="仿宋"/>
          <w:color w:val="auto"/>
          <w:kern w:val="2"/>
          <w:sz w:val="32"/>
          <w:szCs w:val="32"/>
        </w:rPr>
        <w:t>20.79%</w:t>
      </w:r>
      <w:r>
        <w:rPr>
          <w:rFonts w:hint="eastAsia" w:ascii="仿宋" w:hAnsi="仿宋" w:eastAsia="仿宋" w:cs="仿宋"/>
          <w:color w:val="auto"/>
          <w:kern w:val="2"/>
          <w:sz w:val="32"/>
          <w:szCs w:val="32"/>
        </w:rPr>
        <w:t>，</w:t>
      </w:r>
      <w:r>
        <w:rPr>
          <w:rFonts w:ascii="仿宋" w:hAnsi="仿宋" w:eastAsia="仿宋" w:cs="仿宋"/>
          <w:color w:val="auto"/>
          <w:kern w:val="2"/>
          <w:sz w:val="32"/>
          <w:szCs w:val="32"/>
        </w:rPr>
        <w:t xml:space="preserve"> </w:t>
      </w:r>
      <w:r>
        <w:rPr>
          <w:rFonts w:hint="eastAsia" w:ascii="仿宋" w:hAnsi="仿宋" w:eastAsia="仿宋" w:cs="仿宋"/>
          <w:color w:val="auto"/>
          <w:kern w:val="2"/>
          <w:sz w:val="32"/>
          <w:szCs w:val="32"/>
        </w:rPr>
        <w:t>决算数大于年初预算数的主要原因是：</w:t>
      </w:r>
      <w:bookmarkStart w:id="5" w:name="_Hlk176634484"/>
      <w:r>
        <w:rPr>
          <w:rFonts w:hint="eastAsia" w:ascii="仿宋" w:hAnsi="仿宋" w:eastAsia="仿宋" w:cs="仿宋"/>
          <w:color w:val="auto"/>
          <w:kern w:val="2"/>
          <w:sz w:val="32"/>
          <w:szCs w:val="32"/>
        </w:rPr>
        <w:t>原怀化市污水处理监督管理办公室于2</w:t>
      </w:r>
      <w:r>
        <w:rPr>
          <w:rFonts w:ascii="仿宋" w:hAnsi="仿宋" w:eastAsia="仿宋" w:cs="仿宋"/>
          <w:color w:val="auto"/>
          <w:kern w:val="2"/>
          <w:sz w:val="32"/>
          <w:szCs w:val="32"/>
        </w:rPr>
        <w:t>023</w:t>
      </w:r>
      <w:r>
        <w:rPr>
          <w:rFonts w:hint="eastAsia" w:ascii="仿宋" w:hAnsi="仿宋" w:eastAsia="仿宋" w:cs="仿宋"/>
          <w:color w:val="auto"/>
          <w:kern w:val="2"/>
          <w:sz w:val="32"/>
          <w:szCs w:val="32"/>
        </w:rPr>
        <w:t>年7月并入事务中心，在职人员增加13人，单位基本医疗保险缴费支出增加。</w:t>
      </w:r>
    </w:p>
    <w:bookmarkEnd w:id="5"/>
    <w:p w14:paraId="41AD498F">
      <w:pPr>
        <w:pStyle w:val="13"/>
        <w:autoSpaceDE/>
        <w:autoSpaceDN/>
        <w:spacing w:line="600" w:lineRule="exact"/>
        <w:ind w:firstLine="640" w:firstLineChars="200"/>
        <w:jc w:val="both"/>
        <w:rPr>
          <w:rFonts w:ascii="仿宋" w:hAnsi="仿宋" w:eastAsia="仿宋" w:cs="仿宋"/>
          <w:color w:val="auto"/>
          <w:kern w:val="2"/>
          <w:sz w:val="32"/>
          <w:szCs w:val="32"/>
        </w:rPr>
      </w:pPr>
      <w:bookmarkStart w:id="6" w:name="_Hlk176634567"/>
      <w:r>
        <w:rPr>
          <w:rFonts w:hint="eastAsia" w:ascii="仿宋" w:hAnsi="仿宋" w:eastAsia="仿宋" w:cs="仿宋"/>
          <w:color w:val="auto"/>
          <w:kern w:val="2"/>
          <w:sz w:val="32"/>
          <w:szCs w:val="32"/>
        </w:rPr>
        <w:t>4、城乡社区支出（类）城乡社区管理事务（款）行政运行（项）</w:t>
      </w:r>
      <w:bookmarkEnd w:id="6"/>
      <w:r>
        <w:rPr>
          <w:rFonts w:hint="eastAsia" w:ascii="仿宋" w:hAnsi="仿宋" w:eastAsia="仿宋" w:cs="仿宋"/>
          <w:color w:val="auto"/>
          <w:kern w:val="2"/>
          <w:sz w:val="32"/>
          <w:szCs w:val="32"/>
        </w:rPr>
        <w:t>。</w:t>
      </w:r>
    </w:p>
    <w:p w14:paraId="55D88ADC">
      <w:pPr>
        <w:pStyle w:val="13"/>
        <w:spacing w:line="600" w:lineRule="exact"/>
        <w:ind w:firstLine="800" w:firstLineChars="250"/>
        <w:rPr>
          <w:rFonts w:ascii="仿宋" w:hAnsi="仿宋" w:eastAsia="仿宋" w:cs="仿宋"/>
          <w:color w:val="auto"/>
          <w:kern w:val="2"/>
          <w:sz w:val="32"/>
          <w:szCs w:val="32"/>
        </w:rPr>
      </w:pPr>
      <w:r>
        <w:rPr>
          <w:rFonts w:hint="eastAsia" w:ascii="仿宋" w:hAnsi="仿宋" w:eastAsia="仿宋" w:cs="仿宋"/>
          <w:color w:val="auto"/>
          <w:kern w:val="2"/>
          <w:sz w:val="32"/>
          <w:szCs w:val="32"/>
        </w:rPr>
        <w:t>年初预算为</w:t>
      </w:r>
      <w:r>
        <w:rPr>
          <w:rFonts w:ascii="仿宋" w:hAnsi="仿宋" w:eastAsia="仿宋" w:cs="仿宋"/>
          <w:color w:val="auto"/>
          <w:kern w:val="2"/>
          <w:sz w:val="32"/>
          <w:szCs w:val="32"/>
        </w:rPr>
        <w:t>342.92</w:t>
      </w:r>
      <w:r>
        <w:rPr>
          <w:rFonts w:hint="eastAsia" w:ascii="仿宋" w:hAnsi="仿宋" w:eastAsia="仿宋" w:cs="仿宋"/>
          <w:color w:val="auto"/>
          <w:kern w:val="2"/>
          <w:sz w:val="32"/>
          <w:szCs w:val="32"/>
        </w:rPr>
        <w:t>万元，支出决算为</w:t>
      </w:r>
      <w:r>
        <w:rPr>
          <w:rFonts w:ascii="仿宋" w:hAnsi="仿宋" w:eastAsia="仿宋" w:cs="仿宋"/>
          <w:color w:val="auto"/>
          <w:kern w:val="2"/>
          <w:sz w:val="32"/>
          <w:szCs w:val="32"/>
        </w:rPr>
        <w:t>366.91</w:t>
      </w:r>
      <w:r>
        <w:rPr>
          <w:rFonts w:hint="eastAsia" w:ascii="仿宋" w:hAnsi="仿宋" w:eastAsia="仿宋" w:cs="仿宋"/>
          <w:color w:val="auto"/>
          <w:kern w:val="2"/>
          <w:sz w:val="32"/>
          <w:szCs w:val="32"/>
        </w:rPr>
        <w:t>万元，完成预算的</w:t>
      </w:r>
      <w:r>
        <w:rPr>
          <w:rFonts w:ascii="仿宋" w:hAnsi="仿宋" w:eastAsia="仿宋" w:cs="仿宋"/>
          <w:color w:val="auto"/>
          <w:kern w:val="2"/>
          <w:sz w:val="32"/>
          <w:szCs w:val="32"/>
        </w:rPr>
        <w:t>106.99</w:t>
      </w:r>
      <w:r>
        <w:rPr>
          <w:rFonts w:hint="eastAsia" w:ascii="仿宋" w:hAnsi="仿宋" w:eastAsia="仿宋" w:cs="仿宋"/>
          <w:color w:val="auto"/>
          <w:kern w:val="2"/>
          <w:sz w:val="32"/>
          <w:szCs w:val="32"/>
        </w:rPr>
        <w:t>%，决算数大于年初预算的主要原因是：主要是因为原怀化市污水处理监督管理办公室于2</w:t>
      </w:r>
      <w:r>
        <w:rPr>
          <w:rFonts w:ascii="仿宋" w:hAnsi="仿宋" w:eastAsia="仿宋" w:cs="仿宋"/>
          <w:color w:val="auto"/>
          <w:kern w:val="2"/>
          <w:sz w:val="32"/>
          <w:szCs w:val="32"/>
        </w:rPr>
        <w:t>023</w:t>
      </w:r>
      <w:r>
        <w:rPr>
          <w:rFonts w:hint="eastAsia" w:ascii="仿宋" w:hAnsi="仿宋" w:eastAsia="仿宋" w:cs="仿宋"/>
          <w:color w:val="auto"/>
          <w:kern w:val="2"/>
          <w:sz w:val="32"/>
          <w:szCs w:val="32"/>
        </w:rPr>
        <w:t>年7月并入事务中心，</w:t>
      </w:r>
      <w:bookmarkStart w:id="7" w:name="_Hlk176705090"/>
      <w:r>
        <w:rPr>
          <w:rFonts w:hint="eastAsia" w:ascii="仿宋" w:hAnsi="仿宋" w:eastAsia="仿宋" w:cs="仿宋"/>
          <w:color w:val="auto"/>
          <w:kern w:val="2"/>
          <w:sz w:val="32"/>
          <w:szCs w:val="32"/>
        </w:rPr>
        <w:t>在职人员增加13人</w:t>
      </w:r>
      <w:bookmarkEnd w:id="7"/>
      <w:r>
        <w:rPr>
          <w:rFonts w:hint="eastAsia" w:ascii="仿宋" w:hAnsi="仿宋" w:eastAsia="仿宋" w:cs="仿宋"/>
          <w:color w:val="auto"/>
          <w:kern w:val="2"/>
          <w:sz w:val="32"/>
          <w:szCs w:val="32"/>
        </w:rPr>
        <w:t>，公用经费增加。</w:t>
      </w:r>
    </w:p>
    <w:p w14:paraId="2152771B">
      <w:pPr>
        <w:pStyle w:val="13"/>
        <w:spacing w:line="600" w:lineRule="exact"/>
        <w:ind w:firstLine="800" w:firstLineChars="250"/>
        <w:rPr>
          <w:rFonts w:ascii="仿宋" w:hAnsi="仿宋" w:eastAsia="仿宋" w:cs="仿宋"/>
          <w:color w:val="auto"/>
          <w:kern w:val="2"/>
          <w:sz w:val="32"/>
          <w:szCs w:val="32"/>
        </w:rPr>
      </w:pPr>
      <w:r>
        <w:rPr>
          <w:rFonts w:ascii="仿宋" w:hAnsi="仿宋" w:eastAsia="仿宋" w:cs="仿宋"/>
          <w:color w:val="auto"/>
          <w:kern w:val="2"/>
          <w:sz w:val="32"/>
          <w:szCs w:val="32"/>
        </w:rPr>
        <w:t>5</w:t>
      </w:r>
      <w:r>
        <w:rPr>
          <w:rFonts w:hint="eastAsia" w:ascii="仿宋" w:hAnsi="仿宋" w:eastAsia="仿宋" w:cs="仿宋"/>
          <w:color w:val="auto"/>
          <w:kern w:val="2"/>
          <w:sz w:val="32"/>
          <w:szCs w:val="32"/>
        </w:rPr>
        <w:t>、</w:t>
      </w:r>
      <w:bookmarkStart w:id="8" w:name="_Hlk176635659"/>
      <w:r>
        <w:rPr>
          <w:rFonts w:hint="eastAsia" w:ascii="仿宋" w:hAnsi="仿宋" w:eastAsia="仿宋" w:cs="仿宋"/>
          <w:color w:val="auto"/>
          <w:kern w:val="2"/>
          <w:sz w:val="32"/>
          <w:szCs w:val="32"/>
        </w:rPr>
        <w:t>城乡社区支出（类）城乡社区管理事务（款）一般行政管理事务（项）</w:t>
      </w:r>
    </w:p>
    <w:bookmarkEnd w:id="8"/>
    <w:p w14:paraId="57F020BB">
      <w:pPr>
        <w:pStyle w:val="13"/>
        <w:spacing w:line="600" w:lineRule="exact"/>
        <w:ind w:firstLine="800" w:firstLineChars="250"/>
        <w:rPr>
          <w:rFonts w:ascii="仿宋" w:hAnsi="仿宋" w:eastAsia="仿宋" w:cs="仿宋"/>
          <w:color w:val="auto"/>
          <w:kern w:val="2"/>
          <w:sz w:val="32"/>
          <w:szCs w:val="32"/>
        </w:rPr>
      </w:pPr>
      <w:bookmarkStart w:id="9" w:name="_Hlk176635004"/>
      <w:r>
        <w:rPr>
          <w:rFonts w:hint="eastAsia" w:ascii="仿宋" w:hAnsi="仿宋" w:eastAsia="仿宋" w:cs="仿宋"/>
          <w:color w:val="auto"/>
          <w:kern w:val="2"/>
          <w:sz w:val="32"/>
          <w:szCs w:val="32"/>
        </w:rPr>
        <w:t>年初预算为</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万元，支出决算为</w:t>
      </w:r>
      <w:r>
        <w:rPr>
          <w:rFonts w:ascii="仿宋" w:hAnsi="仿宋" w:eastAsia="仿宋" w:cs="仿宋"/>
          <w:color w:val="auto"/>
          <w:kern w:val="2"/>
          <w:sz w:val="32"/>
          <w:szCs w:val="32"/>
        </w:rPr>
        <w:t>25.13</w:t>
      </w:r>
      <w:r>
        <w:rPr>
          <w:rFonts w:hint="eastAsia" w:ascii="仿宋" w:hAnsi="仿宋" w:eastAsia="仿宋" w:cs="仿宋"/>
          <w:color w:val="auto"/>
          <w:kern w:val="2"/>
          <w:sz w:val="32"/>
          <w:szCs w:val="32"/>
        </w:rPr>
        <w:t>万元，年初预算为0，无法计算预算完成率，决算数大于年初预算的主要原因是：主要是因为原怀化市污水处理监督管理办公室7月并入事务中心，年初未列入预算，年中调整预算。</w:t>
      </w:r>
    </w:p>
    <w:bookmarkEnd w:id="9"/>
    <w:p w14:paraId="341F85D4">
      <w:pPr>
        <w:pStyle w:val="13"/>
        <w:spacing w:line="600" w:lineRule="exact"/>
        <w:ind w:firstLine="800" w:firstLineChars="250"/>
        <w:rPr>
          <w:rFonts w:ascii="仿宋" w:hAnsi="仿宋" w:eastAsia="仿宋" w:cs="仿宋"/>
          <w:color w:val="auto"/>
          <w:kern w:val="2"/>
          <w:sz w:val="32"/>
          <w:szCs w:val="32"/>
        </w:rPr>
      </w:pPr>
      <w:bookmarkStart w:id="10" w:name="_Hlk176635223"/>
      <w:r>
        <w:rPr>
          <w:rFonts w:ascii="仿宋" w:hAnsi="仿宋" w:eastAsia="仿宋" w:cs="仿宋"/>
          <w:color w:val="auto"/>
          <w:kern w:val="2"/>
          <w:sz w:val="32"/>
          <w:szCs w:val="32"/>
        </w:rPr>
        <w:t>6</w:t>
      </w:r>
      <w:r>
        <w:rPr>
          <w:rFonts w:hint="eastAsia" w:ascii="仿宋" w:hAnsi="仿宋" w:eastAsia="仿宋" w:cs="仿宋"/>
          <w:color w:val="auto"/>
          <w:kern w:val="2"/>
          <w:sz w:val="32"/>
          <w:szCs w:val="32"/>
        </w:rPr>
        <w:t>、城乡社区支出（类）城乡社区管理事务（款）其他城乡社区管理事务支出（项）</w:t>
      </w:r>
    </w:p>
    <w:bookmarkEnd w:id="10"/>
    <w:p w14:paraId="4F29FA6E">
      <w:pPr>
        <w:pStyle w:val="13"/>
        <w:spacing w:line="600" w:lineRule="exact"/>
        <w:ind w:firstLine="800" w:firstLineChars="250"/>
        <w:rPr>
          <w:rFonts w:ascii="仿宋" w:hAnsi="仿宋" w:eastAsia="仿宋" w:cs="仿宋"/>
          <w:color w:val="auto"/>
          <w:kern w:val="2"/>
          <w:sz w:val="32"/>
          <w:szCs w:val="32"/>
        </w:rPr>
      </w:pPr>
      <w:bookmarkStart w:id="11" w:name="_Hlk176635377"/>
      <w:r>
        <w:rPr>
          <w:rFonts w:hint="eastAsia" w:ascii="仿宋" w:hAnsi="仿宋" w:eastAsia="仿宋" w:cs="仿宋"/>
          <w:color w:val="auto"/>
          <w:kern w:val="2"/>
          <w:sz w:val="32"/>
          <w:szCs w:val="32"/>
        </w:rPr>
        <w:t>年初预算为</w:t>
      </w:r>
      <w:r>
        <w:rPr>
          <w:rFonts w:ascii="仿宋" w:hAnsi="仿宋" w:eastAsia="仿宋" w:cs="仿宋"/>
          <w:color w:val="auto"/>
          <w:kern w:val="2"/>
          <w:sz w:val="32"/>
          <w:szCs w:val="32"/>
        </w:rPr>
        <w:t>26</w:t>
      </w:r>
      <w:r>
        <w:rPr>
          <w:rFonts w:hint="eastAsia" w:ascii="仿宋" w:hAnsi="仿宋" w:eastAsia="仿宋" w:cs="仿宋"/>
          <w:color w:val="auto"/>
          <w:kern w:val="2"/>
          <w:sz w:val="32"/>
          <w:szCs w:val="32"/>
        </w:rPr>
        <w:t>万元，支出决算为</w:t>
      </w:r>
      <w:r>
        <w:rPr>
          <w:rFonts w:ascii="仿宋" w:hAnsi="仿宋" w:eastAsia="仿宋" w:cs="仿宋"/>
          <w:color w:val="auto"/>
          <w:kern w:val="2"/>
          <w:sz w:val="32"/>
          <w:szCs w:val="32"/>
        </w:rPr>
        <w:t>81.80</w:t>
      </w:r>
      <w:r>
        <w:rPr>
          <w:rFonts w:hint="eastAsia" w:ascii="仿宋" w:hAnsi="仿宋" w:eastAsia="仿宋" w:cs="仿宋"/>
          <w:color w:val="auto"/>
          <w:kern w:val="2"/>
          <w:sz w:val="32"/>
          <w:szCs w:val="32"/>
        </w:rPr>
        <w:t>万元，预算完成率3</w:t>
      </w:r>
      <w:r>
        <w:rPr>
          <w:rFonts w:ascii="仿宋" w:hAnsi="仿宋" w:eastAsia="仿宋" w:cs="仿宋"/>
          <w:color w:val="auto"/>
          <w:kern w:val="2"/>
          <w:sz w:val="32"/>
          <w:szCs w:val="32"/>
        </w:rPr>
        <w:t>14.62%</w:t>
      </w:r>
      <w:r>
        <w:rPr>
          <w:rFonts w:hint="eastAsia" w:ascii="仿宋" w:hAnsi="仿宋" w:eastAsia="仿宋" w:cs="仿宋"/>
          <w:color w:val="auto"/>
          <w:kern w:val="2"/>
          <w:sz w:val="32"/>
          <w:szCs w:val="32"/>
        </w:rPr>
        <w:t>，决算数大于年初预算的主要原因是：</w:t>
      </w:r>
      <w:bookmarkStart w:id="12" w:name="_Hlk176703031"/>
      <w:r>
        <w:rPr>
          <w:rFonts w:hint="eastAsia" w:ascii="仿宋" w:hAnsi="仿宋" w:eastAsia="仿宋" w:cs="仿宋"/>
          <w:color w:val="auto"/>
          <w:kern w:val="2"/>
          <w:sz w:val="32"/>
          <w:szCs w:val="32"/>
        </w:rPr>
        <w:t>主要是因为原怀化市污水处理监督管理办公室7月并入事务中心，年初未列入预算，年中调整预算</w:t>
      </w:r>
      <w:bookmarkEnd w:id="12"/>
      <w:r>
        <w:rPr>
          <w:rFonts w:hint="eastAsia" w:ascii="仿宋" w:hAnsi="仿宋" w:eastAsia="仿宋" w:cs="仿宋"/>
          <w:color w:val="auto"/>
          <w:kern w:val="2"/>
          <w:sz w:val="32"/>
          <w:szCs w:val="32"/>
        </w:rPr>
        <w:t>。</w:t>
      </w:r>
    </w:p>
    <w:bookmarkEnd w:id="11"/>
    <w:p w14:paraId="6A9748CA">
      <w:pPr>
        <w:pStyle w:val="13"/>
        <w:spacing w:line="600" w:lineRule="exact"/>
        <w:ind w:firstLine="800" w:firstLineChars="250"/>
        <w:rPr>
          <w:rFonts w:ascii="仿宋" w:hAnsi="仿宋" w:eastAsia="仿宋" w:cs="仿宋"/>
          <w:color w:val="auto"/>
          <w:kern w:val="2"/>
          <w:sz w:val="32"/>
          <w:szCs w:val="32"/>
        </w:rPr>
      </w:pPr>
      <w:r>
        <w:rPr>
          <w:rFonts w:ascii="仿宋" w:hAnsi="仿宋" w:eastAsia="仿宋" w:cs="仿宋"/>
          <w:color w:val="auto"/>
          <w:kern w:val="2"/>
          <w:sz w:val="32"/>
          <w:szCs w:val="32"/>
        </w:rPr>
        <w:t>7</w:t>
      </w:r>
      <w:r>
        <w:rPr>
          <w:rFonts w:hint="eastAsia" w:ascii="仿宋" w:hAnsi="仿宋" w:eastAsia="仿宋" w:cs="仿宋"/>
          <w:color w:val="auto"/>
          <w:kern w:val="2"/>
          <w:sz w:val="32"/>
          <w:szCs w:val="32"/>
        </w:rPr>
        <w:t>、城乡社区支出（类）城乡社区规划与管理（款）城乡社区规划与管理（项）</w:t>
      </w:r>
    </w:p>
    <w:p w14:paraId="14C97A7E">
      <w:pPr>
        <w:pStyle w:val="13"/>
        <w:spacing w:line="600" w:lineRule="exact"/>
        <w:ind w:firstLine="800" w:firstLineChars="250"/>
        <w:rPr>
          <w:rFonts w:ascii="仿宋" w:hAnsi="仿宋" w:eastAsia="仿宋" w:cs="仿宋"/>
          <w:color w:val="auto"/>
          <w:kern w:val="2"/>
          <w:sz w:val="32"/>
          <w:szCs w:val="32"/>
        </w:rPr>
      </w:pPr>
      <w:r>
        <w:rPr>
          <w:rFonts w:hint="eastAsia" w:ascii="仿宋" w:hAnsi="仿宋" w:eastAsia="仿宋" w:cs="仿宋"/>
          <w:color w:val="auto"/>
          <w:kern w:val="2"/>
          <w:sz w:val="32"/>
          <w:szCs w:val="32"/>
        </w:rPr>
        <w:t>年初预算为</w:t>
      </w:r>
      <w:r>
        <w:rPr>
          <w:rFonts w:ascii="仿宋" w:hAnsi="仿宋" w:eastAsia="仿宋" w:cs="仿宋"/>
          <w:color w:val="auto"/>
          <w:kern w:val="2"/>
          <w:sz w:val="32"/>
          <w:szCs w:val="32"/>
        </w:rPr>
        <w:t>40</w:t>
      </w:r>
      <w:r>
        <w:rPr>
          <w:rFonts w:hint="eastAsia" w:ascii="仿宋" w:hAnsi="仿宋" w:eastAsia="仿宋" w:cs="仿宋"/>
          <w:color w:val="auto"/>
          <w:kern w:val="2"/>
          <w:sz w:val="32"/>
          <w:szCs w:val="32"/>
        </w:rPr>
        <w:t>万元，支出决算为</w:t>
      </w:r>
      <w:r>
        <w:rPr>
          <w:rFonts w:ascii="仿宋" w:hAnsi="仿宋" w:eastAsia="仿宋" w:cs="仿宋"/>
          <w:color w:val="auto"/>
          <w:kern w:val="2"/>
          <w:sz w:val="32"/>
          <w:szCs w:val="32"/>
        </w:rPr>
        <w:t>27.99</w:t>
      </w:r>
      <w:r>
        <w:rPr>
          <w:rFonts w:hint="eastAsia" w:ascii="仿宋" w:hAnsi="仿宋" w:eastAsia="仿宋" w:cs="仿宋"/>
          <w:color w:val="auto"/>
          <w:kern w:val="2"/>
          <w:sz w:val="32"/>
          <w:szCs w:val="32"/>
        </w:rPr>
        <w:t>万元，预算完成率</w:t>
      </w:r>
      <w:r>
        <w:rPr>
          <w:rFonts w:ascii="仿宋" w:hAnsi="仿宋" w:eastAsia="仿宋" w:cs="仿宋"/>
          <w:color w:val="auto"/>
          <w:kern w:val="2"/>
          <w:sz w:val="32"/>
          <w:szCs w:val="32"/>
        </w:rPr>
        <w:t>69.98</w:t>
      </w:r>
      <w:r>
        <w:rPr>
          <w:rFonts w:hint="eastAsia" w:ascii="仿宋" w:hAnsi="仿宋" w:eastAsia="仿宋" w:cs="仿宋"/>
          <w:color w:val="auto"/>
          <w:kern w:val="2"/>
          <w:sz w:val="32"/>
          <w:szCs w:val="32"/>
        </w:rPr>
        <w:t>%，决算数小于年初预算的主要原因是：财政压减开支，统筹用款结余额度。</w:t>
      </w:r>
    </w:p>
    <w:p w14:paraId="11C5B408">
      <w:pPr>
        <w:pStyle w:val="13"/>
        <w:spacing w:line="600" w:lineRule="exact"/>
        <w:ind w:firstLine="800" w:firstLineChars="250"/>
        <w:rPr>
          <w:rFonts w:ascii="仿宋" w:hAnsi="仿宋" w:eastAsia="仿宋" w:cs="仿宋"/>
          <w:color w:val="auto"/>
          <w:kern w:val="2"/>
          <w:sz w:val="32"/>
          <w:szCs w:val="32"/>
        </w:rPr>
      </w:pPr>
      <w:r>
        <w:rPr>
          <w:rFonts w:hint="eastAsia" w:ascii="仿宋" w:hAnsi="仿宋" w:eastAsia="仿宋" w:cs="仿宋"/>
          <w:color w:val="auto"/>
          <w:kern w:val="2"/>
          <w:sz w:val="32"/>
          <w:szCs w:val="32"/>
        </w:rPr>
        <w:t>8、城乡社区支出（类）其他城乡社区支出（款）其他</w:t>
      </w:r>
      <w:r>
        <w:rPr>
          <w:rFonts w:ascii="仿宋" w:hAnsi="仿宋" w:eastAsia="仿宋" w:cs="仿宋"/>
          <w:color w:val="auto"/>
          <w:kern w:val="2"/>
          <w:sz w:val="32"/>
          <w:szCs w:val="32"/>
        </w:rPr>
        <w:t>城乡社区支出</w:t>
      </w:r>
      <w:r>
        <w:rPr>
          <w:rFonts w:hint="eastAsia" w:ascii="仿宋" w:hAnsi="仿宋" w:eastAsia="仿宋" w:cs="仿宋"/>
          <w:color w:val="auto"/>
          <w:kern w:val="2"/>
          <w:sz w:val="32"/>
          <w:szCs w:val="32"/>
        </w:rPr>
        <w:t>（</w:t>
      </w:r>
      <w:r>
        <w:rPr>
          <w:rFonts w:ascii="仿宋" w:hAnsi="仿宋" w:eastAsia="仿宋" w:cs="仿宋"/>
          <w:color w:val="auto"/>
          <w:kern w:val="2"/>
          <w:sz w:val="32"/>
          <w:szCs w:val="32"/>
        </w:rPr>
        <w:t>项</w:t>
      </w:r>
      <w:r>
        <w:rPr>
          <w:rFonts w:hint="eastAsia" w:ascii="仿宋" w:hAnsi="仿宋" w:eastAsia="仿宋" w:cs="仿宋"/>
          <w:color w:val="auto"/>
          <w:kern w:val="2"/>
          <w:sz w:val="32"/>
          <w:szCs w:val="32"/>
        </w:rPr>
        <w:t>）</w:t>
      </w:r>
    </w:p>
    <w:p w14:paraId="6C58AD55">
      <w:pPr>
        <w:pStyle w:val="13"/>
        <w:spacing w:line="600" w:lineRule="exact"/>
        <w:ind w:firstLine="800" w:firstLineChars="250"/>
        <w:rPr>
          <w:rFonts w:ascii="仿宋" w:hAnsi="仿宋" w:eastAsia="仿宋" w:cs="仿宋"/>
          <w:color w:val="auto"/>
          <w:kern w:val="2"/>
          <w:sz w:val="32"/>
          <w:szCs w:val="32"/>
        </w:rPr>
      </w:pPr>
      <w:r>
        <w:rPr>
          <w:rFonts w:hint="eastAsia" w:ascii="仿宋" w:hAnsi="仿宋" w:eastAsia="仿宋" w:cs="仿宋"/>
          <w:color w:val="auto"/>
          <w:kern w:val="2"/>
          <w:sz w:val="32"/>
          <w:szCs w:val="32"/>
        </w:rPr>
        <w:t>年初预算为</w:t>
      </w:r>
      <w:r>
        <w:rPr>
          <w:rFonts w:ascii="仿宋" w:hAnsi="仿宋" w:eastAsia="仿宋" w:cs="仿宋"/>
          <w:color w:val="auto"/>
          <w:kern w:val="2"/>
          <w:sz w:val="32"/>
          <w:szCs w:val="32"/>
        </w:rPr>
        <w:t>80</w:t>
      </w:r>
      <w:r>
        <w:rPr>
          <w:rFonts w:hint="eastAsia" w:ascii="仿宋" w:hAnsi="仿宋" w:eastAsia="仿宋" w:cs="仿宋"/>
          <w:color w:val="auto"/>
          <w:kern w:val="2"/>
          <w:sz w:val="32"/>
          <w:szCs w:val="32"/>
        </w:rPr>
        <w:t>，支出决算为</w:t>
      </w:r>
      <w:r>
        <w:rPr>
          <w:rFonts w:ascii="仿宋" w:hAnsi="仿宋" w:eastAsia="仿宋" w:cs="仿宋"/>
          <w:color w:val="auto"/>
          <w:kern w:val="2"/>
          <w:sz w:val="32"/>
          <w:szCs w:val="32"/>
        </w:rPr>
        <w:t>79.0</w:t>
      </w:r>
      <w:r>
        <w:rPr>
          <w:rFonts w:hint="eastAsia" w:ascii="仿宋" w:hAnsi="仿宋" w:eastAsia="仿宋" w:cs="仿宋"/>
          <w:color w:val="auto"/>
          <w:kern w:val="2"/>
          <w:sz w:val="32"/>
          <w:szCs w:val="32"/>
          <w:lang w:val="en-US" w:eastAsia="zh-CN"/>
        </w:rPr>
        <w:t>1</w:t>
      </w:r>
      <w:r>
        <w:rPr>
          <w:rFonts w:ascii="仿宋" w:hAnsi="仿宋" w:eastAsia="仿宋" w:cs="仿宋"/>
          <w:color w:val="auto"/>
          <w:kern w:val="2"/>
          <w:sz w:val="32"/>
          <w:szCs w:val="32"/>
        </w:rPr>
        <w:t>万元</w:t>
      </w:r>
      <w:r>
        <w:rPr>
          <w:rFonts w:hint="eastAsia" w:ascii="仿宋" w:hAnsi="仿宋" w:eastAsia="仿宋" w:cs="仿宋"/>
          <w:color w:val="auto"/>
          <w:kern w:val="2"/>
          <w:sz w:val="32"/>
          <w:szCs w:val="32"/>
        </w:rPr>
        <w:t>，预算完成率</w:t>
      </w:r>
      <w:r>
        <w:rPr>
          <w:rFonts w:ascii="仿宋" w:hAnsi="仿宋" w:eastAsia="仿宋" w:cs="仿宋"/>
          <w:color w:val="auto"/>
          <w:kern w:val="2"/>
          <w:sz w:val="32"/>
          <w:szCs w:val="32"/>
        </w:rPr>
        <w:t>98.7</w:t>
      </w:r>
      <w:r>
        <w:rPr>
          <w:rFonts w:hint="eastAsia" w:ascii="仿宋" w:hAnsi="仿宋" w:eastAsia="仿宋" w:cs="仿宋"/>
          <w:color w:val="auto"/>
          <w:kern w:val="2"/>
          <w:sz w:val="32"/>
          <w:szCs w:val="32"/>
          <w:lang w:val="en-US" w:eastAsia="zh-CN"/>
        </w:rPr>
        <w:t>6</w:t>
      </w:r>
      <w:r>
        <w:rPr>
          <w:rFonts w:hint="eastAsia" w:ascii="仿宋" w:hAnsi="仿宋" w:eastAsia="仿宋" w:cs="仿宋"/>
          <w:color w:val="auto"/>
          <w:kern w:val="2"/>
          <w:sz w:val="32"/>
          <w:szCs w:val="32"/>
        </w:rPr>
        <w:t>%，决算数略小于年初预算的主要原因是：预</w:t>
      </w:r>
      <w:r>
        <w:rPr>
          <w:rFonts w:ascii="仿宋" w:hAnsi="仿宋" w:eastAsia="仿宋" w:cs="仿宋"/>
          <w:color w:val="auto"/>
          <w:kern w:val="2"/>
          <w:sz w:val="32"/>
          <w:szCs w:val="32"/>
        </w:rPr>
        <w:t>算</w:t>
      </w:r>
      <w:r>
        <w:rPr>
          <w:rFonts w:hint="eastAsia" w:ascii="仿宋" w:hAnsi="仿宋" w:eastAsia="仿宋" w:cs="仿宋"/>
          <w:color w:val="auto"/>
          <w:kern w:val="2"/>
          <w:sz w:val="32"/>
          <w:szCs w:val="32"/>
        </w:rPr>
        <w:t>较</w:t>
      </w:r>
      <w:r>
        <w:rPr>
          <w:rFonts w:ascii="仿宋" w:hAnsi="仿宋" w:eastAsia="仿宋" w:cs="仿宋"/>
          <w:color w:val="auto"/>
          <w:kern w:val="2"/>
          <w:sz w:val="32"/>
          <w:szCs w:val="32"/>
        </w:rPr>
        <w:t>精准</w:t>
      </w:r>
      <w:r>
        <w:rPr>
          <w:rFonts w:hint="eastAsia" w:ascii="仿宋" w:hAnsi="仿宋" w:eastAsia="仿宋" w:cs="仿宋"/>
          <w:color w:val="auto"/>
          <w:kern w:val="2"/>
          <w:sz w:val="32"/>
          <w:szCs w:val="32"/>
        </w:rPr>
        <w:t>。</w:t>
      </w:r>
    </w:p>
    <w:p w14:paraId="61D7A001">
      <w:pPr>
        <w:pStyle w:val="13"/>
        <w:spacing w:line="600" w:lineRule="exact"/>
        <w:ind w:firstLine="640" w:firstLineChars="200"/>
        <w:rPr>
          <w:rFonts w:hAnsi="黑体"/>
          <w:bCs/>
          <w:sz w:val="32"/>
          <w:szCs w:val="32"/>
        </w:rPr>
      </w:pPr>
      <w:r>
        <w:rPr>
          <w:rFonts w:hint="eastAsia" w:hAnsi="黑体"/>
          <w:bCs/>
          <w:sz w:val="32"/>
          <w:szCs w:val="32"/>
        </w:rPr>
        <w:t>六、一般公共预算财政拨款基本支出决算情况说明</w:t>
      </w:r>
    </w:p>
    <w:p w14:paraId="176ED208">
      <w:pPr>
        <w:pStyle w:val="13"/>
        <w:spacing w:line="600" w:lineRule="exact"/>
        <w:ind w:firstLine="800" w:firstLineChars="250"/>
        <w:rPr>
          <w:rFonts w:ascii="仿宋" w:hAnsi="仿宋" w:eastAsia="仿宋" w:cs="仿宋"/>
          <w:color w:val="auto"/>
          <w:kern w:val="2"/>
          <w:sz w:val="32"/>
          <w:szCs w:val="32"/>
        </w:rPr>
      </w:pPr>
      <w:r>
        <w:rPr>
          <w:rFonts w:hint="eastAsia" w:ascii="仿宋" w:hAnsi="仿宋" w:eastAsia="仿宋" w:cs="仿宋"/>
          <w:color w:val="auto"/>
          <w:kern w:val="2"/>
          <w:sz w:val="32"/>
          <w:szCs w:val="32"/>
        </w:rPr>
        <w:t>2023年度一般公共预算财政拨款基本支出</w:t>
      </w:r>
      <w:r>
        <w:rPr>
          <w:rFonts w:ascii="仿宋" w:hAnsi="仿宋" w:eastAsia="仿宋" w:cs="仿宋"/>
          <w:color w:val="auto"/>
          <w:kern w:val="2"/>
          <w:sz w:val="32"/>
          <w:szCs w:val="32"/>
        </w:rPr>
        <w:t>482.86</w:t>
      </w:r>
      <w:r>
        <w:rPr>
          <w:rFonts w:hint="eastAsia" w:ascii="仿宋" w:hAnsi="仿宋" w:eastAsia="仿宋" w:cs="仿宋"/>
          <w:color w:val="auto"/>
          <w:kern w:val="2"/>
          <w:sz w:val="32"/>
          <w:szCs w:val="32"/>
        </w:rPr>
        <w:t>万元，其中：</w:t>
      </w:r>
    </w:p>
    <w:p w14:paraId="6CE0E82B">
      <w:pPr>
        <w:pStyle w:val="13"/>
        <w:spacing w:line="600" w:lineRule="exact"/>
        <w:ind w:firstLine="640" w:firstLineChars="200"/>
        <w:rPr>
          <w:rFonts w:ascii="仿宋" w:hAnsi="仿宋" w:eastAsia="仿宋" w:cs="仿宋"/>
          <w:color w:val="auto"/>
          <w:kern w:val="2"/>
          <w:sz w:val="32"/>
          <w:szCs w:val="32"/>
        </w:rPr>
      </w:pPr>
      <w:r>
        <w:rPr>
          <w:rFonts w:hint="eastAsia" w:ascii="Times New Roman" w:hAnsi="Times New Roman" w:eastAsia="仿宋_GB2312"/>
          <w:b/>
          <w:bCs/>
          <w:sz w:val="32"/>
          <w:szCs w:val="32"/>
        </w:rPr>
        <w:t>人员经费</w:t>
      </w:r>
      <w:r>
        <w:rPr>
          <w:rFonts w:ascii="Times New Roman" w:hAnsi="Times New Roman" w:eastAsia="仿宋_GB2312"/>
          <w:sz w:val="32"/>
          <w:szCs w:val="32"/>
        </w:rPr>
        <w:t>4</w:t>
      </w:r>
      <w:r>
        <w:rPr>
          <w:rFonts w:ascii="仿宋" w:hAnsi="仿宋" w:eastAsia="仿宋" w:cs="仿宋"/>
          <w:color w:val="auto"/>
          <w:kern w:val="2"/>
          <w:sz w:val="32"/>
          <w:szCs w:val="32"/>
        </w:rPr>
        <w:t>61.62</w:t>
      </w:r>
      <w:r>
        <w:rPr>
          <w:rFonts w:hint="eastAsia" w:ascii="仿宋" w:hAnsi="仿宋" w:eastAsia="仿宋" w:cs="仿宋"/>
          <w:color w:val="auto"/>
          <w:kern w:val="2"/>
          <w:sz w:val="32"/>
          <w:szCs w:val="32"/>
        </w:rPr>
        <w:t>万元，占基本支出的</w:t>
      </w:r>
      <w:r>
        <w:rPr>
          <w:rFonts w:ascii="仿宋" w:hAnsi="仿宋" w:eastAsia="仿宋" w:cs="仿宋"/>
          <w:color w:val="auto"/>
          <w:kern w:val="2"/>
          <w:sz w:val="32"/>
          <w:szCs w:val="32"/>
        </w:rPr>
        <w:t>95.60</w:t>
      </w:r>
      <w:r>
        <w:rPr>
          <w:rFonts w:hint="eastAsia" w:ascii="仿宋" w:hAnsi="仿宋" w:eastAsia="仿宋" w:cs="仿宋"/>
          <w:color w:val="auto"/>
          <w:kern w:val="2"/>
          <w:sz w:val="32"/>
          <w:szCs w:val="32"/>
        </w:rPr>
        <w:t>%,主要包括基本工资、津贴补贴、奖金、绩效工资、机关事业单位基本养老保险缴费、职工基本医疗保险缴费、其他社会保障缴费、生活补助、其他对个人和家庭的补助。</w:t>
      </w:r>
    </w:p>
    <w:p w14:paraId="4DF0BBBE">
      <w:pPr>
        <w:pStyle w:val="13"/>
        <w:spacing w:line="600" w:lineRule="exact"/>
        <w:ind w:firstLine="640" w:firstLineChars="200"/>
        <w:rPr>
          <w:rFonts w:ascii="楷体" w:hAnsi="楷体" w:eastAsia="楷体" w:cs="楷体"/>
          <w:b/>
          <w:bCs/>
          <w:i/>
          <w:color w:val="auto"/>
          <w:sz w:val="32"/>
          <w:szCs w:val="32"/>
        </w:rPr>
      </w:pPr>
      <w:r>
        <w:rPr>
          <w:rFonts w:hint="eastAsia" w:ascii="Times New Roman" w:hAnsi="Times New Roman" w:eastAsia="仿宋_GB2312"/>
          <w:b/>
          <w:bCs/>
          <w:sz w:val="32"/>
          <w:szCs w:val="32"/>
        </w:rPr>
        <w:t>公用经费</w:t>
      </w:r>
      <w:r>
        <w:rPr>
          <w:rFonts w:ascii="仿宋" w:hAnsi="仿宋" w:eastAsia="仿宋" w:cs="仿宋"/>
          <w:color w:val="auto"/>
          <w:kern w:val="2"/>
          <w:sz w:val="32"/>
          <w:szCs w:val="32"/>
        </w:rPr>
        <w:t>21.24</w:t>
      </w:r>
      <w:r>
        <w:rPr>
          <w:rFonts w:hint="eastAsia" w:ascii="仿宋" w:hAnsi="仿宋" w:eastAsia="仿宋" w:cs="仿宋"/>
          <w:color w:val="auto"/>
          <w:kern w:val="2"/>
          <w:sz w:val="32"/>
          <w:szCs w:val="32"/>
        </w:rPr>
        <w:t>万元，占基本支出的</w:t>
      </w:r>
      <w:r>
        <w:rPr>
          <w:rFonts w:ascii="仿宋" w:hAnsi="仿宋" w:eastAsia="仿宋" w:cs="仿宋"/>
          <w:color w:val="auto"/>
          <w:kern w:val="2"/>
          <w:sz w:val="32"/>
          <w:szCs w:val="32"/>
        </w:rPr>
        <w:t>4.40</w:t>
      </w:r>
      <w:r>
        <w:rPr>
          <w:rFonts w:hint="eastAsia" w:ascii="仿宋" w:hAnsi="仿宋" w:eastAsia="仿宋" w:cs="仿宋"/>
          <w:color w:val="auto"/>
          <w:kern w:val="2"/>
          <w:sz w:val="32"/>
          <w:szCs w:val="32"/>
        </w:rPr>
        <w:t>%，主要包括办公费、邮电费、工会经费、福利费、其他商品和服务支出。</w:t>
      </w:r>
    </w:p>
    <w:p w14:paraId="5DF52E13">
      <w:pPr>
        <w:pStyle w:val="13"/>
        <w:spacing w:line="600" w:lineRule="exact"/>
        <w:ind w:firstLine="640" w:firstLineChars="200"/>
        <w:rPr>
          <w:rFonts w:ascii="Times New Roman" w:hAnsi="Times New Roman" w:eastAsia="仿宋_GB2312"/>
          <w:b/>
          <w:sz w:val="32"/>
          <w:szCs w:val="32"/>
        </w:rPr>
      </w:pPr>
      <w:r>
        <w:rPr>
          <w:rFonts w:hint="eastAsia" w:hAnsi="黑体"/>
          <w:bCs/>
          <w:sz w:val="32"/>
          <w:szCs w:val="32"/>
        </w:rPr>
        <w:t>七、财政拨款三公经费支出决算情况说明</w:t>
      </w:r>
    </w:p>
    <w:p w14:paraId="05356370">
      <w:pPr>
        <w:pStyle w:val="13"/>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（一）“三公”经费财政拨款支出决算总体情况说明</w:t>
      </w:r>
    </w:p>
    <w:p w14:paraId="37E831AC">
      <w:pPr>
        <w:pStyle w:val="13"/>
        <w:spacing w:line="600" w:lineRule="exact"/>
        <w:ind w:firstLine="640" w:firstLineChars="200"/>
        <w:rPr>
          <w:rFonts w:ascii="楷体" w:hAnsi="楷体" w:eastAsia="楷体" w:cs="楷体"/>
          <w:b/>
          <w:sz w:val="32"/>
          <w:szCs w:val="32"/>
        </w:rPr>
      </w:pPr>
    </w:p>
    <w:p w14:paraId="0F76E45B">
      <w:pPr>
        <w:pStyle w:val="13"/>
        <w:spacing w:line="600" w:lineRule="exact"/>
        <w:ind w:firstLine="800" w:firstLineChars="250"/>
        <w:rPr>
          <w:rFonts w:ascii="仿宋" w:hAnsi="仿宋" w:eastAsia="仿宋" w:cs="仿宋"/>
          <w:color w:val="auto"/>
          <w:kern w:val="2"/>
          <w:sz w:val="32"/>
          <w:szCs w:val="32"/>
        </w:rPr>
      </w:pPr>
      <w:r>
        <w:rPr>
          <w:rFonts w:hint="eastAsia" w:ascii="楷体" w:hAnsi="楷体" w:eastAsia="楷体" w:cs="楷体"/>
          <w:b/>
          <w:sz w:val="32"/>
          <w:szCs w:val="32"/>
        </w:rPr>
        <w:t>“</w:t>
      </w:r>
      <w:r>
        <w:rPr>
          <w:rFonts w:hint="eastAsia" w:ascii="仿宋" w:hAnsi="仿宋" w:eastAsia="仿宋" w:cs="仿宋"/>
          <w:color w:val="auto"/>
          <w:kern w:val="2"/>
          <w:sz w:val="32"/>
          <w:szCs w:val="32"/>
        </w:rPr>
        <w:t>三公”经费财政拨款支出预算为</w:t>
      </w:r>
      <w:r>
        <w:rPr>
          <w:rFonts w:ascii="仿宋" w:hAnsi="仿宋" w:eastAsia="仿宋" w:cs="仿宋"/>
          <w:color w:val="auto"/>
          <w:kern w:val="2"/>
          <w:sz w:val="32"/>
          <w:szCs w:val="32"/>
        </w:rPr>
        <w:t>1.00</w:t>
      </w:r>
      <w:r>
        <w:rPr>
          <w:rFonts w:hint="eastAsia" w:ascii="仿宋" w:hAnsi="仿宋" w:eastAsia="仿宋" w:cs="仿宋"/>
          <w:color w:val="auto"/>
          <w:kern w:val="2"/>
          <w:sz w:val="32"/>
          <w:szCs w:val="32"/>
        </w:rPr>
        <w:t>万元，支出决算为</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万元，完成预算的</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%，比上年减少0</w:t>
      </w:r>
      <w:r>
        <w:rPr>
          <w:rFonts w:ascii="仿宋" w:hAnsi="仿宋" w:eastAsia="仿宋" w:cs="仿宋"/>
          <w:color w:val="auto"/>
          <w:kern w:val="2"/>
          <w:sz w:val="32"/>
          <w:szCs w:val="32"/>
        </w:rPr>
        <w:t>.11</w:t>
      </w:r>
      <w:r>
        <w:rPr>
          <w:rFonts w:hint="eastAsia" w:ascii="仿宋" w:hAnsi="仿宋" w:eastAsia="仿宋" w:cs="仿宋"/>
          <w:color w:val="auto"/>
          <w:kern w:val="2"/>
          <w:sz w:val="32"/>
          <w:szCs w:val="32"/>
        </w:rPr>
        <w:t>万元，减少</w:t>
      </w:r>
      <w:r>
        <w:rPr>
          <w:rFonts w:ascii="仿宋" w:hAnsi="仿宋" w:eastAsia="仿宋" w:cs="仿宋"/>
          <w:color w:val="auto"/>
          <w:kern w:val="2"/>
          <w:sz w:val="32"/>
          <w:szCs w:val="32"/>
        </w:rPr>
        <w:t>100</w:t>
      </w:r>
      <w:r>
        <w:rPr>
          <w:rFonts w:hint="eastAsia" w:ascii="仿宋" w:hAnsi="仿宋" w:eastAsia="仿宋" w:cs="仿宋"/>
          <w:color w:val="auto"/>
          <w:kern w:val="2"/>
          <w:sz w:val="32"/>
          <w:szCs w:val="32"/>
        </w:rPr>
        <w:t>%,</w:t>
      </w:r>
      <w:r>
        <w:rPr>
          <w:rFonts w:hint="eastAsia" w:ascii="仿宋" w:hAnsi="仿宋" w:eastAsia="仿宋" w:cs="仿宋"/>
          <w:color w:val="auto"/>
          <w:kern w:val="2"/>
          <w:sz w:val="32"/>
          <w:szCs w:val="32"/>
        </w:rPr>
        <w:t>减少的主要原因是</w:t>
      </w:r>
      <w:bookmarkStart w:id="13" w:name="_Hlk176638102"/>
      <w:r>
        <w:rPr>
          <w:rFonts w:hint="eastAsia" w:ascii="仿宋" w:hAnsi="仿宋" w:eastAsia="仿宋" w:cs="仿宋"/>
          <w:color w:val="auto"/>
          <w:kern w:val="2"/>
          <w:sz w:val="32"/>
          <w:szCs w:val="32"/>
        </w:rPr>
        <w:t>厉行节约、杜绝餐桌上的浪费</w:t>
      </w:r>
      <w:bookmarkEnd w:id="13"/>
      <w:r>
        <w:rPr>
          <w:rFonts w:hint="eastAsia" w:ascii="仿宋" w:hAnsi="仿宋" w:eastAsia="仿宋" w:cs="仿宋"/>
          <w:color w:val="auto"/>
          <w:kern w:val="2"/>
          <w:sz w:val="32"/>
          <w:szCs w:val="32"/>
        </w:rPr>
        <w:t>。其中：</w:t>
      </w:r>
    </w:p>
    <w:p w14:paraId="1C3D5FBA">
      <w:pPr>
        <w:pStyle w:val="13"/>
        <w:spacing w:line="600" w:lineRule="exact"/>
        <w:ind w:firstLine="800" w:firstLineChars="250"/>
        <w:rPr>
          <w:rFonts w:ascii="仿宋" w:hAnsi="仿宋" w:eastAsia="仿宋" w:cs="仿宋"/>
          <w:color w:val="auto"/>
          <w:kern w:val="2"/>
          <w:sz w:val="32"/>
          <w:szCs w:val="32"/>
        </w:rPr>
      </w:pPr>
      <w:r>
        <w:rPr>
          <w:rFonts w:hint="eastAsia" w:ascii="仿宋" w:hAnsi="仿宋" w:eastAsia="仿宋" w:cs="仿宋"/>
          <w:color w:val="auto"/>
          <w:kern w:val="2"/>
          <w:sz w:val="32"/>
          <w:szCs w:val="32"/>
        </w:rPr>
        <w:t>因公出国（境）费支出预算为</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万元，支出决算为</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万元，完成预算的</w:t>
      </w:r>
      <w:r>
        <w:rPr>
          <w:rFonts w:ascii="仿宋" w:hAnsi="仿宋" w:eastAsia="仿宋" w:cs="仿宋"/>
          <w:color w:val="auto"/>
          <w:kern w:val="2"/>
          <w:sz w:val="32"/>
          <w:szCs w:val="32"/>
        </w:rPr>
        <w:t>100</w:t>
      </w:r>
      <w:r>
        <w:rPr>
          <w:rFonts w:hint="eastAsia" w:ascii="仿宋" w:hAnsi="仿宋" w:eastAsia="仿宋" w:cs="仿宋"/>
          <w:color w:val="auto"/>
          <w:kern w:val="2"/>
          <w:sz w:val="32"/>
          <w:szCs w:val="32"/>
        </w:rPr>
        <w:t>%，决算数等于预算数。主要原因是单位未安排出国（境）费支出。</w:t>
      </w:r>
    </w:p>
    <w:p w14:paraId="653B04D0">
      <w:pPr>
        <w:pStyle w:val="13"/>
        <w:spacing w:line="600" w:lineRule="exact"/>
        <w:ind w:firstLine="800" w:firstLineChars="250"/>
        <w:rPr>
          <w:rFonts w:ascii="仿宋" w:hAnsi="仿宋" w:eastAsia="仿宋" w:cs="仿宋"/>
          <w:color w:val="auto"/>
          <w:kern w:val="2"/>
          <w:sz w:val="32"/>
          <w:szCs w:val="32"/>
        </w:rPr>
      </w:pPr>
      <w:r>
        <w:rPr>
          <w:rFonts w:hint="eastAsia" w:ascii="仿宋" w:hAnsi="仿宋" w:eastAsia="仿宋" w:cs="仿宋"/>
          <w:color w:val="auto"/>
          <w:kern w:val="2"/>
          <w:sz w:val="32"/>
          <w:szCs w:val="32"/>
        </w:rPr>
        <w:t>公务接待费支出预算为</w:t>
      </w:r>
      <w:r>
        <w:rPr>
          <w:rFonts w:ascii="仿宋" w:hAnsi="仿宋" w:eastAsia="仿宋" w:cs="仿宋"/>
          <w:color w:val="auto"/>
          <w:kern w:val="2"/>
          <w:sz w:val="32"/>
          <w:szCs w:val="32"/>
        </w:rPr>
        <w:t>1</w:t>
      </w:r>
      <w:r>
        <w:rPr>
          <w:rFonts w:hint="eastAsia" w:ascii="仿宋" w:hAnsi="仿宋" w:eastAsia="仿宋" w:cs="仿宋"/>
          <w:color w:val="auto"/>
          <w:kern w:val="2"/>
          <w:sz w:val="32"/>
          <w:szCs w:val="32"/>
        </w:rPr>
        <w:t>万元，支出决算为</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万元，完成预算的</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%，决算数小于预算数的主要原因是</w:t>
      </w:r>
      <w:bookmarkStart w:id="14" w:name="_Hlk176638189"/>
      <w:r>
        <w:rPr>
          <w:rFonts w:hint="eastAsia" w:ascii="仿宋" w:hAnsi="仿宋" w:eastAsia="仿宋" w:cs="仿宋"/>
          <w:color w:val="auto"/>
          <w:kern w:val="2"/>
          <w:sz w:val="32"/>
          <w:szCs w:val="32"/>
        </w:rPr>
        <w:t>厉行节约、杜绝餐桌上的浪费</w:t>
      </w:r>
      <w:bookmarkEnd w:id="14"/>
      <w:r>
        <w:rPr>
          <w:rFonts w:hint="eastAsia" w:ascii="仿宋" w:hAnsi="仿宋" w:eastAsia="仿宋" w:cs="仿宋"/>
          <w:color w:val="auto"/>
          <w:kern w:val="2"/>
          <w:sz w:val="32"/>
          <w:szCs w:val="32"/>
        </w:rPr>
        <w:t>，与上年相比减少0</w:t>
      </w:r>
      <w:r>
        <w:rPr>
          <w:rFonts w:ascii="仿宋" w:hAnsi="仿宋" w:eastAsia="仿宋" w:cs="仿宋"/>
          <w:color w:val="auto"/>
          <w:kern w:val="2"/>
          <w:sz w:val="32"/>
          <w:szCs w:val="32"/>
        </w:rPr>
        <w:t>.11</w:t>
      </w:r>
      <w:r>
        <w:rPr>
          <w:rFonts w:hint="eastAsia" w:ascii="仿宋" w:hAnsi="仿宋" w:eastAsia="仿宋" w:cs="仿宋"/>
          <w:color w:val="auto"/>
          <w:kern w:val="2"/>
          <w:sz w:val="32"/>
          <w:szCs w:val="32"/>
        </w:rPr>
        <w:t>万元，减少1</w:t>
      </w:r>
      <w:r>
        <w:rPr>
          <w:rFonts w:ascii="仿宋" w:hAnsi="仿宋" w:eastAsia="仿宋" w:cs="仿宋"/>
          <w:color w:val="auto"/>
          <w:kern w:val="2"/>
          <w:sz w:val="32"/>
          <w:szCs w:val="32"/>
        </w:rPr>
        <w:t>00</w:t>
      </w:r>
      <w:r>
        <w:rPr>
          <w:rFonts w:hint="eastAsia" w:ascii="仿宋" w:hAnsi="仿宋" w:eastAsia="仿宋" w:cs="仿宋"/>
          <w:color w:val="auto"/>
          <w:kern w:val="2"/>
          <w:sz w:val="32"/>
          <w:szCs w:val="32"/>
        </w:rPr>
        <w:t>%,</w:t>
      </w:r>
      <w:r>
        <w:rPr>
          <w:rFonts w:hint="eastAsia" w:ascii="仿宋" w:hAnsi="仿宋" w:eastAsia="仿宋" w:cs="仿宋"/>
          <w:color w:val="auto"/>
          <w:kern w:val="2"/>
          <w:sz w:val="32"/>
          <w:szCs w:val="32"/>
        </w:rPr>
        <w:t>减少的主要原因2</w:t>
      </w:r>
      <w:r>
        <w:rPr>
          <w:rFonts w:ascii="仿宋" w:hAnsi="仿宋" w:eastAsia="仿宋" w:cs="仿宋"/>
          <w:color w:val="auto"/>
          <w:kern w:val="2"/>
          <w:sz w:val="32"/>
          <w:szCs w:val="32"/>
        </w:rPr>
        <w:t>023</w:t>
      </w:r>
      <w:r>
        <w:rPr>
          <w:rFonts w:hint="eastAsia" w:ascii="仿宋" w:hAnsi="仿宋" w:eastAsia="仿宋" w:cs="仿宋"/>
          <w:color w:val="auto"/>
          <w:kern w:val="2"/>
          <w:sz w:val="32"/>
          <w:szCs w:val="32"/>
        </w:rPr>
        <w:t>年度无公务接待费支出。</w:t>
      </w:r>
    </w:p>
    <w:p w14:paraId="02E3F191">
      <w:pPr>
        <w:pStyle w:val="13"/>
        <w:spacing w:line="600" w:lineRule="exact"/>
        <w:ind w:firstLine="640" w:firstLineChars="200"/>
        <w:rPr>
          <w:rFonts w:ascii="仿宋" w:hAnsi="仿宋" w:eastAsia="仿宋" w:cs="仿宋"/>
          <w:color w:val="auto"/>
          <w:kern w:val="2"/>
          <w:sz w:val="32"/>
          <w:szCs w:val="32"/>
        </w:rPr>
      </w:pPr>
      <w:r>
        <w:rPr>
          <w:rFonts w:hint="eastAsia" w:ascii="仿宋" w:hAnsi="仿宋" w:eastAsia="仿宋" w:cs="仿宋"/>
          <w:color w:val="auto"/>
          <w:kern w:val="2"/>
          <w:sz w:val="32"/>
          <w:szCs w:val="32"/>
        </w:rPr>
        <w:t>公务用车购置费支出预算为</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万元，支出决算为</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万元，完成预算的</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%，决算数等于预算数的主要原因是</w:t>
      </w:r>
      <w:bookmarkStart w:id="15" w:name="_Hlk176638374"/>
      <w:r>
        <w:rPr>
          <w:rFonts w:hint="eastAsia" w:ascii="仿宋" w:hAnsi="仿宋" w:eastAsia="仿宋" w:cs="仿宋"/>
          <w:color w:val="auto"/>
          <w:kern w:val="2"/>
          <w:sz w:val="32"/>
          <w:szCs w:val="32"/>
        </w:rPr>
        <w:t>单位无公车购置需求</w:t>
      </w:r>
      <w:bookmarkEnd w:id="15"/>
      <w:r>
        <w:rPr>
          <w:rFonts w:hint="eastAsia" w:ascii="仿宋" w:hAnsi="仿宋" w:eastAsia="仿宋" w:cs="仿宋"/>
          <w:color w:val="auto"/>
          <w:kern w:val="2"/>
          <w:sz w:val="32"/>
          <w:szCs w:val="32"/>
        </w:rPr>
        <w:t>，与上年相比持平，主要原因是单位无公车购置需求。</w:t>
      </w:r>
    </w:p>
    <w:p w14:paraId="3D6C7C07">
      <w:pPr>
        <w:pStyle w:val="13"/>
        <w:spacing w:line="600" w:lineRule="exact"/>
        <w:ind w:firstLine="640" w:firstLineChars="200"/>
        <w:rPr>
          <w:rFonts w:ascii="仿宋" w:hAnsi="仿宋" w:eastAsia="仿宋" w:cs="仿宋"/>
          <w:color w:val="auto"/>
          <w:kern w:val="2"/>
          <w:sz w:val="32"/>
          <w:szCs w:val="32"/>
        </w:rPr>
      </w:pPr>
      <w:r>
        <w:rPr>
          <w:rFonts w:hint="eastAsia" w:ascii="仿宋" w:hAnsi="仿宋" w:eastAsia="仿宋" w:cs="仿宋"/>
          <w:color w:val="auto"/>
          <w:kern w:val="2"/>
          <w:sz w:val="32"/>
          <w:szCs w:val="32"/>
        </w:rPr>
        <w:t>公务用车运行维护费支出预算为</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万元，支出决算为</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万元，完成预算的1</w:t>
      </w:r>
      <w:r>
        <w:rPr>
          <w:rFonts w:ascii="仿宋" w:hAnsi="仿宋" w:eastAsia="仿宋" w:cs="仿宋"/>
          <w:color w:val="auto"/>
          <w:kern w:val="2"/>
          <w:sz w:val="32"/>
          <w:szCs w:val="32"/>
        </w:rPr>
        <w:t>00</w:t>
      </w:r>
      <w:r>
        <w:rPr>
          <w:rFonts w:hint="eastAsia" w:ascii="仿宋" w:hAnsi="仿宋" w:eastAsia="仿宋" w:cs="仿宋"/>
          <w:color w:val="auto"/>
          <w:kern w:val="2"/>
          <w:sz w:val="32"/>
          <w:szCs w:val="32"/>
        </w:rPr>
        <w:t>%，决算数等于预算数的主要原因是单位无公车，与上年相比持平，持平的主要原因是单位无公车。</w:t>
      </w:r>
    </w:p>
    <w:p w14:paraId="60D95C94">
      <w:pPr>
        <w:pStyle w:val="13"/>
        <w:spacing w:line="600" w:lineRule="exact"/>
        <w:ind w:firstLine="800" w:firstLineChars="250"/>
        <w:rPr>
          <w:rFonts w:ascii="Times New Roman" w:hAnsi="Times New Roman" w:eastAsia="仿宋_GB2312"/>
          <w:sz w:val="32"/>
          <w:szCs w:val="32"/>
        </w:rPr>
      </w:pPr>
    </w:p>
    <w:p w14:paraId="046B9B78">
      <w:pPr>
        <w:pStyle w:val="13"/>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（二）“三公”经费财政拨款支出决算具体情况说明</w:t>
      </w:r>
    </w:p>
    <w:p w14:paraId="05F20002">
      <w:pPr>
        <w:pStyle w:val="13"/>
        <w:spacing w:line="600" w:lineRule="exact"/>
        <w:ind w:firstLine="800" w:firstLineChars="250"/>
        <w:rPr>
          <w:rFonts w:ascii="仿宋" w:hAnsi="仿宋" w:eastAsia="仿宋" w:cs="仿宋"/>
          <w:color w:val="auto"/>
          <w:kern w:val="2"/>
          <w:sz w:val="32"/>
          <w:szCs w:val="32"/>
        </w:rPr>
      </w:pPr>
      <w:r>
        <w:rPr>
          <w:rFonts w:hint="eastAsia" w:ascii="仿宋" w:hAnsi="仿宋" w:eastAsia="仿宋" w:cs="仿宋"/>
          <w:color w:val="auto"/>
          <w:kern w:val="2"/>
          <w:sz w:val="32"/>
          <w:szCs w:val="32"/>
        </w:rPr>
        <w:t>2023年度“三公”经费财政拨款支出决算中，公务接待费支出决算</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万元，占</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%,因公出国（境）费支出决算</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万元，占</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%,公务用车购置费及运行维护费支出决算</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万元，占</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%。其中：</w:t>
      </w:r>
    </w:p>
    <w:p w14:paraId="4A793376">
      <w:pPr>
        <w:pStyle w:val="13"/>
        <w:spacing w:line="600" w:lineRule="exact"/>
        <w:ind w:firstLine="800" w:firstLineChars="250"/>
        <w:rPr>
          <w:rFonts w:ascii="仿宋" w:hAnsi="仿宋" w:eastAsia="仿宋" w:cs="仿宋"/>
          <w:color w:val="auto"/>
          <w:kern w:val="2"/>
          <w:sz w:val="32"/>
          <w:szCs w:val="32"/>
        </w:rPr>
      </w:pPr>
      <w:r>
        <w:rPr>
          <w:rFonts w:hint="eastAsia" w:ascii="仿宋" w:hAnsi="仿宋" w:eastAsia="仿宋" w:cs="仿宋"/>
          <w:color w:val="auto"/>
          <w:kern w:val="2"/>
          <w:sz w:val="32"/>
          <w:szCs w:val="32"/>
        </w:rPr>
        <w:t>1、因公出国（境）费支出决算为</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万元，全年安排因公出国（境）团组</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个，累计</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人次。</w:t>
      </w:r>
    </w:p>
    <w:p w14:paraId="6E609F9A">
      <w:pPr>
        <w:pStyle w:val="13"/>
        <w:spacing w:line="600" w:lineRule="exact"/>
        <w:ind w:firstLine="800" w:firstLineChars="250"/>
        <w:rPr>
          <w:rFonts w:ascii="Times New Roman" w:hAnsi="Times New Roman" w:eastAsia="仿宋_GB2312"/>
          <w:sz w:val="32"/>
          <w:szCs w:val="32"/>
        </w:rPr>
      </w:pPr>
      <w:r>
        <w:rPr>
          <w:rFonts w:hint="eastAsia" w:ascii="仿宋" w:hAnsi="仿宋" w:eastAsia="仿宋" w:cs="仿宋"/>
          <w:color w:val="auto"/>
          <w:kern w:val="2"/>
          <w:sz w:val="32"/>
          <w:szCs w:val="32"/>
        </w:rPr>
        <w:t>2、公务接待费支出决算为</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万元，全年共接待来访团组</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个、来宾</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人次。</w:t>
      </w:r>
    </w:p>
    <w:p w14:paraId="7343C69A">
      <w:pPr>
        <w:spacing w:line="600" w:lineRule="exact"/>
        <w:ind w:firstLine="800" w:firstLineChars="250"/>
        <w:rPr>
          <w:rFonts w:ascii="仿宋" w:hAnsi="仿宋" w:eastAsia="仿宋" w:cs="仿宋"/>
          <w:sz w:val="32"/>
          <w:szCs w:val="32"/>
        </w:rPr>
      </w:pPr>
      <w:r>
        <w:rPr>
          <w:rFonts w:hint="eastAsia" w:ascii="仿宋" w:hAnsi="仿宋" w:eastAsia="仿宋" w:cs="仿宋"/>
          <w:sz w:val="32"/>
          <w:szCs w:val="32"/>
        </w:rPr>
        <w:t>3、公务用车购置费及运行维护费支出决算为</w:t>
      </w:r>
      <w:r>
        <w:rPr>
          <w:rFonts w:ascii="仿宋" w:hAnsi="仿宋" w:eastAsia="仿宋" w:cs="仿宋"/>
          <w:sz w:val="32"/>
          <w:szCs w:val="32"/>
        </w:rPr>
        <w:t>0</w:t>
      </w:r>
      <w:r>
        <w:rPr>
          <w:rFonts w:hint="eastAsia" w:ascii="仿宋" w:hAnsi="仿宋" w:eastAsia="仿宋" w:cs="仿宋"/>
          <w:sz w:val="32"/>
          <w:szCs w:val="32"/>
        </w:rPr>
        <w:t>万元。截止2023年12月31日，我单位开支财政拨款的公务用车保有量为</w:t>
      </w:r>
      <w:r>
        <w:rPr>
          <w:rFonts w:ascii="仿宋" w:hAnsi="仿宋" w:eastAsia="仿宋" w:cs="仿宋"/>
          <w:sz w:val="32"/>
          <w:szCs w:val="32"/>
        </w:rPr>
        <w:t>0</w:t>
      </w:r>
      <w:r>
        <w:rPr>
          <w:rFonts w:hint="eastAsia" w:ascii="仿宋" w:hAnsi="仿宋" w:eastAsia="仿宋" w:cs="仿宋"/>
          <w:sz w:val="32"/>
          <w:szCs w:val="32"/>
        </w:rPr>
        <w:t>辆。</w:t>
      </w:r>
    </w:p>
    <w:p w14:paraId="696DB33E">
      <w:pPr>
        <w:pStyle w:val="13"/>
        <w:spacing w:line="600" w:lineRule="exact"/>
        <w:ind w:firstLine="640" w:firstLineChars="200"/>
        <w:rPr>
          <w:rFonts w:hAnsi="黑体"/>
          <w:bCs/>
          <w:sz w:val="32"/>
          <w:szCs w:val="32"/>
        </w:rPr>
      </w:pPr>
      <w:r>
        <w:rPr>
          <w:rFonts w:hint="eastAsia" w:hAnsi="黑体"/>
          <w:bCs/>
          <w:sz w:val="32"/>
          <w:szCs w:val="32"/>
        </w:rPr>
        <w:t>八、政府性基金预算收入支出决算情况</w:t>
      </w:r>
    </w:p>
    <w:p w14:paraId="5293AD80">
      <w:pPr>
        <w:pStyle w:val="13"/>
        <w:spacing w:line="600" w:lineRule="exact"/>
        <w:rPr>
          <w:rFonts w:ascii="楷体" w:hAnsi="楷体" w:eastAsia="楷体" w:cs="楷体"/>
          <w:b/>
          <w:bCs/>
          <w:i/>
          <w:color w:val="auto"/>
          <w:sz w:val="32"/>
          <w:szCs w:val="32"/>
        </w:rPr>
      </w:pPr>
      <w:r>
        <w:rPr>
          <w:rFonts w:hint="eastAsia" w:ascii="Times New Roman" w:hAnsi="Times New Roman" w:eastAsia="仿宋_GB2312"/>
          <w:sz w:val="32"/>
          <w:szCs w:val="32"/>
        </w:rPr>
        <w:t xml:space="preserve">     </w:t>
      </w:r>
      <w:bookmarkStart w:id="16" w:name="_Hlk178017741"/>
      <w:r>
        <w:rPr>
          <w:rFonts w:hint="eastAsia" w:ascii="仿宋" w:hAnsi="仿宋" w:eastAsia="仿宋" w:cs="仿宋"/>
          <w:color w:val="auto"/>
          <w:kern w:val="2"/>
          <w:sz w:val="32"/>
          <w:szCs w:val="32"/>
        </w:rPr>
        <w:t>2023年度政府性基金预算财政拨款收入</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万元；年初结转和结余</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万元；支出</w:t>
      </w:r>
      <w:r>
        <w:rPr>
          <w:rFonts w:ascii="仿宋" w:hAnsi="仿宋" w:eastAsia="仿宋" w:cs="仿宋"/>
          <w:color w:val="auto"/>
          <w:kern w:val="2"/>
          <w:sz w:val="32"/>
          <w:szCs w:val="32"/>
        </w:rPr>
        <w:t>104.81</w:t>
      </w:r>
      <w:r>
        <w:rPr>
          <w:rFonts w:hint="eastAsia" w:ascii="仿宋" w:hAnsi="仿宋" w:eastAsia="仿宋" w:cs="仿宋"/>
          <w:color w:val="auto"/>
          <w:kern w:val="2"/>
          <w:sz w:val="32"/>
          <w:szCs w:val="32"/>
        </w:rPr>
        <w:t>万元，其中基本支出</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万元，项目支出</w:t>
      </w:r>
      <w:r>
        <w:rPr>
          <w:rFonts w:ascii="仿宋" w:hAnsi="仿宋" w:eastAsia="仿宋" w:cs="仿宋"/>
          <w:color w:val="auto"/>
          <w:kern w:val="2"/>
          <w:sz w:val="32"/>
          <w:szCs w:val="32"/>
        </w:rPr>
        <w:t>104.81</w:t>
      </w:r>
      <w:r>
        <w:rPr>
          <w:rFonts w:hint="eastAsia" w:ascii="仿宋" w:hAnsi="仿宋" w:eastAsia="仿宋" w:cs="仿宋"/>
          <w:color w:val="auto"/>
          <w:kern w:val="2"/>
          <w:sz w:val="32"/>
          <w:szCs w:val="32"/>
        </w:rPr>
        <w:t>万元；年末结转和结余</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w:t>
      </w:r>
      <w:bookmarkEnd w:id="16"/>
      <w:r>
        <w:rPr>
          <w:rFonts w:hint="eastAsia" w:ascii="仿宋" w:hAnsi="仿宋" w:eastAsia="仿宋" w:cs="仿宋"/>
          <w:color w:val="auto"/>
          <w:kern w:val="2"/>
          <w:sz w:val="32"/>
          <w:szCs w:val="32"/>
        </w:rPr>
        <w:t>具体情况如下：</w:t>
      </w:r>
      <w:r>
        <w:rPr>
          <w:rFonts w:ascii="楷体" w:hAnsi="楷体" w:eastAsia="楷体" w:cs="楷体"/>
          <w:b/>
          <w:bCs/>
          <w:i/>
          <w:color w:val="auto"/>
          <w:sz w:val="32"/>
          <w:szCs w:val="32"/>
        </w:rPr>
        <w:t xml:space="preserve"> </w:t>
      </w:r>
    </w:p>
    <w:p w14:paraId="11F22DDB">
      <w:pPr>
        <w:pStyle w:val="13"/>
        <w:spacing w:line="600" w:lineRule="exact"/>
        <w:ind w:firstLine="640" w:firstLineChars="200"/>
        <w:rPr>
          <w:rFonts w:ascii="仿宋" w:hAnsi="仿宋" w:eastAsia="仿宋" w:cs="仿宋"/>
          <w:color w:val="auto"/>
          <w:kern w:val="2"/>
          <w:sz w:val="32"/>
          <w:szCs w:val="32"/>
        </w:rPr>
      </w:pPr>
      <w:bookmarkStart w:id="17" w:name="_Hlk176703089"/>
      <w:r>
        <w:rPr>
          <w:rFonts w:hint="eastAsia" w:ascii="仿宋" w:hAnsi="仿宋" w:eastAsia="仿宋" w:cs="仿宋"/>
          <w:color w:val="auto"/>
          <w:kern w:val="2"/>
          <w:sz w:val="32"/>
          <w:szCs w:val="32"/>
        </w:rPr>
        <w:t>1、城乡社区支出（类）城市基础设施配套费安排的支出（款）城市环境卫生（项）。</w:t>
      </w:r>
    </w:p>
    <w:bookmarkEnd w:id="17"/>
    <w:p w14:paraId="20C13C5A">
      <w:pPr>
        <w:pStyle w:val="13"/>
        <w:spacing w:line="600" w:lineRule="exact"/>
        <w:ind w:firstLine="640" w:firstLineChars="200"/>
        <w:rPr>
          <w:rFonts w:ascii="仿宋" w:hAnsi="仿宋" w:eastAsia="仿宋" w:cs="仿宋"/>
          <w:color w:val="auto"/>
          <w:kern w:val="2"/>
          <w:sz w:val="32"/>
          <w:szCs w:val="32"/>
        </w:rPr>
      </w:pPr>
      <w:r>
        <w:rPr>
          <w:rFonts w:hint="eastAsia" w:ascii="仿宋" w:hAnsi="仿宋" w:eastAsia="仿宋" w:cs="仿宋"/>
          <w:color w:val="auto"/>
          <w:kern w:val="2"/>
          <w:sz w:val="32"/>
          <w:szCs w:val="32"/>
        </w:rPr>
        <w:t>年初预算为</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万元，支出决算为</w:t>
      </w:r>
      <w:r>
        <w:rPr>
          <w:rFonts w:ascii="仿宋" w:hAnsi="仿宋" w:eastAsia="仿宋" w:cs="仿宋"/>
          <w:color w:val="auto"/>
          <w:kern w:val="2"/>
          <w:sz w:val="32"/>
          <w:szCs w:val="32"/>
        </w:rPr>
        <w:t>72.81</w:t>
      </w:r>
      <w:r>
        <w:rPr>
          <w:rFonts w:hint="eastAsia" w:ascii="仿宋" w:hAnsi="仿宋" w:eastAsia="仿宋" w:cs="仿宋"/>
          <w:color w:val="auto"/>
          <w:kern w:val="2"/>
          <w:sz w:val="32"/>
          <w:szCs w:val="32"/>
        </w:rPr>
        <w:t>万元，年初预算数为0，无法计算预算完成率，决算数大于年初预算数的主要原因是：原怀化市污水处理监督管理办公室7月并入事务中心，年初未列入预算，年中调整预算。</w:t>
      </w:r>
    </w:p>
    <w:p w14:paraId="75342784">
      <w:pPr>
        <w:pStyle w:val="13"/>
        <w:spacing w:line="600" w:lineRule="exact"/>
        <w:ind w:firstLine="640" w:firstLineChars="200"/>
        <w:rPr>
          <w:rFonts w:ascii="仿宋" w:hAnsi="仿宋" w:eastAsia="仿宋" w:cs="仿宋"/>
          <w:color w:val="auto"/>
          <w:kern w:val="2"/>
          <w:sz w:val="32"/>
          <w:szCs w:val="32"/>
        </w:rPr>
      </w:pPr>
      <w:r>
        <w:rPr>
          <w:rFonts w:hint="eastAsia" w:ascii="仿宋" w:hAnsi="仿宋" w:eastAsia="仿宋" w:cs="仿宋"/>
          <w:color w:val="auto"/>
          <w:kern w:val="2"/>
          <w:sz w:val="32"/>
          <w:szCs w:val="32"/>
        </w:rPr>
        <w:t>2、城乡社区支出（类）城市基础设施配套费安排的支出（款）其他城市基础设施配套费安排的支出（项）。</w:t>
      </w:r>
    </w:p>
    <w:p w14:paraId="1F23A726">
      <w:pPr>
        <w:pStyle w:val="13"/>
        <w:spacing w:line="600" w:lineRule="exact"/>
        <w:ind w:firstLine="640" w:firstLineChars="200"/>
        <w:rPr>
          <w:rFonts w:ascii="仿宋" w:hAnsi="仿宋" w:eastAsia="仿宋" w:cs="仿宋"/>
          <w:color w:val="auto"/>
          <w:kern w:val="2"/>
          <w:sz w:val="32"/>
          <w:szCs w:val="32"/>
        </w:rPr>
      </w:pPr>
      <w:r>
        <w:rPr>
          <w:rFonts w:hint="eastAsia" w:ascii="仿宋" w:hAnsi="仿宋" w:eastAsia="仿宋" w:cs="仿宋"/>
          <w:color w:val="auto"/>
          <w:kern w:val="2"/>
          <w:sz w:val="32"/>
          <w:szCs w:val="32"/>
        </w:rPr>
        <w:t>年初预算为</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万元，支出决算为</w:t>
      </w:r>
      <w:r>
        <w:rPr>
          <w:rFonts w:ascii="仿宋" w:hAnsi="仿宋" w:eastAsia="仿宋" w:cs="仿宋"/>
          <w:color w:val="auto"/>
          <w:kern w:val="2"/>
          <w:sz w:val="32"/>
          <w:szCs w:val="32"/>
        </w:rPr>
        <w:t>32</w:t>
      </w:r>
      <w:r>
        <w:rPr>
          <w:rFonts w:hint="eastAsia" w:ascii="仿宋" w:hAnsi="仿宋" w:eastAsia="仿宋" w:cs="仿宋"/>
          <w:color w:val="auto"/>
          <w:kern w:val="2"/>
          <w:sz w:val="32"/>
          <w:szCs w:val="32"/>
        </w:rPr>
        <w:t>万元，年初预算数为0，无法计算预算完成率，决算数大于年初预算数的主要原因是：年初未纳入预算，年中追加预算。</w:t>
      </w:r>
    </w:p>
    <w:p w14:paraId="1455A44C">
      <w:pPr>
        <w:pStyle w:val="13"/>
        <w:spacing w:line="600" w:lineRule="exact"/>
        <w:ind w:firstLine="640" w:firstLineChars="200"/>
        <w:rPr>
          <w:rFonts w:hAnsi="黑体"/>
          <w:bCs/>
          <w:sz w:val="32"/>
          <w:szCs w:val="32"/>
        </w:rPr>
      </w:pPr>
      <w:r>
        <w:rPr>
          <w:rFonts w:hint="eastAsia" w:hAnsi="黑体"/>
          <w:bCs/>
          <w:sz w:val="32"/>
          <w:szCs w:val="32"/>
        </w:rPr>
        <w:t>九、国有资本经营预算收入支出决算情况</w:t>
      </w:r>
    </w:p>
    <w:p w14:paraId="6C68FBA4">
      <w:pPr>
        <w:pStyle w:val="13"/>
        <w:spacing w:line="600" w:lineRule="exact"/>
        <w:ind w:firstLine="640" w:firstLineChars="200"/>
        <w:rPr>
          <w:rFonts w:hint="eastAsia" w:hAnsi="黑体"/>
          <w:bCs/>
          <w:sz w:val="32"/>
          <w:szCs w:val="32"/>
        </w:rPr>
      </w:pPr>
      <w:r>
        <w:rPr>
          <w:rFonts w:hint="eastAsia" w:ascii="仿宋" w:hAnsi="仿宋" w:eastAsia="仿宋" w:cs="仿宋"/>
          <w:color w:val="auto"/>
          <w:kern w:val="2"/>
          <w:sz w:val="32"/>
          <w:szCs w:val="32"/>
        </w:rPr>
        <w:t>2023年度国有资本经营预算财政拨款收入</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万元；年初结转和结余</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万元；支出</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万元，其中基本支出</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万元，项目支出</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万元；年末结转和结余</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w:t>
      </w:r>
    </w:p>
    <w:p w14:paraId="739CCC97">
      <w:pPr>
        <w:pStyle w:val="13"/>
        <w:spacing w:line="600" w:lineRule="exact"/>
        <w:ind w:firstLine="640" w:firstLineChars="200"/>
        <w:rPr>
          <w:rFonts w:ascii="Times New Roman" w:hAnsi="Times New Roman" w:eastAsia="仿宋_GB2312"/>
          <w:b/>
          <w:color w:val="auto"/>
          <w:sz w:val="32"/>
          <w:szCs w:val="32"/>
        </w:rPr>
      </w:pPr>
      <w:r>
        <w:rPr>
          <w:rFonts w:hint="eastAsia" w:ascii="Times New Roman" w:hAnsi="Times New Roman" w:eastAsia="仿宋_GB2312"/>
          <w:b/>
          <w:color w:val="auto"/>
          <w:sz w:val="32"/>
          <w:szCs w:val="32"/>
        </w:rPr>
        <w:t>十、关于机关运行经费支出说明</w:t>
      </w:r>
    </w:p>
    <w:p w14:paraId="34DCB773">
      <w:pPr>
        <w:pStyle w:val="13"/>
        <w:spacing w:line="600" w:lineRule="exact"/>
        <w:ind w:firstLine="640" w:firstLineChars="200"/>
        <w:rPr>
          <w:rFonts w:ascii="仿宋" w:hAnsi="仿宋" w:eastAsia="仿宋" w:cs="仿宋"/>
          <w:color w:val="auto"/>
          <w:kern w:val="2"/>
          <w:sz w:val="32"/>
          <w:szCs w:val="32"/>
        </w:rPr>
      </w:pPr>
      <w:r>
        <w:rPr>
          <w:rFonts w:hint="eastAsia" w:ascii="仿宋" w:hAnsi="仿宋" w:eastAsia="仿宋" w:cs="仿宋"/>
          <w:color w:val="auto"/>
          <w:kern w:val="2"/>
          <w:sz w:val="32"/>
          <w:szCs w:val="32"/>
        </w:rPr>
        <w:t>本部门2023年度机关运行经费支出</w:t>
      </w:r>
      <w:r>
        <w:rPr>
          <w:rFonts w:ascii="仿宋" w:hAnsi="仿宋" w:eastAsia="仿宋" w:cs="仿宋"/>
          <w:color w:val="auto"/>
          <w:kern w:val="2"/>
          <w:sz w:val="32"/>
          <w:szCs w:val="32"/>
        </w:rPr>
        <w:t>21.24</w:t>
      </w:r>
      <w:r>
        <w:rPr>
          <w:rFonts w:hint="eastAsia" w:ascii="仿宋" w:hAnsi="仿宋" w:eastAsia="仿宋" w:cs="仿宋"/>
          <w:color w:val="auto"/>
          <w:kern w:val="2"/>
          <w:sz w:val="32"/>
          <w:szCs w:val="32"/>
        </w:rPr>
        <w:t>万元</w:t>
      </w:r>
      <w:r>
        <w:rPr>
          <w:rFonts w:hint="eastAsia" w:ascii="楷体" w:hAnsi="楷体" w:eastAsia="楷体" w:cs="楷体"/>
          <w:b/>
          <w:bCs/>
          <w:i/>
          <w:color w:val="auto"/>
          <w:sz w:val="32"/>
          <w:szCs w:val="32"/>
        </w:rPr>
        <w:t>，</w:t>
      </w:r>
      <w:r>
        <w:rPr>
          <w:rFonts w:hint="eastAsia" w:ascii="仿宋" w:hAnsi="仿宋" w:eastAsia="仿宋" w:cs="仿宋"/>
          <w:color w:val="auto"/>
          <w:kern w:val="2"/>
          <w:sz w:val="32"/>
          <w:szCs w:val="32"/>
        </w:rPr>
        <w:t>比上年决算数增加6</w:t>
      </w:r>
      <w:r>
        <w:rPr>
          <w:rFonts w:ascii="仿宋" w:hAnsi="仿宋" w:eastAsia="仿宋" w:cs="仿宋"/>
          <w:color w:val="auto"/>
          <w:kern w:val="2"/>
          <w:sz w:val="32"/>
          <w:szCs w:val="32"/>
        </w:rPr>
        <w:t>.37</w:t>
      </w:r>
      <w:r>
        <w:rPr>
          <w:rFonts w:hint="eastAsia" w:ascii="仿宋" w:hAnsi="仿宋" w:eastAsia="仿宋" w:cs="仿宋"/>
          <w:color w:val="auto"/>
          <w:kern w:val="2"/>
          <w:sz w:val="32"/>
          <w:szCs w:val="32"/>
        </w:rPr>
        <w:t>万元，增长4</w:t>
      </w:r>
      <w:r>
        <w:rPr>
          <w:rFonts w:ascii="仿宋" w:hAnsi="仿宋" w:eastAsia="仿宋" w:cs="仿宋"/>
          <w:color w:val="auto"/>
          <w:kern w:val="2"/>
          <w:sz w:val="32"/>
          <w:szCs w:val="32"/>
        </w:rPr>
        <w:t>2.84</w:t>
      </w:r>
      <w:r>
        <w:rPr>
          <w:rFonts w:hint="eastAsia" w:ascii="仿宋" w:hAnsi="仿宋" w:eastAsia="仿宋" w:cs="仿宋"/>
          <w:color w:val="auto"/>
          <w:kern w:val="2"/>
          <w:sz w:val="32"/>
          <w:szCs w:val="32"/>
        </w:rPr>
        <w:t>%。主要原因是：原怀化市污水处理监督管理办公室7月并入事务中心，在职人员增加13人，机关运行经费支出增加。</w:t>
      </w:r>
    </w:p>
    <w:p w14:paraId="073290E2">
      <w:pPr>
        <w:pStyle w:val="13"/>
        <w:spacing w:line="600" w:lineRule="exact"/>
        <w:ind w:firstLine="640" w:firstLineChars="200"/>
        <w:rPr>
          <w:rFonts w:hAnsi="黑体"/>
          <w:bCs/>
          <w:sz w:val="32"/>
          <w:szCs w:val="32"/>
        </w:rPr>
      </w:pPr>
      <w:r>
        <w:rPr>
          <w:rFonts w:hint="eastAsia" w:hAnsi="黑体"/>
          <w:bCs/>
          <w:sz w:val="32"/>
          <w:szCs w:val="32"/>
        </w:rPr>
        <w:t>十一、一般性支出情况说明</w:t>
      </w:r>
    </w:p>
    <w:p w14:paraId="64D87B2A">
      <w:pPr>
        <w:pStyle w:val="13"/>
        <w:spacing w:line="600" w:lineRule="exact"/>
        <w:ind w:firstLine="640" w:firstLineChars="200"/>
        <w:rPr>
          <w:rFonts w:ascii="仿宋" w:hAnsi="仿宋" w:eastAsia="仿宋" w:cs="仿宋"/>
          <w:color w:val="auto"/>
          <w:kern w:val="2"/>
          <w:sz w:val="32"/>
          <w:szCs w:val="32"/>
        </w:rPr>
      </w:pPr>
      <w:r>
        <w:rPr>
          <w:rFonts w:hint="eastAsia" w:ascii="仿宋" w:hAnsi="仿宋" w:eastAsia="仿宋" w:cs="仿宋"/>
          <w:color w:val="auto"/>
          <w:kern w:val="2"/>
          <w:sz w:val="32"/>
          <w:szCs w:val="32"/>
        </w:rPr>
        <w:t>2023年本部门会议费预算0万元，实际开支会议费0万元，</w:t>
      </w:r>
      <w:bookmarkStart w:id="18" w:name="_Hlk176717488"/>
      <w:r>
        <w:rPr>
          <w:rFonts w:hint="eastAsia" w:ascii="仿宋" w:hAnsi="仿宋" w:eastAsia="仿宋" w:cs="仿宋"/>
          <w:color w:val="auto"/>
          <w:kern w:val="2"/>
          <w:sz w:val="32"/>
          <w:szCs w:val="32"/>
        </w:rPr>
        <w:t>未举办节庆、晚会、论坛、赛事活动</w:t>
      </w:r>
      <w:bookmarkEnd w:id="18"/>
      <w:r>
        <w:rPr>
          <w:rFonts w:hint="eastAsia" w:ascii="仿宋" w:hAnsi="仿宋" w:eastAsia="仿宋" w:cs="仿宋"/>
          <w:color w:val="auto"/>
          <w:kern w:val="2"/>
          <w:sz w:val="32"/>
          <w:szCs w:val="32"/>
        </w:rPr>
        <w:t>，无举办节庆、晚会、论坛、赛事活动支出，2</w:t>
      </w:r>
      <w:r>
        <w:rPr>
          <w:rFonts w:ascii="仿宋" w:hAnsi="仿宋" w:eastAsia="仿宋" w:cs="仿宋"/>
          <w:color w:val="auto"/>
          <w:kern w:val="2"/>
          <w:sz w:val="32"/>
          <w:szCs w:val="32"/>
        </w:rPr>
        <w:t>023</w:t>
      </w:r>
      <w:r>
        <w:rPr>
          <w:rFonts w:hint="eastAsia" w:ascii="仿宋" w:hAnsi="仿宋" w:eastAsia="仿宋" w:cs="仿宋"/>
          <w:color w:val="auto"/>
          <w:kern w:val="2"/>
          <w:sz w:val="32"/>
          <w:szCs w:val="32"/>
        </w:rPr>
        <w:t>年培训费预算2万元，培训内容：开展202</w:t>
      </w:r>
      <w:r>
        <w:rPr>
          <w:rFonts w:ascii="仿宋" w:hAnsi="仿宋" w:eastAsia="仿宋" w:cs="仿宋"/>
          <w:color w:val="auto"/>
          <w:kern w:val="2"/>
          <w:sz w:val="32"/>
          <w:szCs w:val="32"/>
        </w:rPr>
        <w:t>2</w:t>
      </w:r>
      <w:r>
        <w:rPr>
          <w:rFonts w:hint="eastAsia" w:ascii="仿宋" w:hAnsi="仿宋" w:eastAsia="仿宋" w:cs="仿宋"/>
          <w:color w:val="auto"/>
          <w:kern w:val="2"/>
          <w:sz w:val="32"/>
          <w:szCs w:val="32"/>
        </w:rPr>
        <w:t>年计价依据宣贯交底培训，培训人数</w:t>
      </w:r>
      <w:r>
        <w:rPr>
          <w:rFonts w:ascii="仿宋" w:hAnsi="仿宋" w:eastAsia="仿宋" w:cs="仿宋"/>
          <w:color w:val="auto"/>
          <w:kern w:val="2"/>
          <w:sz w:val="32"/>
          <w:szCs w:val="32"/>
        </w:rPr>
        <w:t>129</w:t>
      </w:r>
      <w:r>
        <w:rPr>
          <w:rFonts w:hint="eastAsia" w:ascii="仿宋" w:hAnsi="仿宋" w:eastAsia="仿宋" w:cs="仿宋"/>
          <w:color w:val="auto"/>
          <w:kern w:val="2"/>
          <w:sz w:val="32"/>
          <w:szCs w:val="32"/>
        </w:rPr>
        <w:t>人，培训费实际支出2</w:t>
      </w:r>
      <w:r>
        <w:rPr>
          <w:rFonts w:ascii="仿宋" w:hAnsi="仿宋" w:eastAsia="仿宋" w:cs="仿宋"/>
          <w:color w:val="auto"/>
          <w:kern w:val="2"/>
          <w:sz w:val="32"/>
          <w:szCs w:val="32"/>
        </w:rPr>
        <w:t>.04</w:t>
      </w:r>
      <w:r>
        <w:rPr>
          <w:rFonts w:hint="eastAsia" w:ascii="仿宋" w:hAnsi="仿宋" w:eastAsia="仿宋" w:cs="仿宋"/>
          <w:color w:val="auto"/>
          <w:kern w:val="2"/>
          <w:sz w:val="32"/>
          <w:szCs w:val="32"/>
        </w:rPr>
        <w:t>万元。</w:t>
      </w:r>
    </w:p>
    <w:p w14:paraId="116FBC80">
      <w:pPr>
        <w:pStyle w:val="13"/>
        <w:spacing w:line="600" w:lineRule="exact"/>
        <w:ind w:firstLine="640" w:firstLineChars="200"/>
        <w:rPr>
          <w:rFonts w:hAnsi="黑体"/>
          <w:bCs/>
          <w:sz w:val="32"/>
          <w:szCs w:val="32"/>
        </w:rPr>
      </w:pPr>
      <w:r>
        <w:rPr>
          <w:rFonts w:hint="eastAsia" w:hAnsi="黑体"/>
          <w:bCs/>
          <w:sz w:val="32"/>
          <w:szCs w:val="32"/>
        </w:rPr>
        <w:t>十二、关于政府采购支出说明</w:t>
      </w:r>
    </w:p>
    <w:p w14:paraId="28DF37F4">
      <w:pPr>
        <w:pStyle w:val="13"/>
        <w:spacing w:line="580" w:lineRule="exact"/>
        <w:ind w:firstLine="640" w:firstLineChars="200"/>
        <w:rPr>
          <w:rFonts w:ascii="仿宋" w:hAnsi="仿宋" w:eastAsia="仿宋" w:cs="仿宋"/>
          <w:color w:val="auto"/>
          <w:kern w:val="2"/>
          <w:sz w:val="32"/>
          <w:szCs w:val="32"/>
        </w:rPr>
      </w:pPr>
      <w:r>
        <w:rPr>
          <w:rFonts w:hint="eastAsia" w:ascii="仿宋" w:hAnsi="仿宋" w:eastAsia="仿宋" w:cs="仿宋"/>
          <w:color w:val="auto"/>
          <w:kern w:val="2"/>
          <w:sz w:val="32"/>
          <w:szCs w:val="32"/>
        </w:rPr>
        <w:t>本部门2023年度政府采购支出总额</w:t>
      </w:r>
      <w:r>
        <w:rPr>
          <w:rFonts w:ascii="仿宋" w:hAnsi="仿宋" w:eastAsia="仿宋" w:cs="仿宋"/>
          <w:color w:val="auto"/>
          <w:kern w:val="2"/>
          <w:sz w:val="32"/>
          <w:szCs w:val="32"/>
        </w:rPr>
        <w:t>2.60</w:t>
      </w:r>
      <w:r>
        <w:rPr>
          <w:rFonts w:hint="eastAsia" w:ascii="仿宋" w:hAnsi="仿宋" w:eastAsia="仿宋" w:cs="仿宋"/>
          <w:color w:val="auto"/>
          <w:kern w:val="2"/>
          <w:sz w:val="32"/>
          <w:szCs w:val="32"/>
        </w:rPr>
        <w:t>万元，其中：政府采购货物支出</w:t>
      </w:r>
      <w:r>
        <w:rPr>
          <w:rFonts w:ascii="仿宋" w:hAnsi="仿宋" w:eastAsia="仿宋" w:cs="仿宋"/>
          <w:color w:val="auto"/>
          <w:kern w:val="2"/>
          <w:sz w:val="32"/>
          <w:szCs w:val="32"/>
        </w:rPr>
        <w:t>2.60</w:t>
      </w:r>
      <w:r>
        <w:rPr>
          <w:rFonts w:hint="eastAsia" w:ascii="仿宋" w:hAnsi="仿宋" w:eastAsia="仿宋" w:cs="仿宋"/>
          <w:color w:val="auto"/>
          <w:kern w:val="2"/>
          <w:sz w:val="32"/>
          <w:szCs w:val="32"/>
        </w:rPr>
        <w:t>万元、政府采购工程支出</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万元、政府采购服务支出</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万元。授予中小企业合同金额</w:t>
      </w:r>
      <w:r>
        <w:rPr>
          <w:rFonts w:ascii="仿宋" w:hAnsi="仿宋" w:eastAsia="仿宋" w:cs="仿宋"/>
          <w:color w:val="auto"/>
          <w:kern w:val="2"/>
          <w:sz w:val="32"/>
          <w:szCs w:val="32"/>
        </w:rPr>
        <w:t>2.60</w:t>
      </w:r>
      <w:r>
        <w:rPr>
          <w:rFonts w:hint="eastAsia" w:ascii="仿宋" w:hAnsi="仿宋" w:eastAsia="仿宋" w:cs="仿宋"/>
          <w:color w:val="auto"/>
          <w:kern w:val="2"/>
          <w:sz w:val="32"/>
          <w:szCs w:val="32"/>
        </w:rPr>
        <w:t>万元，占政府采购支出总额的</w:t>
      </w:r>
      <w:r>
        <w:rPr>
          <w:rFonts w:ascii="仿宋" w:hAnsi="仿宋" w:eastAsia="仿宋" w:cs="仿宋"/>
          <w:color w:val="auto"/>
          <w:kern w:val="2"/>
          <w:sz w:val="32"/>
          <w:szCs w:val="32"/>
        </w:rPr>
        <w:t>100</w:t>
      </w:r>
      <w:r>
        <w:rPr>
          <w:rFonts w:hint="eastAsia" w:ascii="仿宋" w:hAnsi="仿宋" w:eastAsia="仿宋" w:cs="仿宋"/>
          <w:color w:val="auto"/>
          <w:kern w:val="2"/>
          <w:sz w:val="32"/>
          <w:szCs w:val="32"/>
        </w:rPr>
        <w:t>%，其中：授予小微企业合同金额</w:t>
      </w:r>
      <w:r>
        <w:rPr>
          <w:rFonts w:ascii="仿宋" w:hAnsi="仿宋" w:eastAsia="仿宋" w:cs="仿宋"/>
          <w:color w:val="auto"/>
          <w:kern w:val="2"/>
          <w:sz w:val="32"/>
          <w:szCs w:val="32"/>
        </w:rPr>
        <w:t>2.60</w:t>
      </w:r>
      <w:r>
        <w:rPr>
          <w:rFonts w:hint="eastAsia" w:ascii="仿宋" w:hAnsi="仿宋" w:eastAsia="仿宋" w:cs="仿宋"/>
          <w:color w:val="auto"/>
          <w:kern w:val="2"/>
          <w:sz w:val="32"/>
          <w:szCs w:val="32"/>
        </w:rPr>
        <w:t>万元，占授予中小企业合同金额的</w:t>
      </w:r>
      <w:r>
        <w:rPr>
          <w:rFonts w:ascii="仿宋" w:hAnsi="仿宋" w:eastAsia="仿宋" w:cs="仿宋"/>
          <w:color w:val="auto"/>
          <w:kern w:val="2"/>
          <w:sz w:val="32"/>
          <w:szCs w:val="32"/>
        </w:rPr>
        <w:t>100</w:t>
      </w:r>
      <w:r>
        <w:rPr>
          <w:rFonts w:hint="eastAsia" w:ascii="仿宋" w:hAnsi="仿宋" w:eastAsia="仿宋" w:cs="仿宋"/>
          <w:color w:val="auto"/>
          <w:kern w:val="2"/>
          <w:sz w:val="32"/>
          <w:szCs w:val="32"/>
        </w:rPr>
        <w:t>%。货物采购授予中小企业合同金额占货物支出金额的</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%，工程采购授予中小企业合同金额占工程支出金额的</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%，服务采购授予中小企业合同金额占服务支出金额的</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w:t>
      </w:r>
    </w:p>
    <w:p w14:paraId="2C15B65C">
      <w:pPr>
        <w:pStyle w:val="13"/>
        <w:spacing w:line="580" w:lineRule="exact"/>
        <w:ind w:firstLine="640" w:firstLineChars="200"/>
        <w:rPr>
          <w:rFonts w:hAnsi="黑体"/>
          <w:bCs/>
          <w:color w:val="auto"/>
          <w:sz w:val="32"/>
          <w:szCs w:val="32"/>
        </w:rPr>
      </w:pPr>
      <w:r>
        <w:rPr>
          <w:rFonts w:hint="eastAsia" w:hAnsi="黑体"/>
          <w:bCs/>
          <w:color w:val="auto"/>
          <w:sz w:val="32"/>
          <w:szCs w:val="32"/>
        </w:rPr>
        <w:t>十三、关于国有资产占用情况说明</w:t>
      </w:r>
    </w:p>
    <w:p w14:paraId="152C36D5">
      <w:pPr>
        <w:pStyle w:val="13"/>
        <w:spacing w:line="580" w:lineRule="exact"/>
        <w:ind w:firstLine="640" w:firstLineChars="200"/>
        <w:rPr>
          <w:rFonts w:ascii="仿宋" w:hAnsi="仿宋" w:eastAsia="仿宋" w:cs="仿宋"/>
          <w:color w:val="auto"/>
          <w:kern w:val="2"/>
          <w:sz w:val="32"/>
          <w:szCs w:val="32"/>
        </w:rPr>
      </w:pPr>
      <w:r>
        <w:rPr>
          <w:rFonts w:hint="eastAsia" w:ascii="仿宋" w:hAnsi="仿宋" w:eastAsia="仿宋" w:cs="仿宋"/>
          <w:color w:val="auto"/>
          <w:kern w:val="2"/>
          <w:sz w:val="32"/>
          <w:szCs w:val="32"/>
        </w:rPr>
        <w:t>截至2023年12月31日，部门（单位）共有车辆</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辆，其中，副部（省）级及以上领导用车</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辆、主要负责人用车</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辆、机要通信用车</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辆、应急保障用车</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辆、执法执勤用车</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辆、特种专业技术用车</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辆、离退休干部服务用车</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辆、其他用车</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辆0；单位价值100万元以上设备（不含车辆）</w:t>
      </w:r>
      <w:r>
        <w:rPr>
          <w:rFonts w:ascii="仿宋" w:hAnsi="仿宋" w:eastAsia="仿宋" w:cs="仿宋"/>
          <w:color w:val="auto"/>
          <w:kern w:val="2"/>
          <w:sz w:val="32"/>
          <w:szCs w:val="32"/>
        </w:rPr>
        <w:t>0</w:t>
      </w:r>
      <w:r>
        <w:rPr>
          <w:rFonts w:hint="eastAsia" w:ascii="仿宋" w:hAnsi="仿宋" w:eastAsia="仿宋" w:cs="仿宋"/>
          <w:color w:val="auto"/>
          <w:kern w:val="2"/>
          <w:sz w:val="32"/>
          <w:szCs w:val="32"/>
        </w:rPr>
        <w:t>台（套）。</w:t>
      </w:r>
    </w:p>
    <w:p w14:paraId="10B90A7A">
      <w:pPr>
        <w:pStyle w:val="13"/>
        <w:spacing w:line="580" w:lineRule="exact"/>
        <w:ind w:firstLine="640" w:firstLineChars="200"/>
        <w:rPr>
          <w:rFonts w:hAnsi="黑体"/>
          <w:bCs/>
          <w:color w:val="auto"/>
          <w:sz w:val="32"/>
          <w:szCs w:val="32"/>
        </w:rPr>
      </w:pPr>
      <w:r>
        <w:rPr>
          <w:rFonts w:hint="eastAsia" w:hAnsi="黑体"/>
          <w:bCs/>
          <w:color w:val="auto"/>
          <w:sz w:val="32"/>
          <w:szCs w:val="32"/>
        </w:rPr>
        <w:t>十四、关于</w:t>
      </w:r>
      <w:r>
        <w:rPr>
          <w:rFonts w:hint="eastAsia" w:ascii="Times New Roman" w:hAnsi="Times New Roman" w:eastAsia="仿宋_GB2312"/>
          <w:color w:val="auto"/>
          <w:sz w:val="32"/>
          <w:szCs w:val="32"/>
        </w:rPr>
        <w:t>2023</w:t>
      </w:r>
      <w:r>
        <w:rPr>
          <w:rFonts w:hint="eastAsia" w:hAnsi="黑体"/>
          <w:bCs/>
          <w:color w:val="auto"/>
          <w:sz w:val="32"/>
          <w:szCs w:val="32"/>
        </w:rPr>
        <w:t>年度预算绩效情况的说明</w:t>
      </w:r>
    </w:p>
    <w:p w14:paraId="51C4EF8C">
      <w:pPr>
        <w:pStyle w:val="13"/>
        <w:numPr>
          <w:ilvl w:val="0"/>
          <w:numId w:val="3"/>
        </w:numPr>
        <w:spacing w:line="580" w:lineRule="exact"/>
        <w:rPr>
          <w:rFonts w:ascii="楷体" w:hAnsi="楷体" w:eastAsia="楷体" w:cs="楷体"/>
          <w:b/>
          <w:bCs/>
          <w:sz w:val="32"/>
          <w:szCs w:val="32"/>
        </w:rPr>
      </w:pPr>
      <w:r>
        <w:rPr>
          <w:rFonts w:hint="eastAsia" w:ascii="楷体" w:hAnsi="楷体" w:eastAsia="楷体" w:cs="楷体"/>
          <w:b/>
          <w:bCs/>
          <w:sz w:val="32"/>
          <w:szCs w:val="32"/>
        </w:rPr>
        <w:t>绩效管理工作开展情况</w:t>
      </w:r>
    </w:p>
    <w:p w14:paraId="6FE90B68">
      <w:pPr>
        <w:pStyle w:val="13"/>
        <w:spacing w:line="580" w:lineRule="exact"/>
        <w:ind w:firstLine="640" w:firstLineChars="200"/>
        <w:rPr>
          <w:rFonts w:ascii="仿宋" w:hAnsi="仿宋" w:eastAsia="仿宋" w:cs="仿宋"/>
          <w:color w:val="auto"/>
          <w:kern w:val="2"/>
          <w:sz w:val="32"/>
          <w:szCs w:val="32"/>
        </w:rPr>
      </w:pPr>
      <w:r>
        <w:rPr>
          <w:rFonts w:hint="eastAsia" w:ascii="仿宋" w:hAnsi="仿宋" w:eastAsia="仿宋" w:cs="仿宋"/>
          <w:color w:val="auto"/>
          <w:kern w:val="2"/>
          <w:sz w:val="32"/>
          <w:szCs w:val="32"/>
        </w:rPr>
        <w:t>我单位按照市级部门预决算编制通知和有关要求，按时完成预决算编制工作，并及时在网上进行预决算公开。部门整体绩效目标编制完整、合理，项目绩效目标编制明确、量化。按要求严格预算执行管理，及时足额将专项资金按指标拨付。严格执行“三公经费”预算，按要求及时公开预算、决算、绩效等信息。按要求及时、准确、全面开展资产清查工作，上报国有资产报表数据的真实、准确、全面。内部控制制度健全完整并执行良好，在本年度内未出现廉政风险。中心支部认真贯彻落实省、市有关文件精神，以党建为统领，以行业诚信建设为抓手，扎实推进招投标、燃气、造价、污水工作有序开展，完成上级交办的各项工作任务，绩效评价结果为优秀。</w:t>
      </w:r>
    </w:p>
    <w:p w14:paraId="7BF28908">
      <w:pPr>
        <w:pStyle w:val="19"/>
        <w:ind w:left="643" w:firstLine="480" w:firstLineChars="150"/>
        <w:rPr>
          <w:rFonts w:ascii="楷体" w:hAnsi="楷体" w:eastAsia="楷体" w:cs="楷体"/>
          <w:b/>
          <w:bCs/>
          <w:sz w:val="32"/>
          <w:szCs w:val="32"/>
        </w:rPr>
      </w:pPr>
      <w:r>
        <w:rPr>
          <w:rFonts w:hint="eastAsia" w:ascii="楷体" w:hAnsi="楷体" w:eastAsia="楷体" w:cs="楷体"/>
          <w:b/>
          <w:bCs/>
          <w:sz w:val="32"/>
          <w:szCs w:val="32"/>
        </w:rPr>
        <w:t>（二）部门（单位）整体支出绩效情况</w:t>
      </w:r>
    </w:p>
    <w:p w14:paraId="0A4184B6">
      <w:pPr>
        <w:pStyle w:val="13"/>
        <w:spacing w:line="580" w:lineRule="exact"/>
        <w:ind w:firstLine="640" w:firstLineChars="200"/>
        <w:rPr>
          <w:rFonts w:ascii="仿宋" w:hAnsi="仿宋" w:eastAsia="仿宋" w:cs="仿宋"/>
          <w:color w:val="auto"/>
          <w:kern w:val="2"/>
          <w:sz w:val="32"/>
          <w:szCs w:val="32"/>
        </w:rPr>
      </w:pPr>
      <w:r>
        <w:rPr>
          <w:rFonts w:hint="eastAsia" w:ascii="仿宋" w:hAnsi="仿宋" w:eastAsia="仿宋" w:cs="仿宋"/>
          <w:sz w:val="32"/>
          <w:szCs w:val="32"/>
        </w:rPr>
        <w:t>2023年我单位整体支出781.06万元，全部实行整体支出绩效目标管理，年初编报绩效目标的项目2个，年中追加编报绩效目标4个，涉及项目支出 297.87万元，其中专项业务费58.14 万元,污水处理业务费25.13 万元、城市基础设施配套费安排的支出32万元、鹤中一体化燃气规划专项经费27.99万元、污泥干化处置费72.81万元、污水截污干管费用8</w:t>
      </w:r>
      <w:r>
        <w:rPr>
          <w:rFonts w:hint="eastAsia" w:ascii="仿宋" w:hAnsi="仿宋" w:eastAsia="仿宋" w:cs="仿宋"/>
          <w:color w:val="auto"/>
          <w:kern w:val="2"/>
          <w:sz w:val="32"/>
          <w:szCs w:val="32"/>
        </w:rPr>
        <w:t>1.80万元，全部实行项目支出绩效目标管理。2023年中心支部在市住建局党组的正确领导下，认真贯彻落实省、市有关文件精神，以党建为统领，以行业诚信建设为抓手，扎实推进招投标、燃气、造价、污水工作有序开展，完成上级交办的各项工作任务，社会公众满意度达到9</w:t>
      </w:r>
      <w:r>
        <w:rPr>
          <w:rFonts w:ascii="仿宋" w:hAnsi="仿宋" w:eastAsia="仿宋" w:cs="仿宋"/>
          <w:color w:val="auto"/>
          <w:kern w:val="2"/>
          <w:sz w:val="32"/>
          <w:szCs w:val="32"/>
        </w:rPr>
        <w:t>5%</w:t>
      </w:r>
      <w:r>
        <w:rPr>
          <w:rFonts w:hint="eastAsia" w:ascii="仿宋" w:hAnsi="仿宋" w:eastAsia="仿宋" w:cs="仿宋"/>
          <w:color w:val="auto"/>
          <w:kern w:val="2"/>
          <w:sz w:val="32"/>
          <w:szCs w:val="32"/>
        </w:rPr>
        <w:t>以上。</w:t>
      </w:r>
    </w:p>
    <w:p w14:paraId="13A64D55">
      <w:pPr>
        <w:pStyle w:val="13"/>
        <w:spacing w:line="580" w:lineRule="exact"/>
        <w:ind w:firstLine="640" w:firstLineChars="200"/>
        <w:rPr>
          <w:rFonts w:ascii="仿宋" w:hAnsi="仿宋" w:eastAsia="仿宋" w:cs="仿宋"/>
          <w:color w:val="auto"/>
          <w:kern w:val="2"/>
          <w:sz w:val="32"/>
          <w:szCs w:val="32"/>
        </w:rPr>
      </w:pPr>
      <w:r>
        <w:rPr>
          <w:rFonts w:hint="eastAsia" w:ascii="仿宋" w:hAnsi="仿宋" w:eastAsia="仿宋" w:cs="仿宋"/>
          <w:color w:val="auto"/>
          <w:kern w:val="2"/>
          <w:sz w:val="32"/>
          <w:szCs w:val="32"/>
        </w:rPr>
        <w:t>1、党的建设全面加强。一是贯彻落实新时代党的建设总要求，坚持和加强党的全面领导，坚定不移全面从严治党。</w:t>
      </w:r>
    </w:p>
    <w:p w14:paraId="58B3FB79">
      <w:pPr>
        <w:pStyle w:val="13"/>
        <w:spacing w:line="580" w:lineRule="exact"/>
        <w:ind w:firstLine="640" w:firstLineChars="200"/>
        <w:rPr>
          <w:rFonts w:ascii="仿宋" w:hAnsi="仿宋" w:eastAsia="仿宋" w:cs="仿宋"/>
          <w:color w:val="auto"/>
          <w:kern w:val="2"/>
          <w:sz w:val="32"/>
          <w:szCs w:val="32"/>
        </w:rPr>
      </w:pPr>
      <w:r>
        <w:rPr>
          <w:rFonts w:hint="eastAsia" w:ascii="仿宋" w:hAnsi="仿宋" w:eastAsia="仿宋" w:cs="仿宋"/>
          <w:color w:val="auto"/>
          <w:kern w:val="2"/>
          <w:sz w:val="32"/>
          <w:szCs w:val="32"/>
        </w:rPr>
        <w:t xml:space="preserve"> </w:t>
      </w:r>
      <w:r>
        <w:rPr>
          <w:rFonts w:ascii="仿宋" w:hAnsi="仿宋" w:eastAsia="仿宋" w:cs="仿宋"/>
          <w:color w:val="auto"/>
          <w:kern w:val="2"/>
          <w:sz w:val="32"/>
          <w:szCs w:val="32"/>
        </w:rPr>
        <w:t xml:space="preserve">  2</w:t>
      </w:r>
      <w:r>
        <w:rPr>
          <w:rFonts w:hint="eastAsia" w:ascii="仿宋" w:hAnsi="仿宋" w:eastAsia="仿宋" w:cs="仿宋"/>
          <w:color w:val="auto"/>
          <w:kern w:val="2"/>
          <w:sz w:val="32"/>
          <w:szCs w:val="32"/>
        </w:rPr>
        <w:t>、筑牢意识形态阵地。</w:t>
      </w:r>
    </w:p>
    <w:p w14:paraId="1EEF662F">
      <w:pPr>
        <w:pStyle w:val="13"/>
        <w:spacing w:line="580" w:lineRule="exact"/>
        <w:ind w:firstLine="640" w:firstLineChars="200"/>
        <w:rPr>
          <w:rFonts w:ascii="仿宋" w:hAnsi="仿宋" w:eastAsia="仿宋" w:cs="仿宋"/>
          <w:color w:val="auto"/>
          <w:kern w:val="2"/>
          <w:sz w:val="32"/>
          <w:szCs w:val="32"/>
        </w:rPr>
      </w:pPr>
      <w:r>
        <w:rPr>
          <w:rFonts w:hint="eastAsia" w:ascii="仿宋" w:hAnsi="仿宋" w:eastAsia="仿宋" w:cs="仿宋"/>
          <w:color w:val="auto"/>
          <w:kern w:val="2"/>
          <w:sz w:val="32"/>
          <w:szCs w:val="32"/>
        </w:rPr>
        <w:t>3、全面部署狠抓落实。招投标专项整治：制定《关于开展2023年度全市房屋建筑和市政基础设施工程标后稽查工作的通知》、《怀化市2023年住建领域招投标突出问题专项整治工作方案》等，持续推动招投标专项整治向纵深发展，成立招投标突出问题专项整治工作领导小组，承担专项整治工作方案中各项任务的综合协调、跟踪督办、监督检查、政策起草等专项整治工作。造价计价依据宣贯：于2022年3月9-10日，举办“2022年计价依据”宣贯交底培训，组织市县住建、财评、审计、施工、造价咨询机构等相关单位的120余名造价从业人员参加培训。燃气安全专项整治：制定了《怀化市城镇燃气安全专项整治工作方案》《怀化市城镇燃气用户橡胶软管等更换实施方案》等，成立了怀化市城镇燃气安全专项整治工作专班。全年完成41.66万户燃气入户安检，22.54万户燃气橡胶软管更换，9712户燃气餐饮企业检查，1.06万户城镇燃气平台的信息入录。燃气管道涉铁安全隐患整治：经过一年的努力牵头负责的全市燃气管道涉铁隐患20处，已全部完成整改，鹤城全市涉铁隐患剩余1处因地质原因正在抓紧进场施工。太平溪流域整改：牵头起草《太平溪流域水环境问题巡视整改工作方案》。该方案涉及16个部门（单位）18条具体整改措施，实行一月一调度，各项工作正按序时推进。</w:t>
      </w:r>
    </w:p>
    <w:p w14:paraId="65595AE8">
      <w:pPr>
        <w:shd w:val="clear" w:color="auto" w:fill="FFFFFF"/>
        <w:spacing w:line="600" w:lineRule="exact"/>
        <w:ind w:firstLine="800" w:firstLineChars="250"/>
        <w:rPr>
          <w:rFonts w:ascii="Times New Roman" w:hAnsi="Times New Roman" w:eastAsia="仿宋" w:cs="仿宋_GB2312"/>
          <w:sz w:val="32"/>
          <w:szCs w:val="32"/>
        </w:rPr>
      </w:pPr>
      <w:r>
        <w:rPr>
          <w:rFonts w:hint="eastAsia" w:ascii="Times New Roman" w:hAnsi="Times New Roman" w:eastAsia="仿宋" w:cs="仿宋_GB2312"/>
          <w:sz w:val="32"/>
          <w:szCs w:val="32"/>
        </w:rPr>
        <w:t>4、业务工作稳步推进。招标投监督管理：全面实行不见面开标、评标，坚持招标文件“应核尽核”，事后常态化开展标后稽查，落实标后承诺制度，强化相关主体责任，切实加强对工程项目招投标的监督管理。造价材料价格信息：全年调查、发布12期全市建筑材料价格信息，印发《怀化市工程造价》6期。污水整治：配合生态环境部门积极做好入河排污口排查整治工作，对直接负责整改的15个排口和维护范围内的舞水河东岸及太平溪和三条支流（潭口溪、岩堰溪、坨垸溪）塌陷和渗漏严重地段的污水管网进行了全面摸排，计划2024年1月底完成财评和服务单位选定工作，2月中旬如期开工。燃气排查整治：共排查燃气餐饮（重点检查夜市摊店）工商用户5730处，发现隐患2640个，已全部整改到位。</w:t>
      </w:r>
    </w:p>
    <w:p w14:paraId="0EB376F8">
      <w:pPr>
        <w:shd w:val="clear" w:color="auto" w:fill="FFFFFF"/>
        <w:spacing w:line="600" w:lineRule="exact"/>
        <w:ind w:firstLine="800" w:firstLineChars="250"/>
        <w:rPr>
          <w:rFonts w:ascii="Times New Roman" w:hAnsi="Times New Roman" w:eastAsia="仿宋" w:cs="仿宋_GB2312"/>
          <w:sz w:val="32"/>
          <w:szCs w:val="32"/>
        </w:rPr>
      </w:pPr>
      <w:r>
        <w:rPr>
          <w:rFonts w:hint="eastAsia" w:ascii="Times New Roman" w:hAnsi="Times New Roman" w:eastAsia="仿宋" w:cs="仿宋_GB2312"/>
          <w:sz w:val="32"/>
          <w:szCs w:val="32"/>
        </w:rPr>
        <w:t>5、压紧压实主体责任。招投标方面：强化招标代理机构管理，严格核查招标代理机构专职人员信息，通过监管平台对招标代理机构实行“一项目一考评”。燃气方面：落实城镇燃气安全管理“六化”工作。强化城镇燃气“全链条、全过程、全要素”安全管理，防范燃气安全事故发生，消除燃气市场安全隐患。全市15个县市区按照“街巷定界、规模适度”的原则，完成网络化划分工作64个，划分燃气输配系统网格419个，明确“三员”的网络数量419个。全市共制定应急预案70个，开展应急演练72次。污水方面：督促指导怀化市全城污水处理有限公司建设好怀化市污水处理厂改扩建工程，该工程已于9月15日通水调试，11月5日运行，市本级污水处理能力提升到21万立方米/日。加强对污水主干管网维护单位的日常监管，督促指导维护单位建立应急预案，完善应急管理机制，实行每天巡查打卡，建立巡查问题整改台账，对维护单位实行每月考核评分。造价方面：开展全市工程造价咨询企业及注册造价工程师监督检查，推进工程造价咨询企业诚信服务创建精神为文明示范工作。</w:t>
      </w:r>
    </w:p>
    <w:p w14:paraId="50CC1FF2">
      <w:pPr>
        <w:shd w:val="clear" w:color="auto" w:fill="FFFFFF"/>
        <w:spacing w:line="600" w:lineRule="exact"/>
        <w:ind w:firstLine="800" w:firstLineChars="250"/>
        <w:rPr>
          <w:rFonts w:ascii="Times New Roman" w:hAnsi="Times New Roman" w:eastAsia="仿宋" w:cs="仿宋_GB2312"/>
          <w:sz w:val="32"/>
          <w:szCs w:val="32"/>
        </w:rPr>
      </w:pPr>
      <w:r>
        <w:rPr>
          <w:rFonts w:hint="eastAsia" w:ascii="Times New Roman" w:hAnsi="Times New Roman" w:eastAsia="仿宋" w:cs="仿宋_GB2312"/>
          <w:sz w:val="32"/>
          <w:szCs w:val="32"/>
        </w:rPr>
        <w:t>6、民生事业长足发展。黑臭水体整治：茅谷冲溪黑臭水体整治初见成效。2023年全市县以上城市完成污水管网新建改造共96.18公里（新建32.95公里、改造63.23公里），省厅任务50公里。造价审查：积极配合省厅和市局完成恒大、处遗、保交楼、市政工程等项目的造价审查工作，助力房地产市场平稳过渡。城镇燃气老旧管网改造：全年完成燃气老旧管网更新改造约125公里（其中：市政管道11.343公里、庭院管道29.7586公里、燃气立管84.689公里），完成燃气户内设施改造35020户。</w:t>
      </w:r>
    </w:p>
    <w:p w14:paraId="141F4415">
      <w:pPr>
        <w:shd w:val="clear" w:color="auto" w:fill="FFFFFF"/>
        <w:spacing w:line="600" w:lineRule="exact"/>
        <w:ind w:firstLine="800" w:firstLineChars="250"/>
        <w:rPr>
          <w:rFonts w:ascii="Times New Roman" w:hAnsi="Times New Roman" w:eastAsia="仿宋" w:cs="仿宋_GB2312"/>
          <w:sz w:val="32"/>
          <w:szCs w:val="32"/>
        </w:rPr>
      </w:pPr>
      <w:r>
        <w:rPr>
          <w:rFonts w:hint="eastAsia" w:ascii="Times New Roman" w:hAnsi="Times New Roman" w:eastAsia="仿宋" w:cs="仿宋_GB2312"/>
          <w:sz w:val="32"/>
          <w:szCs w:val="32"/>
        </w:rPr>
        <w:t>7、强化执法有力震慑。</w:t>
      </w:r>
    </w:p>
    <w:p w14:paraId="469A585E">
      <w:pPr>
        <w:shd w:val="clear" w:color="auto" w:fill="FFFFFF"/>
        <w:spacing w:line="600" w:lineRule="exact"/>
        <w:ind w:firstLine="800" w:firstLineChars="250"/>
        <w:rPr>
          <w:rFonts w:ascii="Times New Roman" w:hAnsi="Times New Roman" w:eastAsia="仿宋" w:cs="仿宋_GB2312"/>
          <w:sz w:val="32"/>
          <w:szCs w:val="32"/>
        </w:rPr>
      </w:pPr>
      <w:r>
        <w:rPr>
          <w:rFonts w:ascii="Times New Roman" w:hAnsi="Times New Roman" w:eastAsia="仿宋" w:cs="仿宋_GB2312"/>
          <w:sz w:val="32"/>
          <w:szCs w:val="32"/>
        </w:rPr>
        <w:t>8</w:t>
      </w:r>
      <w:r>
        <w:rPr>
          <w:rFonts w:hint="eastAsia" w:ascii="Times New Roman" w:hAnsi="Times New Roman" w:eastAsia="仿宋" w:cs="仿宋_GB2312"/>
          <w:sz w:val="32"/>
          <w:szCs w:val="32"/>
        </w:rPr>
        <w:t>、宣传引导营造氛围。</w:t>
      </w:r>
    </w:p>
    <w:p w14:paraId="60720412">
      <w:pPr>
        <w:shd w:val="clear" w:color="auto" w:fill="FFFFFF"/>
        <w:spacing w:line="600" w:lineRule="exact"/>
        <w:ind w:firstLine="800" w:firstLineChars="250"/>
        <w:rPr>
          <w:rFonts w:ascii="Times New Roman" w:hAnsi="Times New Roman" w:eastAsia="仿宋" w:cs="仿宋_GB2312"/>
          <w:sz w:val="32"/>
          <w:szCs w:val="32"/>
        </w:rPr>
      </w:pPr>
      <w:r>
        <w:rPr>
          <w:rFonts w:hint="eastAsia" w:ascii="Times New Roman" w:hAnsi="Times New Roman" w:eastAsia="仿宋" w:cs="仿宋_GB2312"/>
          <w:sz w:val="32"/>
          <w:szCs w:val="32"/>
        </w:rPr>
        <w:t>9、我单位将继续加强对招投标全过程的监督管理，尤其是标后履约监督管理，会同专治办、发改委等部门对中标人履约情况通过“双随机一公开”模式进行检查，严厉打击招投标违法违规行为，加大惩处力度。继续加强对燃气经营企业的安全生产不定期督促指导，进一步规范行业经营行为，确保行业运营安全，营造安全、有序的发展环境。按照工程造价管理改革工作方案要求，做好向数字造价站转型相关工作。持续开展燃气市场打非治违工作，继续联合公安、交通行政执法、城市管理行政执法等开展联合行动。组织燃气企业负责人集中学习新《安全生产法》和相关业务知识，提高他们的依法经营水平。开展城市黑臭水体排查整治，改善城市质量与居民生存环境；加强对污水主干管网维护单位的日常监管，督促指导维护单位建立应急预案，完善应急管理机制。</w:t>
      </w:r>
    </w:p>
    <w:p w14:paraId="3BCDB16D">
      <w:pPr>
        <w:pStyle w:val="13"/>
        <w:numPr>
          <w:ilvl w:val="0"/>
          <w:numId w:val="3"/>
        </w:numPr>
        <w:spacing w:line="580" w:lineRule="exact"/>
        <w:jc w:val="both"/>
        <w:rPr>
          <w:rFonts w:ascii="Times New Roman" w:hAnsi="Times New Roman" w:eastAsia="仿宋" w:cs="仿宋_GB2312"/>
          <w:color w:val="auto"/>
          <w:kern w:val="2"/>
          <w:sz w:val="32"/>
          <w:szCs w:val="32"/>
        </w:rPr>
      </w:pPr>
      <w:r>
        <w:rPr>
          <w:rFonts w:hint="eastAsia" w:ascii="Times New Roman" w:hAnsi="Times New Roman" w:eastAsia="仿宋" w:cs="仿宋_GB2312"/>
          <w:color w:val="auto"/>
          <w:kern w:val="2"/>
          <w:sz w:val="32"/>
          <w:szCs w:val="32"/>
        </w:rPr>
        <w:t>存在的问题及原因分析</w:t>
      </w:r>
    </w:p>
    <w:p w14:paraId="1681BA5A">
      <w:pPr>
        <w:shd w:val="clear" w:color="auto" w:fill="FFFFFF"/>
        <w:spacing w:line="600" w:lineRule="exact"/>
        <w:ind w:left="850"/>
        <w:rPr>
          <w:rFonts w:ascii="Times New Roman" w:hAnsi="Times New Roman" w:eastAsia="仿宋" w:cs="仿宋_GB2312"/>
          <w:sz w:val="32"/>
          <w:szCs w:val="32"/>
        </w:rPr>
      </w:pPr>
      <w:r>
        <w:rPr>
          <w:rFonts w:hint="eastAsia" w:ascii="Times New Roman" w:hAnsi="Times New Roman" w:eastAsia="仿宋" w:cs="仿宋_GB2312"/>
          <w:sz w:val="32"/>
          <w:szCs w:val="32"/>
        </w:rPr>
        <w:t>1、行政执法方面</w:t>
      </w:r>
    </w:p>
    <w:p w14:paraId="655EA144">
      <w:pPr>
        <w:shd w:val="clear" w:color="auto" w:fill="FFFFFF"/>
        <w:spacing w:line="600" w:lineRule="exact"/>
        <w:ind w:firstLine="800" w:firstLineChars="250"/>
        <w:rPr>
          <w:rFonts w:ascii="仿宋" w:hAnsi="仿宋" w:eastAsia="仿宋" w:cs="仿宋_GB2312"/>
          <w:sz w:val="32"/>
          <w:szCs w:val="32"/>
        </w:rPr>
      </w:pPr>
      <w:r>
        <w:rPr>
          <w:rFonts w:hint="eastAsia" w:ascii="仿宋" w:hAnsi="仿宋" w:eastAsia="仿宋" w:cs="仿宋_GB2312"/>
          <w:sz w:val="32"/>
          <w:szCs w:val="32"/>
        </w:rPr>
        <w:t>（</w:t>
      </w:r>
      <w:r>
        <w:rPr>
          <w:rFonts w:hint="eastAsia" w:ascii="Times New Roman" w:hAnsi="Times New Roman" w:eastAsia="仿宋" w:cs="仿宋_GB2312"/>
          <w:sz w:val="32"/>
          <w:szCs w:val="32"/>
        </w:rPr>
        <w:t>1</w:t>
      </w:r>
      <w:r>
        <w:rPr>
          <w:rFonts w:hint="eastAsia" w:ascii="仿宋" w:hAnsi="仿宋" w:eastAsia="仿宋" w:cs="仿宋_GB2312"/>
          <w:sz w:val="32"/>
          <w:szCs w:val="32"/>
        </w:rPr>
        <w:t>）中心涉及招投标、燃气、造价事务均履行有行政执法职能，按行政执法监督检查证管理办法，行政执法监督检查人员在执行公务时，必须出示监督检查证。目前我单位为事务单位，无执行政法权，工作人员无执法证，其次监管力量薄弱，且人员结构不合理，专业技术人才严重欠缺，整体专业技能有待提高。</w:t>
      </w:r>
    </w:p>
    <w:p w14:paraId="2A0779A1">
      <w:pPr>
        <w:shd w:val="clear" w:color="auto" w:fill="FFFFFF"/>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w:t>
      </w:r>
      <w:r>
        <w:rPr>
          <w:rFonts w:hint="eastAsia" w:ascii="Times New Roman" w:hAnsi="Times New Roman" w:eastAsia="仿宋" w:cs="仿宋_GB2312"/>
          <w:sz w:val="32"/>
          <w:szCs w:val="32"/>
        </w:rPr>
        <w:t>2</w:t>
      </w:r>
      <w:r>
        <w:rPr>
          <w:rFonts w:hint="eastAsia" w:ascii="仿宋" w:hAnsi="仿宋" w:eastAsia="仿宋" w:cs="仿宋_GB2312"/>
          <w:sz w:val="32"/>
          <w:szCs w:val="32"/>
        </w:rPr>
        <w:t>）联合惩治机制不全，部门协同不够。招标、燃气涉及发改、住建、交通、水利、市场监管、执法、财政等多个部门，且各相关部门工作协调联动机制不健全，导致存在多头管理、多头审批等现象，未形成合力，需各级各部门统一思想，高度重视，形成联合执法的震慑力，使得违法违规的个人和公司受到的处罚范围不全面，联合惩治力度不够。下一步我中心将加强与相关部门沟通，完善工作机制。</w:t>
      </w:r>
    </w:p>
    <w:p w14:paraId="15BAD983">
      <w:pPr>
        <w:shd w:val="clear" w:color="auto" w:fill="FFFFFF"/>
        <w:spacing w:line="600" w:lineRule="exact"/>
        <w:ind w:firstLine="640" w:firstLineChars="200"/>
        <w:rPr>
          <w:rFonts w:ascii="仿宋" w:hAnsi="仿宋" w:eastAsia="仿宋" w:cs="仿宋_GB2312"/>
          <w:b/>
          <w:bCs/>
          <w:sz w:val="32"/>
          <w:szCs w:val="32"/>
        </w:rPr>
      </w:pPr>
      <w:r>
        <w:rPr>
          <w:rFonts w:hint="eastAsia" w:ascii="Times New Roman" w:hAnsi="Times New Roman" w:eastAsia="仿宋" w:cs="仿宋_GB2312"/>
          <w:b/>
          <w:bCs/>
          <w:sz w:val="32"/>
          <w:szCs w:val="32"/>
        </w:rPr>
        <w:t>2</w:t>
      </w:r>
      <w:r>
        <w:rPr>
          <w:rFonts w:hint="eastAsia" w:ascii="仿宋" w:hAnsi="仿宋" w:eastAsia="仿宋" w:cs="仿宋_GB2312"/>
          <w:b/>
          <w:bCs/>
          <w:sz w:val="32"/>
          <w:szCs w:val="32"/>
        </w:rPr>
        <w:t>、招投标方面</w:t>
      </w:r>
    </w:p>
    <w:p w14:paraId="05D5FAD1">
      <w:pPr>
        <w:shd w:val="clear" w:color="auto" w:fill="FFFFFF"/>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w:t>
      </w:r>
      <w:r>
        <w:rPr>
          <w:rFonts w:hint="eastAsia" w:ascii="Times New Roman" w:hAnsi="Times New Roman" w:eastAsia="仿宋" w:cs="仿宋_GB2312"/>
          <w:sz w:val="32"/>
          <w:szCs w:val="32"/>
        </w:rPr>
        <w:t>1</w:t>
      </w:r>
      <w:r>
        <w:rPr>
          <w:rFonts w:hint="eastAsia" w:ascii="仿宋" w:hAnsi="仿宋" w:eastAsia="仿宋" w:cs="仿宋_GB2312"/>
          <w:sz w:val="32"/>
          <w:szCs w:val="32"/>
        </w:rPr>
        <w:t>）招投标评审专家综合素质有待提高。从全省工程建设项目招标投标大数据分析问题线索和投诉举报来看，存在部分评委专家水平不高，不熟悉规范性文件要求,对招标文件理解不到位，导致评审计分错误等问题。</w:t>
      </w:r>
    </w:p>
    <w:p w14:paraId="6F237EF7">
      <w:pPr>
        <w:shd w:val="clear" w:color="auto" w:fill="FFFFFF"/>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w:t>
      </w:r>
      <w:r>
        <w:rPr>
          <w:rFonts w:hint="eastAsia" w:ascii="Times New Roman" w:hAnsi="Times New Roman" w:eastAsia="仿宋" w:cs="仿宋_GB2312"/>
          <w:sz w:val="32"/>
          <w:szCs w:val="32"/>
        </w:rPr>
        <w:t>2</w:t>
      </w:r>
      <w:r>
        <w:rPr>
          <w:rFonts w:hint="eastAsia" w:ascii="仿宋" w:hAnsi="仿宋" w:eastAsia="仿宋" w:cs="仿宋_GB2312"/>
          <w:sz w:val="32"/>
          <w:szCs w:val="32"/>
        </w:rPr>
        <w:t>）各类招投标投诉举报层出不穷。部分投标人不正当竞争，违法获利，供求矛盾明显；低价中标，索赔获利；不中标就投诉举报的现象突出，行业监管部门对此类情况查处，缺乏必要的手段，内耗十分严重，工作量巨大。</w:t>
      </w:r>
    </w:p>
    <w:p w14:paraId="7AA6F7AC">
      <w:pPr>
        <w:shd w:val="clear" w:color="auto" w:fill="FFFFFF"/>
        <w:spacing w:line="600" w:lineRule="exact"/>
        <w:ind w:firstLine="640" w:firstLineChars="200"/>
        <w:rPr>
          <w:rFonts w:ascii="仿宋" w:hAnsi="仿宋" w:eastAsia="仿宋" w:cs="仿宋_GB2312"/>
          <w:b/>
          <w:bCs/>
          <w:sz w:val="32"/>
          <w:szCs w:val="32"/>
        </w:rPr>
      </w:pPr>
      <w:r>
        <w:rPr>
          <w:rFonts w:hint="eastAsia" w:ascii="Times New Roman" w:hAnsi="Times New Roman" w:eastAsia="仿宋" w:cs="仿宋_GB2312"/>
          <w:b/>
          <w:bCs/>
          <w:sz w:val="32"/>
          <w:szCs w:val="32"/>
        </w:rPr>
        <w:t>3</w:t>
      </w:r>
      <w:r>
        <w:rPr>
          <w:rFonts w:hint="eastAsia" w:ascii="仿宋" w:hAnsi="仿宋" w:eastAsia="仿宋" w:cs="仿宋_GB2312"/>
          <w:b/>
          <w:bCs/>
          <w:sz w:val="32"/>
          <w:szCs w:val="32"/>
        </w:rPr>
        <w:t>、燃气方面</w:t>
      </w:r>
    </w:p>
    <w:p w14:paraId="678B98D4">
      <w:pPr>
        <w:shd w:val="clear" w:color="auto" w:fill="FFFFFF"/>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w:t>
      </w:r>
      <w:r>
        <w:rPr>
          <w:rFonts w:hint="eastAsia" w:ascii="Times New Roman" w:hAnsi="Times New Roman" w:eastAsia="仿宋" w:cs="仿宋_GB2312"/>
          <w:sz w:val="32"/>
          <w:szCs w:val="32"/>
        </w:rPr>
        <w:t>1</w:t>
      </w:r>
      <w:r>
        <w:rPr>
          <w:rFonts w:hint="eastAsia" w:ascii="仿宋" w:hAnsi="仿宋" w:eastAsia="仿宋" w:cs="仿宋_GB2312"/>
          <w:sz w:val="32"/>
          <w:szCs w:val="32"/>
        </w:rPr>
        <w:t>）燃气安全管理“三员制度”未落实到位。根据要求，使用管道燃气或瓶装液化气的餐饮经营场所，党政机关、学校、医院、酒店宾馆、养老院、儿童福利院、农贸市场、商住混合体、城市综合体、在建建筑工地等人员密集场所，都要建立燃气安全管理“三员制度”。到目前为止，除洪江区外，其它县市区均未落实“三员制度”。</w:t>
      </w:r>
    </w:p>
    <w:p w14:paraId="6E637119">
      <w:pPr>
        <w:shd w:val="clear" w:color="auto" w:fill="FFFFFF"/>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w:t>
      </w:r>
      <w:r>
        <w:rPr>
          <w:rFonts w:hint="eastAsia" w:ascii="Times New Roman" w:hAnsi="Times New Roman" w:eastAsia="仿宋" w:cs="仿宋_GB2312"/>
          <w:sz w:val="32"/>
          <w:szCs w:val="32"/>
        </w:rPr>
        <w:t>2</w:t>
      </w:r>
      <w:r>
        <w:rPr>
          <w:rFonts w:hint="eastAsia" w:ascii="仿宋" w:hAnsi="仿宋" w:eastAsia="仿宋" w:cs="仿宋_GB2312"/>
          <w:sz w:val="32"/>
          <w:szCs w:val="32"/>
        </w:rPr>
        <w:t>）燃气安全隐患仍然突出。特别是餐饮场所隐患问题比较突出，目前餐饮用户使用的灶具基本没有自动熄火切断保护装置，报警器安装不规范，还有相当一部分用户使用环保油，存在较大安全隐患。</w:t>
      </w:r>
    </w:p>
    <w:p w14:paraId="39AE94D9">
      <w:pPr>
        <w:shd w:val="clear" w:color="auto" w:fill="FFFFFF"/>
        <w:spacing w:line="63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w:t>
      </w:r>
      <w:r>
        <w:rPr>
          <w:rFonts w:hint="eastAsia" w:ascii="Times New Roman" w:hAnsi="Times New Roman" w:eastAsia="仿宋" w:cs="仿宋_GB2312"/>
          <w:sz w:val="32"/>
          <w:szCs w:val="32"/>
        </w:rPr>
        <w:t>3</w:t>
      </w:r>
      <w:r>
        <w:rPr>
          <w:rFonts w:hint="eastAsia" w:ascii="仿宋" w:hAnsi="仿宋" w:eastAsia="仿宋" w:cs="仿宋_GB2312"/>
          <w:sz w:val="32"/>
          <w:szCs w:val="32"/>
        </w:rPr>
        <w:t>）企业主体责任落实不到位。例如：怀化高新区润琳燃气有限公司违法违规跨区域经营，长期向周边未取得燃气经营许可的单位和个人提供用于经营的液化石油气，存在重大安全隐患；部分燃气企业入户安全检查工作没有到位。</w:t>
      </w:r>
    </w:p>
    <w:p w14:paraId="5B86770D">
      <w:pPr>
        <w:shd w:val="clear" w:color="auto" w:fill="FFFFFF"/>
        <w:spacing w:line="630" w:lineRule="exact"/>
        <w:ind w:firstLine="640" w:firstLineChars="200"/>
        <w:rPr>
          <w:rFonts w:ascii="仿宋" w:hAnsi="仿宋" w:eastAsia="仿宋" w:cs="仿宋_GB2312"/>
          <w:b/>
          <w:bCs/>
          <w:sz w:val="32"/>
          <w:szCs w:val="32"/>
        </w:rPr>
      </w:pPr>
      <w:r>
        <w:rPr>
          <w:rFonts w:hint="eastAsia" w:ascii="Times New Roman" w:hAnsi="Times New Roman" w:eastAsia="仿宋" w:cs="仿宋_GB2312"/>
          <w:b/>
          <w:bCs/>
          <w:sz w:val="32"/>
          <w:szCs w:val="32"/>
        </w:rPr>
        <w:t>4</w:t>
      </w:r>
      <w:r>
        <w:rPr>
          <w:rFonts w:hint="eastAsia" w:ascii="仿宋" w:hAnsi="仿宋" w:eastAsia="仿宋" w:cs="仿宋_GB2312"/>
          <w:b/>
          <w:bCs/>
          <w:sz w:val="32"/>
          <w:szCs w:val="32"/>
        </w:rPr>
        <w:t>、造价方面</w:t>
      </w:r>
    </w:p>
    <w:p w14:paraId="494A5CCC">
      <w:pPr>
        <w:shd w:val="clear" w:color="auto" w:fill="FFFFFF"/>
        <w:spacing w:line="63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基层工程造价管理工作基础薄弱，各县、市（区）由于编制和经费原因，一般都是身兼数职的工作人员负责造价管理工作。</w:t>
      </w:r>
    </w:p>
    <w:p w14:paraId="227AB8E2">
      <w:pPr>
        <w:shd w:val="clear" w:color="auto" w:fill="FFFFFF"/>
        <w:spacing w:line="630" w:lineRule="exact"/>
        <w:ind w:firstLine="640" w:firstLineChars="200"/>
        <w:rPr>
          <w:rFonts w:ascii="仿宋" w:hAnsi="仿宋" w:eastAsia="仿宋" w:cs="仿宋_GB2312"/>
          <w:b/>
          <w:bCs/>
          <w:sz w:val="32"/>
          <w:szCs w:val="32"/>
        </w:rPr>
      </w:pPr>
      <w:r>
        <w:rPr>
          <w:rFonts w:ascii="仿宋" w:hAnsi="仿宋" w:eastAsia="仿宋" w:cs="仿宋_GB2312"/>
          <w:b/>
          <w:bCs/>
          <w:sz w:val="32"/>
          <w:szCs w:val="32"/>
        </w:rPr>
        <w:t xml:space="preserve"> 5</w:t>
      </w:r>
      <w:r>
        <w:rPr>
          <w:rFonts w:hint="eastAsia" w:ascii="仿宋" w:hAnsi="仿宋" w:eastAsia="仿宋" w:cs="仿宋_GB2312"/>
          <w:b/>
          <w:bCs/>
          <w:sz w:val="32"/>
          <w:szCs w:val="32"/>
        </w:rPr>
        <w:t>、污水处理工作方面</w:t>
      </w:r>
    </w:p>
    <w:p w14:paraId="5587523F">
      <w:pPr>
        <w:pStyle w:val="2"/>
        <w:rPr>
          <w:rFonts w:ascii="仿宋" w:hAnsi="仿宋" w:eastAsia="仿宋" w:cs="仿宋_GB2312"/>
          <w:sz w:val="32"/>
          <w:szCs w:val="32"/>
        </w:rPr>
      </w:pPr>
      <w:r>
        <w:rPr>
          <w:rFonts w:hint="eastAsia"/>
        </w:rPr>
        <w:t xml:space="preserve"> </w:t>
      </w:r>
      <w:r>
        <w:t xml:space="preserve">      </w:t>
      </w:r>
      <w:r>
        <w:rPr>
          <w:rFonts w:hint="eastAsia" w:ascii="仿宋" w:hAnsi="仿宋" w:eastAsia="仿宋" w:cs="仿宋_GB2312"/>
          <w:sz w:val="32"/>
          <w:szCs w:val="32"/>
        </w:rPr>
        <w:t>（1）历史欠账多。中心城区污水管网建设缺乏统一规划，没有全面形成管网一张图，雨污合流现象普遍，存在大量管网空白区，排水管网混错接多、破损严重。</w:t>
      </w:r>
    </w:p>
    <w:p w14:paraId="72102E95">
      <w:pPr>
        <w:shd w:val="clear" w:color="auto" w:fill="FFFFFF"/>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（2）资金保障难。太平溪流域水环境问题、基础设施建设滞后整改涉及工程项目多且完成时间紧，短期内所需投入资金量大。我市财政困难，及时保障整改工程项目建设难度大。</w:t>
      </w:r>
    </w:p>
    <w:p w14:paraId="4EEC8B54">
      <w:pPr>
        <w:shd w:val="clear" w:color="auto" w:fill="FFFFFF"/>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3）属地管理责任未压实。属地政府对《城镇排水与污水处理条例》《湖南省城镇污水管网建设运行管理若干规定》中规定的县级人民政府责任未有效落实。市直部门既要承担行业监管职责，又要负责具体整改工作。太平溪及污水治理必须强化源头治理和网格化管理，必须形成“市级统筹、部门配合、属地落实”的管理体制机制。</w:t>
      </w:r>
    </w:p>
    <w:p w14:paraId="18131B77">
      <w:pPr>
        <w:shd w:val="clear" w:color="auto" w:fill="FFFFFF"/>
        <w:spacing w:line="600" w:lineRule="exact"/>
        <w:ind w:firstLine="640" w:firstLineChars="200"/>
        <w:rPr>
          <w:rFonts w:ascii="仿宋" w:hAnsi="仿宋" w:eastAsia="仿宋" w:cs="仿宋_GB2312"/>
          <w:sz w:val="32"/>
          <w:szCs w:val="32"/>
        </w:rPr>
      </w:pPr>
    </w:p>
    <w:p w14:paraId="1C414642">
      <w:pPr>
        <w:pStyle w:val="13"/>
        <w:spacing w:line="580" w:lineRule="exact"/>
        <w:ind w:left="1723"/>
        <w:rPr>
          <w:rFonts w:ascii="楷体" w:hAnsi="楷体" w:eastAsia="楷体" w:cs="楷体"/>
          <w:b/>
          <w:bCs/>
          <w:sz w:val="32"/>
          <w:szCs w:val="32"/>
        </w:rPr>
      </w:pPr>
    </w:p>
    <w:p w14:paraId="2C46AFE7">
      <w:pPr>
        <w:pStyle w:val="13"/>
        <w:spacing w:line="580" w:lineRule="exact"/>
        <w:ind w:left="1723"/>
        <w:rPr>
          <w:rFonts w:ascii="楷体" w:hAnsi="楷体" w:eastAsia="楷体" w:cs="楷体"/>
          <w:b/>
          <w:bCs/>
          <w:sz w:val="32"/>
          <w:szCs w:val="32"/>
        </w:rPr>
      </w:pPr>
    </w:p>
    <w:p w14:paraId="2E8BE121">
      <w:pPr>
        <w:pStyle w:val="13"/>
        <w:rPr>
          <w:sz w:val="72"/>
          <w:szCs w:val="72"/>
        </w:rPr>
      </w:pPr>
    </w:p>
    <w:p w14:paraId="4A0861BB">
      <w:pPr>
        <w:pStyle w:val="13"/>
        <w:jc w:val="center"/>
        <w:rPr>
          <w:sz w:val="72"/>
          <w:szCs w:val="72"/>
        </w:rPr>
      </w:pPr>
    </w:p>
    <w:p w14:paraId="60302B46">
      <w:pPr>
        <w:pStyle w:val="13"/>
        <w:jc w:val="both"/>
        <w:rPr>
          <w:rFonts w:ascii="方正小标宋_GBK" w:hAnsi="方正小标宋_GBK" w:eastAsia="方正小标宋_GBK" w:cs="方正小标宋_GBK"/>
          <w:sz w:val="72"/>
          <w:szCs w:val="72"/>
        </w:rPr>
      </w:pPr>
      <w:bookmarkStart w:id="19" w:name="_GoBack"/>
      <w:bookmarkEnd w:id="19"/>
    </w:p>
    <w:p w14:paraId="6D8BB311">
      <w:pPr>
        <w:pStyle w:val="13"/>
        <w:jc w:val="both"/>
        <w:rPr>
          <w:rFonts w:ascii="方正小标宋_GBK" w:hAnsi="方正小标宋_GBK" w:eastAsia="方正小标宋_GBK" w:cs="方正小标宋_GBK"/>
          <w:sz w:val="72"/>
          <w:szCs w:val="72"/>
        </w:rPr>
      </w:pPr>
    </w:p>
    <w:p w14:paraId="7B471D97">
      <w:pPr>
        <w:pStyle w:val="13"/>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0543BBEA">
      <w:pPr>
        <w:jc w:val="center"/>
        <w:rPr>
          <w:rFonts w:ascii="方正小标宋_GBK" w:hAnsi="方正小标宋_GBK" w:eastAsia="方正小标宋_GBK" w:cs="方正小标宋_GBK"/>
          <w:color w:val="000000"/>
          <w:kern w:val="0"/>
          <w:sz w:val="70"/>
          <w:szCs w:val="70"/>
        </w:rPr>
      </w:pPr>
    </w:p>
    <w:p w14:paraId="22532A56">
      <w:pPr>
        <w:jc w:val="center"/>
        <w:rPr>
          <w:rFonts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78A6759F">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36FF2A77">
      <w:pPr>
        <w:pStyle w:val="13"/>
        <w:ind w:firstLine="320" w:firstLineChars="100"/>
        <w:jc w:val="both"/>
        <w:rPr>
          <w:rFonts w:ascii="仿宋" w:hAnsi="仿宋" w:eastAsia="仿宋" w:cs="仿宋_GB2312"/>
          <w:color w:val="auto"/>
          <w:kern w:val="2"/>
          <w:sz w:val="32"/>
          <w:szCs w:val="32"/>
        </w:rPr>
      </w:pPr>
      <w:r>
        <w:rPr>
          <w:rFonts w:hint="eastAsia" w:ascii="仿宋" w:hAnsi="仿宋" w:eastAsia="仿宋" w:cs="仿宋_GB2312"/>
          <w:color w:val="auto"/>
          <w:kern w:val="2"/>
          <w:sz w:val="32"/>
          <w:szCs w:val="32"/>
        </w:rPr>
        <w:t>一、财政拨款收入：指财政当年拨付的资金。包括一般公共预算财政拨款和政府性基金财政拨款。</w:t>
      </w:r>
    </w:p>
    <w:p w14:paraId="246FF3A9">
      <w:pPr>
        <w:pStyle w:val="13"/>
        <w:ind w:firstLine="320" w:firstLineChars="100"/>
        <w:jc w:val="both"/>
        <w:rPr>
          <w:rFonts w:ascii="仿宋" w:hAnsi="仿宋" w:eastAsia="仿宋" w:cs="仿宋_GB2312"/>
          <w:color w:val="auto"/>
          <w:kern w:val="2"/>
          <w:sz w:val="32"/>
          <w:szCs w:val="32"/>
        </w:rPr>
      </w:pPr>
      <w:r>
        <w:rPr>
          <w:rFonts w:hint="eastAsia" w:ascii="仿宋" w:hAnsi="仿宋" w:eastAsia="仿宋" w:cs="仿宋_GB2312"/>
          <w:color w:val="auto"/>
          <w:kern w:val="2"/>
          <w:sz w:val="32"/>
          <w:szCs w:val="32"/>
        </w:rPr>
        <w:t>二、上级补助收入：指事业单位从主管部门和上级单位取得的非财政补助收入。</w:t>
      </w:r>
    </w:p>
    <w:p w14:paraId="3C8162BC">
      <w:pPr>
        <w:pStyle w:val="13"/>
        <w:ind w:firstLine="320" w:firstLineChars="100"/>
        <w:jc w:val="both"/>
        <w:rPr>
          <w:rFonts w:ascii="仿宋" w:hAnsi="仿宋" w:eastAsia="仿宋" w:cs="仿宋_GB2312"/>
          <w:color w:val="auto"/>
          <w:kern w:val="2"/>
          <w:sz w:val="32"/>
          <w:szCs w:val="32"/>
        </w:rPr>
      </w:pPr>
      <w:r>
        <w:rPr>
          <w:rFonts w:hint="eastAsia" w:ascii="仿宋" w:hAnsi="仿宋" w:eastAsia="仿宋" w:cs="仿宋_GB2312"/>
          <w:color w:val="auto"/>
          <w:kern w:val="2"/>
          <w:sz w:val="32"/>
          <w:szCs w:val="32"/>
        </w:rPr>
        <w:t>三、事业收入：指事业单位开展专业业务活动及辅助活动所取得的收入。</w:t>
      </w:r>
    </w:p>
    <w:p w14:paraId="6655E096">
      <w:pPr>
        <w:pStyle w:val="13"/>
        <w:ind w:firstLine="320" w:firstLineChars="100"/>
        <w:jc w:val="both"/>
        <w:rPr>
          <w:rFonts w:ascii="仿宋" w:hAnsi="仿宋" w:eastAsia="仿宋" w:cs="仿宋_GB2312"/>
          <w:color w:val="auto"/>
          <w:kern w:val="2"/>
          <w:sz w:val="32"/>
          <w:szCs w:val="32"/>
        </w:rPr>
      </w:pPr>
      <w:r>
        <w:rPr>
          <w:rFonts w:hint="eastAsia" w:ascii="仿宋" w:hAnsi="仿宋" w:eastAsia="仿宋" w:cs="仿宋_GB2312"/>
          <w:color w:val="auto"/>
          <w:kern w:val="2"/>
          <w:sz w:val="32"/>
          <w:szCs w:val="32"/>
        </w:rPr>
        <w:t>四、经营收入：指事业单位在专业业务活动及其辅助活动之外开展非独立核算经营活动取得的收入。</w:t>
      </w:r>
    </w:p>
    <w:p w14:paraId="534B43D8">
      <w:pPr>
        <w:pStyle w:val="13"/>
        <w:ind w:firstLine="320" w:firstLineChars="100"/>
        <w:jc w:val="both"/>
        <w:rPr>
          <w:rFonts w:ascii="仿宋" w:hAnsi="仿宋" w:eastAsia="仿宋" w:cs="仿宋_GB2312"/>
          <w:color w:val="auto"/>
          <w:kern w:val="2"/>
          <w:sz w:val="32"/>
          <w:szCs w:val="32"/>
        </w:rPr>
      </w:pPr>
      <w:r>
        <w:rPr>
          <w:rFonts w:hint="eastAsia" w:ascii="仿宋" w:hAnsi="仿宋" w:eastAsia="仿宋" w:cs="仿宋_GB2312"/>
          <w:color w:val="auto"/>
          <w:kern w:val="2"/>
          <w:sz w:val="32"/>
          <w:szCs w:val="32"/>
        </w:rPr>
        <w:t>五、附属单位上缴收入：指事业单位附属独立核算单位按照有关规定上缴的收入。</w:t>
      </w:r>
    </w:p>
    <w:p w14:paraId="2F7B017A">
      <w:pPr>
        <w:pStyle w:val="13"/>
        <w:ind w:firstLine="320" w:firstLineChars="100"/>
        <w:jc w:val="both"/>
        <w:rPr>
          <w:rFonts w:ascii="仿宋" w:hAnsi="仿宋" w:eastAsia="仿宋" w:cs="仿宋_GB2312"/>
          <w:color w:val="auto"/>
          <w:kern w:val="2"/>
          <w:sz w:val="32"/>
          <w:szCs w:val="32"/>
        </w:rPr>
      </w:pPr>
      <w:r>
        <w:rPr>
          <w:rFonts w:hint="eastAsia" w:ascii="仿宋" w:hAnsi="仿宋" w:eastAsia="仿宋" w:cs="仿宋_GB2312"/>
          <w:color w:val="auto"/>
          <w:kern w:val="2"/>
          <w:sz w:val="32"/>
          <w:szCs w:val="32"/>
        </w:rPr>
        <w:t>六、其他收入：指除上述“财政拨款收入”、“事业收入”、“经营收入”等以外的收入。</w:t>
      </w:r>
    </w:p>
    <w:p w14:paraId="0C1DB16C">
      <w:pPr>
        <w:pStyle w:val="13"/>
        <w:ind w:firstLine="320" w:firstLineChars="100"/>
        <w:jc w:val="both"/>
        <w:rPr>
          <w:rFonts w:ascii="仿宋" w:hAnsi="仿宋" w:eastAsia="仿宋" w:cs="仿宋_GB2312"/>
          <w:color w:val="auto"/>
          <w:kern w:val="2"/>
          <w:sz w:val="32"/>
          <w:szCs w:val="32"/>
        </w:rPr>
      </w:pPr>
      <w:r>
        <w:rPr>
          <w:rFonts w:hint="eastAsia" w:ascii="仿宋" w:hAnsi="仿宋" w:eastAsia="仿宋" w:cs="仿宋_GB2312"/>
          <w:color w:val="auto"/>
          <w:kern w:val="2"/>
          <w:sz w:val="32"/>
          <w:szCs w:val="32"/>
        </w:rPr>
        <w:t>七、用事业基金弥补收支差额：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14:paraId="1FF04EE3">
      <w:pPr>
        <w:pStyle w:val="13"/>
        <w:ind w:firstLine="320" w:firstLineChars="100"/>
        <w:jc w:val="both"/>
        <w:rPr>
          <w:rFonts w:ascii="仿宋" w:hAnsi="仿宋" w:eastAsia="仿宋" w:cs="仿宋_GB2312"/>
          <w:color w:val="auto"/>
          <w:kern w:val="2"/>
          <w:sz w:val="32"/>
          <w:szCs w:val="32"/>
        </w:rPr>
      </w:pPr>
      <w:r>
        <w:rPr>
          <w:rFonts w:hint="eastAsia" w:ascii="仿宋" w:hAnsi="仿宋" w:eastAsia="仿宋" w:cs="仿宋_GB2312"/>
          <w:color w:val="auto"/>
          <w:kern w:val="2"/>
          <w:sz w:val="32"/>
          <w:szCs w:val="32"/>
        </w:rPr>
        <w:t>八、年初结转和结余：指以前年度尚未完成、结转到本年按有关规定继续使用的资金。</w:t>
      </w:r>
    </w:p>
    <w:p w14:paraId="7857E251">
      <w:pPr>
        <w:pStyle w:val="13"/>
        <w:ind w:firstLine="320" w:firstLineChars="100"/>
        <w:jc w:val="both"/>
        <w:rPr>
          <w:rFonts w:ascii="仿宋" w:hAnsi="仿宋" w:eastAsia="仿宋" w:cs="仿宋_GB2312"/>
          <w:color w:val="auto"/>
          <w:kern w:val="2"/>
          <w:sz w:val="32"/>
          <w:szCs w:val="32"/>
        </w:rPr>
      </w:pPr>
      <w:r>
        <w:rPr>
          <w:rFonts w:hint="eastAsia" w:ascii="仿宋" w:hAnsi="仿宋" w:eastAsia="仿宋" w:cs="仿宋_GB2312"/>
          <w:color w:val="auto"/>
          <w:kern w:val="2"/>
          <w:sz w:val="32"/>
          <w:szCs w:val="32"/>
        </w:rPr>
        <w:t>九、结余分配：指事业单位按规定从非财政补助结余中分配的事业基金和职工福利基金等。</w:t>
      </w:r>
    </w:p>
    <w:p w14:paraId="7E75817B">
      <w:pPr>
        <w:pStyle w:val="13"/>
        <w:ind w:firstLine="160" w:firstLineChars="50"/>
        <w:jc w:val="both"/>
        <w:rPr>
          <w:rFonts w:ascii="仿宋" w:hAnsi="仿宋" w:eastAsia="仿宋" w:cs="仿宋_GB2312"/>
          <w:color w:val="auto"/>
          <w:kern w:val="2"/>
          <w:sz w:val="32"/>
          <w:szCs w:val="32"/>
        </w:rPr>
      </w:pPr>
      <w:r>
        <w:rPr>
          <w:rFonts w:hint="eastAsia" w:ascii="仿宋" w:hAnsi="仿宋" w:eastAsia="仿宋" w:cs="仿宋_GB2312"/>
          <w:color w:val="auto"/>
          <w:kern w:val="2"/>
          <w:sz w:val="32"/>
          <w:szCs w:val="32"/>
        </w:rPr>
        <w:t>十、年末结转和结余：指本年度或以前年度预算安排、因客观条件发生变化无法按原计划实施，需要延迟到以后年度按有关规定继续使用的资金。</w:t>
      </w:r>
    </w:p>
    <w:p w14:paraId="77018F90">
      <w:pPr>
        <w:pStyle w:val="13"/>
        <w:jc w:val="both"/>
        <w:rPr>
          <w:rFonts w:ascii="仿宋" w:hAnsi="仿宋" w:eastAsia="仿宋" w:cs="仿宋_GB2312"/>
          <w:color w:val="auto"/>
          <w:kern w:val="2"/>
          <w:sz w:val="32"/>
          <w:szCs w:val="32"/>
        </w:rPr>
      </w:pPr>
      <w:r>
        <w:rPr>
          <w:rFonts w:hint="eastAsia" w:ascii="仿宋" w:hAnsi="仿宋" w:eastAsia="仿宋" w:cs="仿宋_GB2312"/>
          <w:color w:val="auto"/>
          <w:kern w:val="2"/>
          <w:sz w:val="32"/>
          <w:szCs w:val="32"/>
        </w:rPr>
        <w:t>十一、基本支出：指为保障机构正常运转、完成日常工作任务而发生的人员支出和公用支出。</w:t>
      </w:r>
    </w:p>
    <w:p w14:paraId="3FA48D04">
      <w:pPr>
        <w:pStyle w:val="13"/>
        <w:jc w:val="both"/>
        <w:rPr>
          <w:rFonts w:ascii="仿宋" w:hAnsi="仿宋" w:eastAsia="仿宋" w:cs="仿宋_GB2312"/>
          <w:color w:val="auto"/>
          <w:kern w:val="2"/>
          <w:sz w:val="32"/>
          <w:szCs w:val="32"/>
        </w:rPr>
      </w:pPr>
      <w:r>
        <w:rPr>
          <w:rFonts w:hint="eastAsia" w:ascii="仿宋" w:hAnsi="仿宋" w:eastAsia="仿宋" w:cs="仿宋_GB2312"/>
          <w:color w:val="auto"/>
          <w:kern w:val="2"/>
          <w:sz w:val="32"/>
          <w:szCs w:val="32"/>
        </w:rPr>
        <w:t>十二、项目支出：指在基本支出之外为完成特定行政任务和事业发展目标所发生的支出。</w:t>
      </w:r>
    </w:p>
    <w:p w14:paraId="5F76738A">
      <w:pPr>
        <w:pStyle w:val="13"/>
        <w:jc w:val="both"/>
        <w:rPr>
          <w:rFonts w:ascii="仿宋" w:hAnsi="仿宋" w:eastAsia="仿宋" w:cs="仿宋_GB2312"/>
          <w:color w:val="auto"/>
          <w:kern w:val="2"/>
          <w:sz w:val="32"/>
          <w:szCs w:val="32"/>
        </w:rPr>
      </w:pPr>
      <w:r>
        <w:rPr>
          <w:rFonts w:hint="eastAsia" w:ascii="仿宋" w:hAnsi="仿宋" w:eastAsia="仿宋" w:cs="仿宋_GB2312"/>
          <w:color w:val="auto"/>
          <w:kern w:val="2"/>
          <w:sz w:val="32"/>
          <w:szCs w:val="32"/>
        </w:rPr>
        <w:t>十三、经营支出：指事业单位在专业业务活动及其辅助活动之外开展非独立核算经营活动所发生的支出。</w:t>
      </w:r>
    </w:p>
    <w:p w14:paraId="4342ED92">
      <w:pPr>
        <w:pStyle w:val="13"/>
        <w:jc w:val="both"/>
        <w:rPr>
          <w:rFonts w:ascii="仿宋" w:hAnsi="仿宋" w:eastAsia="仿宋" w:cs="仿宋_GB2312"/>
          <w:color w:val="auto"/>
          <w:kern w:val="2"/>
          <w:sz w:val="32"/>
          <w:szCs w:val="32"/>
        </w:rPr>
      </w:pPr>
      <w:r>
        <w:rPr>
          <w:rFonts w:hint="eastAsia" w:ascii="仿宋" w:hAnsi="仿宋" w:eastAsia="仿宋" w:cs="仿宋_GB2312"/>
          <w:color w:val="auto"/>
          <w:kern w:val="2"/>
          <w:sz w:val="32"/>
          <w:szCs w:val="32"/>
        </w:rPr>
        <w:t xml:space="preserve">十四、“三公”经费：按照党中央、国务院有关文件及部门预算管理有关规定，“三公”经费包括因公出国（境）费、公务用车购置及运行费和公务接待费。（1）因公出国（境）费，指单位工作人员公务出国（境）的住宿费、旅费、伙食补助费、杂费、培训费等支出。（2）公务用车购置及运行费，指单位公务用车购置费（含车辆购置税）及租用费、燃料费、维修费、过路过桥费、保险费等支出。（3）公务接待费，指单位按规定开支的各类公务 </w:t>
      </w:r>
      <w:r>
        <w:rPr>
          <w:rFonts w:ascii="仿宋" w:hAnsi="仿宋" w:eastAsia="仿宋" w:cs="仿宋_GB2312"/>
          <w:color w:val="auto"/>
          <w:kern w:val="2"/>
          <w:sz w:val="32"/>
          <w:szCs w:val="32"/>
        </w:rPr>
        <w:t xml:space="preserve">   </w:t>
      </w:r>
      <w:r>
        <w:rPr>
          <w:rFonts w:hint="eastAsia" w:ascii="仿宋" w:hAnsi="仿宋" w:eastAsia="仿宋" w:cs="仿宋_GB2312"/>
          <w:color w:val="auto"/>
          <w:kern w:val="2"/>
          <w:sz w:val="32"/>
          <w:szCs w:val="32"/>
        </w:rPr>
        <w:t>接待（含外宾接待）支出。</w:t>
      </w:r>
    </w:p>
    <w:p w14:paraId="42CEC830">
      <w:pPr>
        <w:pStyle w:val="13"/>
        <w:jc w:val="both"/>
        <w:rPr>
          <w:rFonts w:ascii="仿宋" w:hAnsi="仿宋" w:eastAsia="仿宋" w:cs="仿宋_GB2312"/>
          <w:color w:val="auto"/>
          <w:kern w:val="2"/>
          <w:sz w:val="32"/>
          <w:szCs w:val="32"/>
        </w:rPr>
      </w:pPr>
      <w:r>
        <w:rPr>
          <w:rFonts w:hint="eastAsia" w:ascii="仿宋" w:hAnsi="仿宋" w:eastAsia="仿宋" w:cs="仿宋_GB2312"/>
          <w:color w:val="auto"/>
          <w:kern w:val="2"/>
          <w:sz w:val="32"/>
          <w:szCs w:val="32"/>
        </w:rPr>
        <w:t>十五、机关运行经费：指为保障行政单位（含参照公务员法管理的事业单位）运行用于购买货物和服务的各项资金，包括办公及印刷费、邮电费、差旅费、会议费、福利费、日常维修费、专项材料及一般设备购置费、办公用房水电费、取暖费、物业管理费、公务用车运行维护费以及其他费用。</w:t>
      </w:r>
    </w:p>
    <w:p w14:paraId="08CAF573">
      <w:pPr>
        <w:pStyle w:val="13"/>
        <w:jc w:val="both"/>
        <w:rPr>
          <w:rFonts w:ascii="仿宋" w:hAnsi="仿宋" w:eastAsia="仿宋" w:cs="仿宋_GB2312"/>
          <w:color w:val="auto"/>
          <w:kern w:val="2"/>
          <w:sz w:val="32"/>
          <w:szCs w:val="32"/>
        </w:rPr>
      </w:pPr>
    </w:p>
    <w:p w14:paraId="6F753803">
      <w:pPr>
        <w:pStyle w:val="13"/>
        <w:jc w:val="center"/>
        <w:rPr>
          <w:rFonts w:ascii="仿宋" w:hAnsi="仿宋" w:eastAsia="仿宋" w:cs="仿宋_GB2312"/>
          <w:color w:val="auto"/>
          <w:kern w:val="2"/>
          <w:sz w:val="32"/>
          <w:szCs w:val="32"/>
        </w:rPr>
      </w:pPr>
    </w:p>
    <w:p w14:paraId="00D19449">
      <w:pPr>
        <w:pStyle w:val="13"/>
        <w:jc w:val="center"/>
        <w:rPr>
          <w:rFonts w:ascii="仿宋" w:hAnsi="仿宋" w:eastAsia="仿宋" w:cs="仿宋_GB2312"/>
          <w:color w:val="auto"/>
          <w:kern w:val="2"/>
          <w:sz w:val="32"/>
          <w:szCs w:val="32"/>
        </w:rPr>
      </w:pPr>
    </w:p>
    <w:p w14:paraId="5783B24A">
      <w:pPr>
        <w:pStyle w:val="13"/>
        <w:jc w:val="center"/>
        <w:rPr>
          <w:sz w:val="72"/>
          <w:szCs w:val="72"/>
        </w:rPr>
      </w:pPr>
    </w:p>
    <w:p w14:paraId="666261E1">
      <w:pPr>
        <w:pStyle w:val="13"/>
        <w:jc w:val="center"/>
        <w:rPr>
          <w:sz w:val="72"/>
          <w:szCs w:val="72"/>
        </w:rPr>
      </w:pPr>
    </w:p>
    <w:p w14:paraId="2FECF99A">
      <w:pPr>
        <w:rPr>
          <w:sz w:val="72"/>
          <w:szCs w:val="72"/>
        </w:rPr>
      </w:pPr>
      <w:r>
        <w:rPr>
          <w:sz w:val="72"/>
          <w:szCs w:val="72"/>
        </w:rPr>
        <w:br w:type="page"/>
      </w:r>
    </w:p>
    <w:p w14:paraId="042B4722">
      <w:pPr>
        <w:pStyle w:val="13"/>
        <w:jc w:val="center"/>
        <w:rPr>
          <w:rFonts w:ascii="方正小标宋_GBK" w:hAnsi="方正小标宋_GBK" w:eastAsia="方正小标宋_GBK" w:cs="方正小标宋_GBK"/>
          <w:sz w:val="72"/>
          <w:szCs w:val="72"/>
        </w:rPr>
      </w:pPr>
    </w:p>
    <w:p w14:paraId="1DC3CF48">
      <w:pPr>
        <w:pStyle w:val="13"/>
        <w:jc w:val="center"/>
        <w:rPr>
          <w:rFonts w:ascii="方正小标宋_GBK" w:hAnsi="方正小标宋_GBK" w:eastAsia="方正小标宋_GBK" w:cs="方正小标宋_GBK"/>
          <w:sz w:val="72"/>
          <w:szCs w:val="72"/>
        </w:rPr>
      </w:pPr>
    </w:p>
    <w:p w14:paraId="5CF8551C">
      <w:pPr>
        <w:pStyle w:val="13"/>
        <w:jc w:val="center"/>
        <w:rPr>
          <w:rFonts w:ascii="方正小标宋_GBK" w:hAnsi="方正小标宋_GBK" w:eastAsia="方正小标宋_GBK" w:cs="方正小标宋_GBK"/>
          <w:sz w:val="72"/>
          <w:szCs w:val="72"/>
        </w:rPr>
      </w:pPr>
    </w:p>
    <w:p w14:paraId="18828917">
      <w:pPr>
        <w:pStyle w:val="13"/>
        <w:jc w:val="center"/>
        <w:rPr>
          <w:rFonts w:ascii="方正小标宋_GBK" w:hAnsi="方正小标宋_GBK" w:eastAsia="方正小标宋_GBK" w:cs="方正小标宋_GBK"/>
          <w:sz w:val="72"/>
          <w:szCs w:val="72"/>
        </w:rPr>
      </w:pPr>
    </w:p>
    <w:p w14:paraId="0D977248">
      <w:pPr>
        <w:pStyle w:val="13"/>
        <w:jc w:val="center"/>
        <w:rPr>
          <w:rFonts w:ascii="方正小标宋_GBK" w:hAnsi="方正小标宋_GBK" w:eastAsia="方正小标宋_GBK" w:cs="方正小标宋_GBK"/>
          <w:sz w:val="72"/>
          <w:szCs w:val="72"/>
        </w:rPr>
      </w:pPr>
    </w:p>
    <w:p w14:paraId="4030116E">
      <w:pPr>
        <w:pStyle w:val="13"/>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第五部分</w:t>
      </w:r>
    </w:p>
    <w:p w14:paraId="6FC999F7">
      <w:pPr>
        <w:pStyle w:val="13"/>
        <w:jc w:val="center"/>
        <w:rPr>
          <w:rFonts w:ascii="方正小标宋_GBK" w:hAnsi="方正小标宋_GBK" w:eastAsia="方正小标宋_GBK" w:cs="方正小标宋_GBK"/>
          <w:sz w:val="70"/>
          <w:szCs w:val="70"/>
        </w:rPr>
      </w:pPr>
    </w:p>
    <w:p w14:paraId="6D0839FA">
      <w:pPr>
        <w:pStyle w:val="13"/>
        <w:jc w:val="center"/>
        <w:rPr>
          <w:sz w:val="72"/>
          <w:szCs w:val="72"/>
        </w:rPr>
      </w:pPr>
      <w:r>
        <w:rPr>
          <w:rFonts w:hint="eastAsia" w:ascii="方正小标宋_GBK" w:hAnsi="方正小标宋_GBK" w:eastAsia="方正小标宋_GBK" w:cs="方正小标宋_GBK"/>
          <w:sz w:val="70"/>
          <w:szCs w:val="70"/>
        </w:rPr>
        <w:t>附 件</w:t>
      </w:r>
    </w:p>
    <w:p w14:paraId="078403D1">
      <w:pPr>
        <w:rPr>
          <w:sz w:val="72"/>
          <w:szCs w:val="72"/>
        </w:rPr>
      </w:pPr>
      <w:r>
        <w:rPr>
          <w:sz w:val="72"/>
          <w:szCs w:val="72"/>
        </w:rPr>
        <w:br w:type="page"/>
      </w:r>
    </w:p>
    <w:p w14:paraId="1E094CB9">
      <w:pPr>
        <w:pStyle w:val="13"/>
        <w:ind w:firstLine="320" w:firstLineChars="100"/>
        <w:jc w:val="both"/>
        <w:rPr>
          <w:rFonts w:ascii="仿宋" w:hAnsi="仿宋" w:eastAsia="仿宋" w:cs="仿宋_GB2312"/>
          <w:color w:val="auto"/>
          <w:kern w:val="2"/>
          <w:sz w:val="32"/>
          <w:szCs w:val="32"/>
        </w:rPr>
      </w:pPr>
      <w:r>
        <w:rPr>
          <w:rFonts w:hint="eastAsia" w:ascii="仿宋" w:hAnsi="仿宋" w:eastAsia="仿宋" w:cs="仿宋_GB2312"/>
          <w:color w:val="auto"/>
          <w:kern w:val="2"/>
          <w:sz w:val="32"/>
          <w:szCs w:val="32"/>
        </w:rPr>
        <w:t>一、2023年度部门整体支出绩效自评报告。</w:t>
      </w:r>
    </w:p>
    <w:p w14:paraId="3D988B9F">
      <w:pPr>
        <w:pStyle w:val="13"/>
        <w:ind w:firstLine="320" w:firstLineChars="100"/>
        <w:jc w:val="both"/>
        <w:rPr>
          <w:rFonts w:hint="eastAsia" w:ascii="仿宋" w:hAnsi="仿宋" w:eastAsia="仿宋" w:cs="仿宋_GB2312"/>
          <w:color w:val="auto"/>
          <w:kern w:val="2"/>
          <w:sz w:val="32"/>
          <w:szCs w:val="32"/>
        </w:rPr>
      </w:pPr>
      <w:r>
        <w:rPr>
          <w:rFonts w:hint="eastAsia" w:ascii="仿宋" w:hAnsi="仿宋" w:eastAsia="仿宋" w:cs="仿宋_GB2312"/>
          <w:color w:val="auto"/>
          <w:kern w:val="2"/>
          <w:sz w:val="32"/>
          <w:szCs w:val="32"/>
        </w:rPr>
        <w:t>二、2</w:t>
      </w:r>
      <w:r>
        <w:rPr>
          <w:rFonts w:ascii="仿宋" w:hAnsi="仿宋" w:eastAsia="仿宋" w:cs="仿宋_GB2312"/>
          <w:color w:val="auto"/>
          <w:kern w:val="2"/>
          <w:sz w:val="32"/>
          <w:szCs w:val="32"/>
        </w:rPr>
        <w:t>023</w:t>
      </w:r>
      <w:r>
        <w:rPr>
          <w:rFonts w:hint="eastAsia" w:ascii="仿宋" w:hAnsi="仿宋" w:eastAsia="仿宋" w:cs="仿宋_GB2312"/>
          <w:color w:val="auto"/>
          <w:kern w:val="2"/>
          <w:sz w:val="32"/>
          <w:szCs w:val="32"/>
        </w:rPr>
        <w:t>年度项目支出绩效目标表</w:t>
      </w:r>
    </w:p>
    <w:p w14:paraId="6ED9646C">
      <w:pPr>
        <w:pStyle w:val="13"/>
        <w:ind w:firstLine="320" w:firstLineChars="100"/>
        <w:jc w:val="both"/>
        <w:rPr>
          <w:rFonts w:ascii="仿宋" w:hAnsi="仿宋" w:eastAsia="仿宋" w:cs="仿宋_GB2312"/>
          <w:color w:val="auto"/>
          <w:kern w:val="2"/>
          <w:sz w:val="32"/>
          <w:szCs w:val="32"/>
        </w:rPr>
      </w:pPr>
      <w:r>
        <w:rPr>
          <w:rFonts w:hint="eastAsia" w:ascii="仿宋" w:hAnsi="仿宋" w:eastAsia="仿宋" w:cs="仿宋_GB2312"/>
          <w:color w:val="auto"/>
          <w:kern w:val="2"/>
          <w:sz w:val="32"/>
          <w:szCs w:val="32"/>
        </w:rPr>
        <w:t>二、2</w:t>
      </w:r>
      <w:r>
        <w:rPr>
          <w:rFonts w:ascii="仿宋" w:hAnsi="仿宋" w:eastAsia="仿宋" w:cs="仿宋_GB2312"/>
          <w:color w:val="auto"/>
          <w:kern w:val="2"/>
          <w:sz w:val="32"/>
          <w:szCs w:val="32"/>
        </w:rPr>
        <w:t>023</w:t>
      </w:r>
      <w:r>
        <w:rPr>
          <w:rFonts w:hint="eastAsia" w:ascii="仿宋" w:hAnsi="仿宋" w:eastAsia="仿宋" w:cs="仿宋_GB2312"/>
          <w:color w:val="auto"/>
          <w:kern w:val="2"/>
          <w:sz w:val="32"/>
          <w:szCs w:val="32"/>
        </w:rPr>
        <w:t>年部门预算公开表</w:t>
      </w:r>
    </w:p>
    <w:p w14:paraId="7CE7320A">
      <w:pPr>
        <w:pStyle w:val="13"/>
        <w:ind w:firstLine="320" w:firstLineChars="100"/>
        <w:jc w:val="both"/>
        <w:rPr>
          <w:rFonts w:ascii="仿宋" w:hAnsi="仿宋" w:eastAsia="仿宋" w:cs="仿宋_GB2312"/>
          <w:color w:val="auto"/>
          <w:kern w:val="2"/>
          <w:sz w:val="32"/>
          <w:szCs w:val="32"/>
        </w:rPr>
      </w:pPr>
    </w:p>
    <w:p w14:paraId="6BB78B05">
      <w:pPr>
        <w:pStyle w:val="13"/>
        <w:jc w:val="center"/>
        <w:rPr>
          <w:sz w:val="72"/>
          <w:szCs w:val="72"/>
        </w:rPr>
      </w:pPr>
    </w:p>
    <w:p w14:paraId="703F58B5">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A15A73"/>
    <w:multiLevelType w:val="singleLevel"/>
    <w:tmpl w:val="19A15A73"/>
    <w:lvl w:ilvl="0" w:tentative="0">
      <w:start w:val="4"/>
      <w:numFmt w:val="chineseCounting"/>
      <w:suff w:val="nothing"/>
      <w:lvlText w:val="%1、"/>
      <w:lvlJc w:val="left"/>
      <w:rPr>
        <w:rFonts w:hint="eastAsia"/>
      </w:rPr>
    </w:lvl>
  </w:abstractNum>
  <w:abstractNum w:abstractNumId="1">
    <w:nsid w:val="2F254DFC"/>
    <w:multiLevelType w:val="multilevel"/>
    <w:tmpl w:val="2F254DFC"/>
    <w:lvl w:ilvl="0" w:tentative="0">
      <w:start w:val="1"/>
      <w:numFmt w:val="japaneseCounting"/>
      <w:lvlText w:val="（%1）"/>
      <w:lvlJc w:val="left"/>
      <w:pPr>
        <w:ind w:left="1930" w:hanging="108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2">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kMzNjMGVmYzllMjcxZDljMzNkMTQzODA4NDFmYzEifQ=="/>
  </w:docVars>
  <w:rsids>
    <w:rsidRoot w:val="004506F9"/>
    <w:rsid w:val="000122C7"/>
    <w:rsid w:val="000146F6"/>
    <w:rsid w:val="00016AF7"/>
    <w:rsid w:val="00016D98"/>
    <w:rsid w:val="000170E0"/>
    <w:rsid w:val="0002229B"/>
    <w:rsid w:val="000259CC"/>
    <w:rsid w:val="00026258"/>
    <w:rsid w:val="000273BD"/>
    <w:rsid w:val="00032842"/>
    <w:rsid w:val="00040593"/>
    <w:rsid w:val="00040CBC"/>
    <w:rsid w:val="000415B7"/>
    <w:rsid w:val="00041E3F"/>
    <w:rsid w:val="000443E1"/>
    <w:rsid w:val="00045600"/>
    <w:rsid w:val="00055DAA"/>
    <w:rsid w:val="00061F7B"/>
    <w:rsid w:val="00063FFD"/>
    <w:rsid w:val="000658A3"/>
    <w:rsid w:val="00074155"/>
    <w:rsid w:val="00086D64"/>
    <w:rsid w:val="00091825"/>
    <w:rsid w:val="000A3F69"/>
    <w:rsid w:val="000C4676"/>
    <w:rsid w:val="00103957"/>
    <w:rsid w:val="0014143E"/>
    <w:rsid w:val="00152C6D"/>
    <w:rsid w:val="00162D39"/>
    <w:rsid w:val="001678BD"/>
    <w:rsid w:val="001721D7"/>
    <w:rsid w:val="00182373"/>
    <w:rsid w:val="00193F71"/>
    <w:rsid w:val="001A67DB"/>
    <w:rsid w:val="001B493F"/>
    <w:rsid w:val="001C3C29"/>
    <w:rsid w:val="001C567B"/>
    <w:rsid w:val="001D51E5"/>
    <w:rsid w:val="001E080D"/>
    <w:rsid w:val="001E1609"/>
    <w:rsid w:val="001E53D0"/>
    <w:rsid w:val="001F0C3B"/>
    <w:rsid w:val="001F27F5"/>
    <w:rsid w:val="00202C82"/>
    <w:rsid w:val="00214427"/>
    <w:rsid w:val="00226CB7"/>
    <w:rsid w:val="00264552"/>
    <w:rsid w:val="00264EF9"/>
    <w:rsid w:val="00265724"/>
    <w:rsid w:val="0026668A"/>
    <w:rsid w:val="0027426B"/>
    <w:rsid w:val="002E0A30"/>
    <w:rsid w:val="00302C9C"/>
    <w:rsid w:val="003130C4"/>
    <w:rsid w:val="00316C4B"/>
    <w:rsid w:val="0032192B"/>
    <w:rsid w:val="003318B8"/>
    <w:rsid w:val="00342ABE"/>
    <w:rsid w:val="003463C2"/>
    <w:rsid w:val="00346E9C"/>
    <w:rsid w:val="003479BD"/>
    <w:rsid w:val="00367D00"/>
    <w:rsid w:val="0037197D"/>
    <w:rsid w:val="003768D5"/>
    <w:rsid w:val="003926B9"/>
    <w:rsid w:val="003955C7"/>
    <w:rsid w:val="003C11C1"/>
    <w:rsid w:val="003C47E6"/>
    <w:rsid w:val="003C4FC2"/>
    <w:rsid w:val="003D15C2"/>
    <w:rsid w:val="00416E61"/>
    <w:rsid w:val="0042790C"/>
    <w:rsid w:val="004473A3"/>
    <w:rsid w:val="004505AE"/>
    <w:rsid w:val="004506F9"/>
    <w:rsid w:val="00461849"/>
    <w:rsid w:val="004717A2"/>
    <w:rsid w:val="00473DF3"/>
    <w:rsid w:val="00477FAC"/>
    <w:rsid w:val="00487007"/>
    <w:rsid w:val="00487911"/>
    <w:rsid w:val="00491741"/>
    <w:rsid w:val="004920F4"/>
    <w:rsid w:val="00492B64"/>
    <w:rsid w:val="004B0CEE"/>
    <w:rsid w:val="004B439E"/>
    <w:rsid w:val="004C094D"/>
    <w:rsid w:val="004C2B95"/>
    <w:rsid w:val="004C2C3E"/>
    <w:rsid w:val="004D1B9F"/>
    <w:rsid w:val="004E06CE"/>
    <w:rsid w:val="004F4FB2"/>
    <w:rsid w:val="004F5A05"/>
    <w:rsid w:val="00500E5F"/>
    <w:rsid w:val="005063F9"/>
    <w:rsid w:val="00507068"/>
    <w:rsid w:val="00511C89"/>
    <w:rsid w:val="005122EF"/>
    <w:rsid w:val="0051441A"/>
    <w:rsid w:val="00517C33"/>
    <w:rsid w:val="00517D5F"/>
    <w:rsid w:val="00523644"/>
    <w:rsid w:val="00535799"/>
    <w:rsid w:val="0054069E"/>
    <w:rsid w:val="00544866"/>
    <w:rsid w:val="00566279"/>
    <w:rsid w:val="005767CC"/>
    <w:rsid w:val="00585262"/>
    <w:rsid w:val="00590D9F"/>
    <w:rsid w:val="00594C8F"/>
    <w:rsid w:val="00595D26"/>
    <w:rsid w:val="005A74E6"/>
    <w:rsid w:val="005B404E"/>
    <w:rsid w:val="005D4D55"/>
    <w:rsid w:val="005D6B03"/>
    <w:rsid w:val="005E2CFB"/>
    <w:rsid w:val="005F2103"/>
    <w:rsid w:val="005F3D1C"/>
    <w:rsid w:val="005F5FC0"/>
    <w:rsid w:val="005F6685"/>
    <w:rsid w:val="005F7F0B"/>
    <w:rsid w:val="0062378F"/>
    <w:rsid w:val="00641842"/>
    <w:rsid w:val="006519A1"/>
    <w:rsid w:val="00651EEC"/>
    <w:rsid w:val="006604B4"/>
    <w:rsid w:val="00686673"/>
    <w:rsid w:val="00691E8C"/>
    <w:rsid w:val="006A22C4"/>
    <w:rsid w:val="006A351B"/>
    <w:rsid w:val="006B0422"/>
    <w:rsid w:val="006C1B53"/>
    <w:rsid w:val="006D7730"/>
    <w:rsid w:val="006E5284"/>
    <w:rsid w:val="006F3EB5"/>
    <w:rsid w:val="00702E34"/>
    <w:rsid w:val="00704395"/>
    <w:rsid w:val="00704FA9"/>
    <w:rsid w:val="00710FE7"/>
    <w:rsid w:val="00715DB6"/>
    <w:rsid w:val="00717621"/>
    <w:rsid w:val="00720FF1"/>
    <w:rsid w:val="00721FFC"/>
    <w:rsid w:val="00727A53"/>
    <w:rsid w:val="00731BDA"/>
    <w:rsid w:val="0075714C"/>
    <w:rsid w:val="00772D71"/>
    <w:rsid w:val="00787B42"/>
    <w:rsid w:val="00793CA0"/>
    <w:rsid w:val="007C4539"/>
    <w:rsid w:val="007F05D6"/>
    <w:rsid w:val="007F3657"/>
    <w:rsid w:val="0080063B"/>
    <w:rsid w:val="00812ED5"/>
    <w:rsid w:val="008259D8"/>
    <w:rsid w:val="008277D9"/>
    <w:rsid w:val="008325FB"/>
    <w:rsid w:val="0084478C"/>
    <w:rsid w:val="00856DF8"/>
    <w:rsid w:val="0086638C"/>
    <w:rsid w:val="008879C0"/>
    <w:rsid w:val="008A3E8D"/>
    <w:rsid w:val="008B5A07"/>
    <w:rsid w:val="008D1077"/>
    <w:rsid w:val="008E3569"/>
    <w:rsid w:val="008F17D3"/>
    <w:rsid w:val="008F46CB"/>
    <w:rsid w:val="009002A7"/>
    <w:rsid w:val="009135D3"/>
    <w:rsid w:val="00917228"/>
    <w:rsid w:val="009237C4"/>
    <w:rsid w:val="00940924"/>
    <w:rsid w:val="00944C48"/>
    <w:rsid w:val="00950252"/>
    <w:rsid w:val="00964540"/>
    <w:rsid w:val="00967F5D"/>
    <w:rsid w:val="0097345A"/>
    <w:rsid w:val="00980135"/>
    <w:rsid w:val="00981D6C"/>
    <w:rsid w:val="00987E4F"/>
    <w:rsid w:val="00992361"/>
    <w:rsid w:val="009A0F95"/>
    <w:rsid w:val="009B19BC"/>
    <w:rsid w:val="009B2C1A"/>
    <w:rsid w:val="009B3ADF"/>
    <w:rsid w:val="009B5F62"/>
    <w:rsid w:val="009C3B52"/>
    <w:rsid w:val="009E6817"/>
    <w:rsid w:val="009E68BE"/>
    <w:rsid w:val="009E6E9A"/>
    <w:rsid w:val="009F0EB7"/>
    <w:rsid w:val="00A01D2B"/>
    <w:rsid w:val="00A316F0"/>
    <w:rsid w:val="00A42218"/>
    <w:rsid w:val="00A4455F"/>
    <w:rsid w:val="00A70249"/>
    <w:rsid w:val="00A70B02"/>
    <w:rsid w:val="00A71D9F"/>
    <w:rsid w:val="00A80171"/>
    <w:rsid w:val="00A91E68"/>
    <w:rsid w:val="00A92E9F"/>
    <w:rsid w:val="00AA0E97"/>
    <w:rsid w:val="00AA1FEB"/>
    <w:rsid w:val="00AB18FF"/>
    <w:rsid w:val="00AC749E"/>
    <w:rsid w:val="00AD60AD"/>
    <w:rsid w:val="00B05067"/>
    <w:rsid w:val="00B33BEA"/>
    <w:rsid w:val="00B452EF"/>
    <w:rsid w:val="00B57C9F"/>
    <w:rsid w:val="00B61262"/>
    <w:rsid w:val="00B63572"/>
    <w:rsid w:val="00B63982"/>
    <w:rsid w:val="00B6702A"/>
    <w:rsid w:val="00B75ED8"/>
    <w:rsid w:val="00B82661"/>
    <w:rsid w:val="00B845B3"/>
    <w:rsid w:val="00B85D8B"/>
    <w:rsid w:val="00BA34C5"/>
    <w:rsid w:val="00BB4A40"/>
    <w:rsid w:val="00BC786B"/>
    <w:rsid w:val="00BD07BB"/>
    <w:rsid w:val="00BD6C3E"/>
    <w:rsid w:val="00BD7BA9"/>
    <w:rsid w:val="00BE3674"/>
    <w:rsid w:val="00C074F7"/>
    <w:rsid w:val="00C10681"/>
    <w:rsid w:val="00C1132D"/>
    <w:rsid w:val="00C151E4"/>
    <w:rsid w:val="00C3049A"/>
    <w:rsid w:val="00C31B1E"/>
    <w:rsid w:val="00C37FDB"/>
    <w:rsid w:val="00C52B5C"/>
    <w:rsid w:val="00C71CC0"/>
    <w:rsid w:val="00C77645"/>
    <w:rsid w:val="00CB6415"/>
    <w:rsid w:val="00CE04C3"/>
    <w:rsid w:val="00CE76A0"/>
    <w:rsid w:val="00CF75FA"/>
    <w:rsid w:val="00D044E3"/>
    <w:rsid w:val="00D06BC7"/>
    <w:rsid w:val="00D07FDA"/>
    <w:rsid w:val="00D148C6"/>
    <w:rsid w:val="00D1758B"/>
    <w:rsid w:val="00D17A8A"/>
    <w:rsid w:val="00D2115F"/>
    <w:rsid w:val="00D415BA"/>
    <w:rsid w:val="00D47C20"/>
    <w:rsid w:val="00D63780"/>
    <w:rsid w:val="00D644EE"/>
    <w:rsid w:val="00DA725A"/>
    <w:rsid w:val="00DB0CB7"/>
    <w:rsid w:val="00DB1DB3"/>
    <w:rsid w:val="00DB5D22"/>
    <w:rsid w:val="00DD06FF"/>
    <w:rsid w:val="00DD5FE9"/>
    <w:rsid w:val="00DD6AF4"/>
    <w:rsid w:val="00DE3EBF"/>
    <w:rsid w:val="00DE4317"/>
    <w:rsid w:val="00E00C7A"/>
    <w:rsid w:val="00E22F2A"/>
    <w:rsid w:val="00E37D6C"/>
    <w:rsid w:val="00E520E4"/>
    <w:rsid w:val="00E55B68"/>
    <w:rsid w:val="00E561AE"/>
    <w:rsid w:val="00E67BE6"/>
    <w:rsid w:val="00E716FF"/>
    <w:rsid w:val="00E717F2"/>
    <w:rsid w:val="00E7499C"/>
    <w:rsid w:val="00E812AD"/>
    <w:rsid w:val="00E83E2A"/>
    <w:rsid w:val="00E8683C"/>
    <w:rsid w:val="00E91D70"/>
    <w:rsid w:val="00EA2B72"/>
    <w:rsid w:val="00EA3A43"/>
    <w:rsid w:val="00EA6093"/>
    <w:rsid w:val="00EB0A0C"/>
    <w:rsid w:val="00EB3941"/>
    <w:rsid w:val="00EB5D16"/>
    <w:rsid w:val="00EC5484"/>
    <w:rsid w:val="00F06DB4"/>
    <w:rsid w:val="00F24AC3"/>
    <w:rsid w:val="00F26B5B"/>
    <w:rsid w:val="00F72D28"/>
    <w:rsid w:val="00F74360"/>
    <w:rsid w:val="00F77CC9"/>
    <w:rsid w:val="00F91EE5"/>
    <w:rsid w:val="00FB462F"/>
    <w:rsid w:val="00FB7294"/>
    <w:rsid w:val="00FC51C2"/>
    <w:rsid w:val="00FE16FA"/>
    <w:rsid w:val="00FE328A"/>
    <w:rsid w:val="00FE6269"/>
    <w:rsid w:val="00FF5CD6"/>
    <w:rsid w:val="02245BBD"/>
    <w:rsid w:val="10CF55D4"/>
    <w:rsid w:val="17BE1FD3"/>
    <w:rsid w:val="190E6715"/>
    <w:rsid w:val="1D97DEFF"/>
    <w:rsid w:val="1DFF72E5"/>
    <w:rsid w:val="1EFC6F07"/>
    <w:rsid w:val="296A19BB"/>
    <w:rsid w:val="2A834AE2"/>
    <w:rsid w:val="2FDF85B8"/>
    <w:rsid w:val="2FFFEE04"/>
    <w:rsid w:val="32934C0E"/>
    <w:rsid w:val="34DF85B0"/>
    <w:rsid w:val="3AA60379"/>
    <w:rsid w:val="3B8F36BC"/>
    <w:rsid w:val="3CBE7BFC"/>
    <w:rsid w:val="491FF225"/>
    <w:rsid w:val="4FFD214C"/>
    <w:rsid w:val="5777D4F5"/>
    <w:rsid w:val="59DD8326"/>
    <w:rsid w:val="5B7C2D04"/>
    <w:rsid w:val="5DEF592A"/>
    <w:rsid w:val="5FC6BB1E"/>
    <w:rsid w:val="5FF720F1"/>
    <w:rsid w:val="645018E6"/>
    <w:rsid w:val="67FF5C0B"/>
    <w:rsid w:val="69B875FD"/>
    <w:rsid w:val="69D1246D"/>
    <w:rsid w:val="6CFE5C6F"/>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annotation text"/>
    <w:basedOn w:val="1"/>
    <w:semiHidden/>
    <w:unhideWhenUsed/>
    <w:uiPriority w:val="99"/>
    <w:pPr>
      <w:jc w:val="left"/>
    </w:pPr>
  </w:style>
  <w:style w:type="paragraph" w:styleId="6">
    <w:name w:val="Balloon Text"/>
    <w:basedOn w:val="1"/>
    <w:link w:val="15"/>
    <w:semiHidden/>
    <w:unhideWhenUsed/>
    <w:qFormat/>
    <w:uiPriority w:val="99"/>
    <w:rPr>
      <w:sz w:val="18"/>
      <w:szCs w:val="18"/>
    </w:rPr>
  </w:style>
  <w:style w:type="paragraph" w:styleId="7">
    <w:name w:val="footer"/>
    <w:basedOn w:val="1"/>
    <w:link w:val="12"/>
    <w:unhideWhenUsed/>
    <w:qFormat/>
    <w:uiPriority w:val="99"/>
    <w:pPr>
      <w:tabs>
        <w:tab w:val="center" w:pos="4153"/>
        <w:tab w:val="right" w:pos="8306"/>
      </w:tabs>
      <w:snapToGrid w:val="0"/>
      <w:jc w:val="left"/>
    </w:pPr>
    <w:rPr>
      <w:sz w:val="18"/>
      <w:szCs w:val="18"/>
    </w:rPr>
  </w:style>
  <w:style w:type="paragraph" w:styleId="8">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1">
    <w:name w:val="页眉 字符"/>
    <w:basedOn w:val="10"/>
    <w:link w:val="8"/>
    <w:qFormat/>
    <w:uiPriority w:val="99"/>
    <w:rPr>
      <w:sz w:val="18"/>
      <w:szCs w:val="18"/>
    </w:rPr>
  </w:style>
  <w:style w:type="character" w:customStyle="1" w:styleId="12">
    <w:name w:val="页脚 字符"/>
    <w:basedOn w:val="10"/>
    <w:link w:val="7"/>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字符"/>
    <w:basedOn w:val="10"/>
    <w:link w:val="6"/>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 w:type="paragraph" w:customStyle="1" w:styleId="19">
    <w:name w:val="4正文"/>
    <w:basedOn w:val="1"/>
    <w:link w:val="20"/>
    <w:qFormat/>
    <w:uiPriority w:val="0"/>
    <w:pPr>
      <w:snapToGrid w:val="0"/>
      <w:spacing w:line="440" w:lineRule="exact"/>
      <w:ind w:firstLine="200" w:firstLineChars="200"/>
    </w:pPr>
    <w:rPr>
      <w:rFonts w:ascii="Times New Roman" w:hAnsi="Times New Roman" w:eastAsia="宋体"/>
      <w:sz w:val="24"/>
    </w:rPr>
  </w:style>
  <w:style w:type="character" w:customStyle="1" w:styleId="20">
    <w:name w:val="4正文 字符"/>
    <w:basedOn w:val="10"/>
    <w:link w:val="19"/>
    <w:qFormat/>
    <w:uiPriority w:val="0"/>
    <w:rPr>
      <w:rFonts w:cstheme="minorBidi"/>
      <w:kern w:val="2"/>
      <w:sz w:val="24"/>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package" Target="embeddings/Workbook3.xlsx"/><Relationship Id="rId7" Type="http://schemas.openxmlformats.org/officeDocument/2006/relationships/image" Target="media/image2.emf"/><Relationship Id="rId6" Type="http://schemas.openxmlformats.org/officeDocument/2006/relationships/package" Target="embeddings/Workbook2.xlsx"/><Relationship Id="rId5" Type="http://schemas.openxmlformats.org/officeDocument/2006/relationships/image" Target="media/image1.emf"/><Relationship Id="rId4" Type="http://schemas.openxmlformats.org/officeDocument/2006/relationships/package" Target="embeddings/Workbook1.xlsx"/><Relationship Id="rId3" Type="http://schemas.openxmlformats.org/officeDocument/2006/relationships/theme" Target="theme/theme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9.emf"/><Relationship Id="rId20" Type="http://schemas.openxmlformats.org/officeDocument/2006/relationships/package" Target="embeddings/Workbook9.xlsx"/><Relationship Id="rId2" Type="http://schemas.openxmlformats.org/officeDocument/2006/relationships/settings" Target="settings.xml"/><Relationship Id="rId19" Type="http://schemas.openxmlformats.org/officeDocument/2006/relationships/image" Target="media/image8.emf"/><Relationship Id="rId18" Type="http://schemas.openxmlformats.org/officeDocument/2006/relationships/package" Target="embeddings/Workbook8.xlsx"/><Relationship Id="rId17" Type="http://schemas.openxmlformats.org/officeDocument/2006/relationships/image" Target="media/image7.emf"/><Relationship Id="rId16" Type="http://schemas.openxmlformats.org/officeDocument/2006/relationships/package" Target="embeddings/Workbook7.xlsx"/><Relationship Id="rId15" Type="http://schemas.openxmlformats.org/officeDocument/2006/relationships/image" Target="media/image6.emf"/><Relationship Id="rId14" Type="http://schemas.openxmlformats.org/officeDocument/2006/relationships/package" Target="embeddings/Workbook6.xlsx"/><Relationship Id="rId13" Type="http://schemas.openxmlformats.org/officeDocument/2006/relationships/image" Target="media/image5.emf"/><Relationship Id="rId12" Type="http://schemas.openxmlformats.org/officeDocument/2006/relationships/package" Target="embeddings/Workbook5.xlsx"/><Relationship Id="rId11" Type="http://schemas.openxmlformats.org/officeDocument/2006/relationships/image" Target="media/image4.emf"/><Relationship Id="rId10" Type="http://schemas.openxmlformats.org/officeDocument/2006/relationships/package" Target="embeddings/Workbook4.xlsx"/><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99E653-30A8-49E1-B189-ED880CC2339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33</Pages>
  <Words>9477</Words>
  <Characters>10072</Characters>
  <Lines>75</Lines>
  <Paragraphs>21</Paragraphs>
  <TotalTime>241</TotalTime>
  <ScaleCrop>false</ScaleCrop>
  <LinksUpToDate>false</LinksUpToDate>
  <CharactersWithSpaces>10139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草莓酱</cp:lastModifiedBy>
  <cp:lastPrinted>2024-08-08T10:20:00Z</cp:lastPrinted>
  <dcterms:modified xsi:type="dcterms:W3CDTF">2024-09-24T01:41:15Z</dcterms:modified>
  <cp:revision>212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E9A3F612F5954EBEA733A75B51FAD966_12</vt:lpwstr>
  </property>
</Properties>
</file>