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A45240">
      <w:pPr>
        <w:pStyle w:val="13"/>
        <w:keepNext w:val="0"/>
        <w:keepLines w:val="0"/>
        <w:pageBreakBefore w:val="0"/>
        <w:kinsoku/>
        <w:wordWrap/>
        <w:overflowPunct/>
        <w:topLinePunct w:val="0"/>
        <w:bidi w:val="0"/>
        <w:snapToGrid/>
        <w:spacing w:line="600" w:lineRule="exact"/>
        <w:jc w:val="center"/>
        <w:textAlignment w:val="auto"/>
        <w:rPr>
          <w:sz w:val="56"/>
          <w:szCs w:val="56"/>
        </w:rPr>
      </w:pPr>
    </w:p>
    <w:p w14:paraId="79E01769">
      <w:pPr>
        <w:pStyle w:val="13"/>
        <w:keepNext w:val="0"/>
        <w:keepLines w:val="0"/>
        <w:pageBreakBefore w:val="0"/>
        <w:kinsoku/>
        <w:wordWrap/>
        <w:overflowPunct/>
        <w:topLinePunct w:val="0"/>
        <w:bidi w:val="0"/>
        <w:snapToGrid/>
        <w:spacing w:line="600" w:lineRule="exact"/>
        <w:jc w:val="center"/>
        <w:textAlignment w:val="auto"/>
        <w:rPr>
          <w:sz w:val="56"/>
          <w:szCs w:val="56"/>
        </w:rPr>
      </w:pPr>
    </w:p>
    <w:p w14:paraId="2E9613D1">
      <w:pPr>
        <w:pStyle w:val="13"/>
        <w:keepNext w:val="0"/>
        <w:keepLines w:val="0"/>
        <w:pageBreakBefore w:val="0"/>
        <w:kinsoku/>
        <w:wordWrap/>
        <w:overflowPunct/>
        <w:topLinePunct w:val="0"/>
        <w:bidi w:val="0"/>
        <w:snapToGrid/>
        <w:spacing w:line="600" w:lineRule="exact"/>
        <w:jc w:val="center"/>
        <w:textAlignment w:val="auto"/>
        <w:rPr>
          <w:sz w:val="84"/>
          <w:szCs w:val="84"/>
        </w:rPr>
      </w:pPr>
    </w:p>
    <w:p w14:paraId="4DE9C35E">
      <w:pPr>
        <w:pStyle w:val="13"/>
        <w:keepNext w:val="0"/>
        <w:keepLines w:val="0"/>
        <w:pageBreakBefore w:val="0"/>
        <w:kinsoku/>
        <w:wordWrap/>
        <w:overflowPunct/>
        <w:topLinePunct w:val="0"/>
        <w:bidi w:val="0"/>
        <w:snapToGrid/>
        <w:spacing w:line="600" w:lineRule="exact"/>
        <w:jc w:val="center"/>
        <w:textAlignment w:val="auto"/>
        <w:rPr>
          <w:sz w:val="84"/>
          <w:szCs w:val="84"/>
        </w:rPr>
      </w:pPr>
    </w:p>
    <w:p w14:paraId="1782B7E7">
      <w:pPr>
        <w:pStyle w:val="13"/>
        <w:keepNext w:val="0"/>
        <w:keepLines w:val="0"/>
        <w:pageBreakBefore w:val="0"/>
        <w:kinsoku/>
        <w:wordWrap/>
        <w:overflowPunct/>
        <w:topLinePunct w:val="0"/>
        <w:bidi w:val="0"/>
        <w:snapToGrid/>
        <w:spacing w:line="600" w:lineRule="exact"/>
        <w:jc w:val="center"/>
        <w:textAlignment w:val="auto"/>
        <w:rPr>
          <w:sz w:val="84"/>
          <w:szCs w:val="84"/>
        </w:rPr>
      </w:pPr>
    </w:p>
    <w:p w14:paraId="00ACFF6A">
      <w:pPr>
        <w:pStyle w:val="13"/>
        <w:jc w:val="center"/>
        <w:rPr>
          <w:rFonts w:hint="eastAsia" w:ascii="黑体" w:hAnsi="黑体" w:eastAsia="黑体" w:cs="黑体"/>
          <w:kern w:val="0"/>
          <w:sz w:val="84"/>
          <w:szCs w:val="84"/>
          <w:lang w:val="en-US" w:eastAsia="zh-CN"/>
        </w:rPr>
      </w:pPr>
      <w:r>
        <w:rPr>
          <w:rFonts w:hint="eastAsia" w:ascii="黑体" w:hAnsi="黑体" w:eastAsia="黑体" w:cs="黑体"/>
          <w:kern w:val="0"/>
          <w:sz w:val="84"/>
          <w:szCs w:val="84"/>
          <w:lang w:val="en-US" w:eastAsia="zh-CN"/>
        </w:rPr>
        <w:t>2022年度</w:t>
      </w:r>
    </w:p>
    <w:p w14:paraId="07A2312B">
      <w:pPr>
        <w:pStyle w:val="13"/>
        <w:jc w:val="center"/>
        <w:rPr>
          <w:rFonts w:hint="eastAsia" w:ascii="黑体" w:hAnsi="黑体" w:eastAsia="黑体" w:cs="黑体"/>
          <w:kern w:val="0"/>
          <w:sz w:val="84"/>
          <w:szCs w:val="84"/>
          <w:lang w:val="en-US" w:eastAsia="zh-CN"/>
        </w:rPr>
      </w:pPr>
      <w:r>
        <w:rPr>
          <w:rFonts w:hint="eastAsia" w:ascii="黑体" w:hAnsi="黑体" w:eastAsia="黑体" w:cs="黑体"/>
          <w:kern w:val="0"/>
          <w:sz w:val="84"/>
          <w:szCs w:val="84"/>
          <w:lang w:val="en-US" w:eastAsia="zh-CN"/>
        </w:rPr>
        <w:t>怀化市住房保障服务中心</w:t>
      </w:r>
    </w:p>
    <w:p w14:paraId="39E836B0">
      <w:pPr>
        <w:pStyle w:val="13"/>
        <w:jc w:val="center"/>
        <w:rPr>
          <w:rFonts w:hint="eastAsia" w:ascii="黑体" w:hAnsi="黑体" w:eastAsia="黑体" w:cs="黑体"/>
          <w:kern w:val="0"/>
          <w:sz w:val="84"/>
          <w:szCs w:val="84"/>
          <w:lang w:val="en-US" w:eastAsia="zh-CN"/>
        </w:rPr>
      </w:pPr>
      <w:r>
        <w:rPr>
          <w:rFonts w:hint="eastAsia" w:ascii="黑体" w:hAnsi="黑体" w:eastAsia="黑体" w:cs="黑体"/>
          <w:kern w:val="0"/>
          <w:sz w:val="84"/>
          <w:szCs w:val="84"/>
          <w:lang w:val="en-US" w:eastAsia="zh-CN"/>
        </w:rPr>
        <w:t>部门决算</w:t>
      </w:r>
    </w:p>
    <w:p w14:paraId="6C132A4F">
      <w:pPr>
        <w:pStyle w:val="13"/>
        <w:jc w:val="center"/>
        <w:rPr>
          <w:rFonts w:hint="eastAsia" w:ascii="方正小标宋_GBK" w:hAnsi="方正小标宋_GBK" w:eastAsia="方正小标宋_GBK" w:cs="方正小标宋_GBK"/>
          <w:kern w:val="0"/>
          <w:sz w:val="84"/>
          <w:szCs w:val="84"/>
          <w:lang w:val="en-US" w:eastAsia="zh-CN"/>
        </w:rPr>
      </w:pPr>
    </w:p>
    <w:p w14:paraId="283EA088">
      <w:pPr>
        <w:pStyle w:val="13"/>
        <w:jc w:val="center"/>
        <w:rPr>
          <w:rFonts w:hint="eastAsia" w:ascii="方正小标宋_GBK" w:hAnsi="方正小标宋_GBK" w:eastAsia="方正小标宋_GBK" w:cs="方正小标宋_GBK"/>
          <w:kern w:val="0"/>
          <w:sz w:val="84"/>
          <w:szCs w:val="84"/>
          <w:lang w:val="en-US" w:eastAsia="zh-CN"/>
        </w:rPr>
      </w:pPr>
    </w:p>
    <w:p w14:paraId="301E9493">
      <w:pPr>
        <w:pStyle w:val="13"/>
        <w:jc w:val="center"/>
        <w:rPr>
          <w:rFonts w:hint="eastAsia" w:ascii="方正小标宋_GBK" w:hAnsi="方正小标宋_GBK" w:eastAsia="方正小标宋_GBK" w:cs="方正小标宋_GBK"/>
          <w:kern w:val="0"/>
          <w:sz w:val="84"/>
          <w:szCs w:val="84"/>
          <w:lang w:val="en-US" w:eastAsia="zh-CN"/>
        </w:rPr>
      </w:pPr>
    </w:p>
    <w:p w14:paraId="6BC595E8">
      <w:pPr>
        <w:pStyle w:val="13"/>
        <w:jc w:val="center"/>
        <w:rPr>
          <w:rFonts w:hint="eastAsia" w:ascii="方正小标宋_GBK" w:hAnsi="方正小标宋_GBK" w:eastAsia="方正小标宋_GBK" w:cs="方正小标宋_GBK"/>
          <w:kern w:val="0"/>
          <w:sz w:val="84"/>
          <w:szCs w:val="84"/>
          <w:lang w:val="en-US" w:eastAsia="zh-CN"/>
        </w:rPr>
      </w:pPr>
    </w:p>
    <w:p w14:paraId="17EFA10E">
      <w:pPr>
        <w:pStyle w:val="13"/>
        <w:jc w:val="center"/>
        <w:rPr>
          <w:rFonts w:hint="eastAsia" w:ascii="方正小标宋_GBK" w:hAnsi="方正小标宋_GBK" w:eastAsia="方正小标宋_GBK" w:cs="方正小标宋_GBK"/>
          <w:kern w:val="0"/>
          <w:sz w:val="84"/>
          <w:szCs w:val="84"/>
          <w:lang w:val="en-US" w:eastAsia="zh-CN"/>
        </w:rPr>
      </w:pPr>
    </w:p>
    <w:p w14:paraId="74DB4462">
      <w:pPr>
        <w:pStyle w:val="13"/>
        <w:keepNext w:val="0"/>
        <w:keepLines w:val="0"/>
        <w:pageBreakBefore w:val="0"/>
        <w:kinsoku/>
        <w:wordWrap/>
        <w:overflowPunct/>
        <w:topLinePunct w:val="0"/>
        <w:bidi w:val="0"/>
        <w:snapToGrid/>
        <w:spacing w:line="600" w:lineRule="exact"/>
        <w:jc w:val="both"/>
        <w:textAlignment w:val="auto"/>
        <w:rPr>
          <w:b/>
          <w:sz w:val="36"/>
          <w:szCs w:val="28"/>
        </w:rPr>
      </w:pPr>
    </w:p>
    <w:p w14:paraId="217DFB0D">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目录</w:t>
      </w:r>
    </w:p>
    <w:p w14:paraId="006F5AC3">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第一部分怀化市住房保障服务中心概况</w:t>
      </w:r>
    </w:p>
    <w:p w14:paraId="1AFB3860">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一、部门职责</w:t>
      </w:r>
    </w:p>
    <w:p w14:paraId="4D8F7512">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二、机构设置</w:t>
      </w:r>
    </w:p>
    <w:p w14:paraId="5428524F">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第二部分部门决算表</w:t>
      </w:r>
    </w:p>
    <w:p w14:paraId="397D1C31">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一、收入支出决算总表</w:t>
      </w:r>
    </w:p>
    <w:p w14:paraId="5C517A1B">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二、收入决算表</w:t>
      </w:r>
    </w:p>
    <w:p w14:paraId="4BEA8FD7">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三、支出决算表</w:t>
      </w:r>
    </w:p>
    <w:p w14:paraId="43E58322">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四、财政拨款收入支出决算总表</w:t>
      </w:r>
    </w:p>
    <w:p w14:paraId="6D62F643">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五、一般公共预算财政拨款支出决算表</w:t>
      </w:r>
    </w:p>
    <w:p w14:paraId="0B69DF0A">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六、一般公共预算财政拨款基本支出决算明细表</w:t>
      </w:r>
    </w:p>
    <w:p w14:paraId="69DCD85E">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七、政府性基金预算财政拨款收入支出决算表</w:t>
      </w:r>
    </w:p>
    <w:p w14:paraId="391E2EEF">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八、国有资本经营预算财政拨款支出决算表</w:t>
      </w:r>
    </w:p>
    <w:p w14:paraId="07DDB266">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九、财政拨款“三公”经费支出决算表</w:t>
      </w:r>
    </w:p>
    <w:p w14:paraId="3DC0BD82">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第三部分部门决算情况说明</w:t>
      </w:r>
    </w:p>
    <w:p w14:paraId="7DF96693">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一、收入支出决算总体情况说明</w:t>
      </w:r>
    </w:p>
    <w:p w14:paraId="45B88EBF">
      <w:pPr>
        <w:keepNext w:val="0"/>
        <w:keepLines w:val="0"/>
        <w:pageBreakBefore w:val="0"/>
        <w:kinsoku/>
        <w:wordWrap/>
        <w:overflowPunct/>
        <w:topLinePunct w:val="0"/>
        <w:bidi w:val="0"/>
        <w:snapToGrid/>
        <w:spacing w:line="600" w:lineRule="exact"/>
        <w:ind w:firstLine="800" w:firstLineChars="25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二、收入决算情况说明</w:t>
      </w:r>
    </w:p>
    <w:p w14:paraId="75129864">
      <w:pPr>
        <w:keepNext w:val="0"/>
        <w:keepLines w:val="0"/>
        <w:pageBreakBefore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三、支出决算情况说明</w:t>
      </w:r>
    </w:p>
    <w:p w14:paraId="1857A446">
      <w:pPr>
        <w:keepNext w:val="0"/>
        <w:keepLines w:val="0"/>
        <w:pageBreakBefore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四、财政拨款收入支出决算总体情况说明</w:t>
      </w:r>
    </w:p>
    <w:p w14:paraId="015AC858">
      <w:pPr>
        <w:keepNext w:val="0"/>
        <w:keepLines w:val="0"/>
        <w:pageBreakBefore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五、一般公共预算财政拨款支出决算情况说明</w:t>
      </w:r>
    </w:p>
    <w:p w14:paraId="12C7A9F9">
      <w:pPr>
        <w:keepNext w:val="0"/>
        <w:keepLines w:val="0"/>
        <w:pageBreakBefore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六、一般公共预算财政拨款基本支出决算情况说明</w:t>
      </w:r>
    </w:p>
    <w:p w14:paraId="0A2458D6">
      <w:pPr>
        <w:keepNext w:val="0"/>
        <w:keepLines w:val="0"/>
        <w:pageBreakBefore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七、一般公共预算财政拨款三公经费支出决算情况说明</w:t>
      </w:r>
    </w:p>
    <w:p w14:paraId="6CE0A609">
      <w:pPr>
        <w:keepNext w:val="0"/>
        <w:keepLines w:val="0"/>
        <w:pageBreakBefore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八、政府性基金预算收入支出决算情况</w:t>
      </w:r>
    </w:p>
    <w:p w14:paraId="185BE381">
      <w:pPr>
        <w:keepNext w:val="0"/>
        <w:keepLines w:val="0"/>
        <w:pageBreakBefore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九、国有资本经营预算财政拨款支出决算情况说明</w:t>
      </w:r>
    </w:p>
    <w:p w14:paraId="79D40ACA">
      <w:pPr>
        <w:keepNext w:val="0"/>
        <w:keepLines w:val="0"/>
        <w:pageBreakBefore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十、关于机关运行经费支出说明</w:t>
      </w:r>
    </w:p>
    <w:p w14:paraId="6CD4720A">
      <w:pPr>
        <w:keepNext w:val="0"/>
        <w:keepLines w:val="0"/>
        <w:pageBreakBefore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十一、一般性支出情况说明</w:t>
      </w:r>
    </w:p>
    <w:p w14:paraId="42E9C353">
      <w:pPr>
        <w:keepNext w:val="0"/>
        <w:keepLines w:val="0"/>
        <w:pageBreakBefore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十二、关于政府采购支出说明</w:t>
      </w:r>
    </w:p>
    <w:p w14:paraId="65449058">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十三、关于国有资产占用情况说明</w:t>
      </w:r>
    </w:p>
    <w:p w14:paraId="4064123A">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十四、关于预算绩效情况的说明</w:t>
      </w:r>
    </w:p>
    <w:p w14:paraId="403A3CF8">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第四部分名词解释</w:t>
      </w:r>
    </w:p>
    <w:p w14:paraId="20CAD189">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第五部分附件</w:t>
      </w:r>
    </w:p>
    <w:p w14:paraId="5D86F744">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738E4E71">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206EBEBF">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460AF053">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4E88FA5C">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3B77AA4C">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54C53188">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32BDE6DE">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5CD19B7F">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0FBB8850">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4E9E7158">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0D02FD18">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35F95D4F">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36456E04">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31B2C2A5">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4D5F6234">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7D29CB1F">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3C185868">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003F521A">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3B947A0A">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6E8DCEFB">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269875E4">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223E12F7">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0C92301A">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77D8A2A2">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36A0DADB">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71BEE45B">
      <w:pPr>
        <w:keepNext w:val="0"/>
        <w:keepLines w:val="0"/>
        <w:pageBreakBefore w:val="0"/>
        <w:kinsoku/>
        <w:wordWrap/>
        <w:overflowPunct/>
        <w:topLinePunct w:val="0"/>
        <w:bidi w:val="0"/>
        <w:snapToGrid/>
        <w:spacing w:line="600" w:lineRule="exact"/>
        <w:textAlignment w:val="auto"/>
        <w:rPr>
          <w:rFonts w:hint="eastAsia" w:ascii="方正小标宋_GBK" w:hAnsi="方正小标宋_GBK" w:eastAsia="方正小标宋_GBK" w:cs="方正小标宋_GBK"/>
          <w:sz w:val="72"/>
          <w:szCs w:val="72"/>
        </w:rPr>
      </w:pPr>
    </w:p>
    <w:p w14:paraId="5CC99573">
      <w:pPr>
        <w:pStyle w:val="13"/>
        <w:jc w:val="center"/>
        <w:rPr>
          <w:rFonts w:hint="eastAsia" w:ascii="黑体" w:hAnsi="黑体" w:eastAsia="黑体" w:cs="黑体"/>
          <w:kern w:val="0"/>
          <w:sz w:val="84"/>
          <w:szCs w:val="84"/>
          <w:lang w:eastAsia="zh-CN"/>
        </w:rPr>
      </w:pPr>
      <w:r>
        <w:rPr>
          <w:rFonts w:hint="eastAsia" w:ascii="黑体" w:hAnsi="黑体" w:eastAsia="黑体" w:cs="黑体"/>
          <w:kern w:val="0"/>
          <w:sz w:val="84"/>
          <w:szCs w:val="84"/>
        </w:rPr>
        <w:t>第一部分</w:t>
      </w:r>
    </w:p>
    <w:p w14:paraId="1C9B22A4">
      <w:pPr>
        <w:pStyle w:val="13"/>
        <w:jc w:val="center"/>
        <w:rPr>
          <w:rFonts w:hint="eastAsia" w:ascii="黑体" w:hAnsi="黑体" w:eastAsia="黑体" w:cs="黑体"/>
          <w:kern w:val="0"/>
          <w:sz w:val="84"/>
          <w:szCs w:val="84"/>
          <w:lang w:val="en-US" w:eastAsia="zh-CN"/>
        </w:rPr>
      </w:pPr>
      <w:r>
        <w:rPr>
          <w:rFonts w:hint="eastAsia" w:ascii="黑体" w:hAnsi="黑体" w:eastAsia="黑体" w:cs="黑体"/>
          <w:kern w:val="0"/>
          <w:sz w:val="84"/>
          <w:szCs w:val="84"/>
          <w:lang w:val="en-US" w:eastAsia="zh-CN"/>
        </w:rPr>
        <w:t>怀化市住房保障服务中心</w:t>
      </w:r>
    </w:p>
    <w:p w14:paraId="60E45ABB">
      <w:pPr>
        <w:pStyle w:val="13"/>
        <w:jc w:val="center"/>
        <w:rPr>
          <w:rFonts w:hint="eastAsia" w:ascii="黑体" w:hAnsi="黑体" w:eastAsia="黑体" w:cs="黑体"/>
          <w:kern w:val="0"/>
          <w:sz w:val="84"/>
          <w:szCs w:val="84"/>
        </w:rPr>
      </w:pPr>
      <w:r>
        <w:rPr>
          <w:rFonts w:hint="eastAsia" w:ascii="黑体" w:hAnsi="黑体" w:eastAsia="黑体" w:cs="黑体"/>
          <w:kern w:val="0"/>
          <w:sz w:val="84"/>
          <w:szCs w:val="84"/>
        </w:rPr>
        <w:t>概况</w:t>
      </w:r>
    </w:p>
    <w:p w14:paraId="58C8D5A8">
      <w:pPr>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sz w:val="72"/>
          <w:szCs w:val="72"/>
        </w:rPr>
      </w:pPr>
    </w:p>
    <w:p w14:paraId="70332331">
      <w:pPr>
        <w:keepNext w:val="0"/>
        <w:keepLines w:val="0"/>
        <w:pageBreakBefore w:val="0"/>
        <w:kinsoku/>
        <w:wordWrap/>
        <w:overflowPunct/>
        <w:topLinePunct w:val="0"/>
        <w:bidi w:val="0"/>
        <w:snapToGrid/>
        <w:spacing w:line="600" w:lineRule="exact"/>
        <w:jc w:val="both"/>
        <w:textAlignment w:val="auto"/>
        <w:rPr>
          <w:rFonts w:hint="eastAsia" w:ascii="方正小标宋_GBK" w:hAnsi="方正小标宋_GBK" w:eastAsia="方正小标宋_GBK" w:cs="方正小标宋_GBK"/>
          <w:sz w:val="72"/>
          <w:szCs w:val="72"/>
        </w:rPr>
      </w:pPr>
    </w:p>
    <w:p w14:paraId="61290C45">
      <w:pPr>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sz w:val="72"/>
          <w:szCs w:val="72"/>
        </w:rPr>
      </w:pPr>
    </w:p>
    <w:p w14:paraId="7C596AAD">
      <w:pPr>
        <w:keepNext w:val="0"/>
        <w:keepLines w:val="0"/>
        <w:pageBreakBefore w:val="0"/>
        <w:kinsoku/>
        <w:wordWrap/>
        <w:overflowPunct/>
        <w:topLinePunct w:val="0"/>
        <w:bidi w:val="0"/>
        <w:snapToGrid/>
        <w:spacing w:line="600" w:lineRule="exact"/>
        <w:jc w:val="both"/>
        <w:textAlignment w:val="auto"/>
        <w:rPr>
          <w:rFonts w:hint="eastAsia" w:ascii="方正小标宋_GBK" w:hAnsi="方正小标宋_GBK" w:eastAsia="方正小标宋_GBK" w:cs="方正小标宋_GBK"/>
          <w:sz w:val="72"/>
          <w:szCs w:val="72"/>
        </w:rPr>
      </w:pPr>
    </w:p>
    <w:p w14:paraId="03139B51">
      <w:pPr>
        <w:keepNext w:val="0"/>
        <w:keepLines w:val="0"/>
        <w:pageBreakBefore w:val="0"/>
        <w:kinsoku/>
        <w:wordWrap/>
        <w:overflowPunct/>
        <w:topLinePunct w:val="0"/>
        <w:bidi w:val="0"/>
        <w:snapToGrid/>
        <w:spacing w:line="600" w:lineRule="exact"/>
        <w:jc w:val="both"/>
        <w:textAlignment w:val="auto"/>
        <w:rPr>
          <w:rFonts w:hint="eastAsia" w:ascii="方正小标宋_GBK" w:hAnsi="方正小标宋_GBK" w:eastAsia="方正小标宋_GBK" w:cs="方正小标宋_GBK"/>
          <w:sz w:val="72"/>
          <w:szCs w:val="72"/>
        </w:rPr>
      </w:pPr>
    </w:p>
    <w:p w14:paraId="40C1DD82">
      <w:pPr>
        <w:keepNext w:val="0"/>
        <w:keepLines w:val="0"/>
        <w:pageBreakBefore w:val="0"/>
        <w:kinsoku/>
        <w:wordWrap/>
        <w:overflowPunct/>
        <w:topLinePunct w:val="0"/>
        <w:bidi w:val="0"/>
        <w:snapToGrid/>
        <w:spacing w:line="600" w:lineRule="exact"/>
        <w:jc w:val="both"/>
        <w:textAlignment w:val="auto"/>
        <w:rPr>
          <w:rFonts w:hint="eastAsia" w:ascii="方正小标宋_GBK" w:hAnsi="方正小标宋_GBK" w:eastAsia="方正小标宋_GBK" w:cs="方正小标宋_GBK"/>
          <w:sz w:val="72"/>
          <w:szCs w:val="72"/>
        </w:rPr>
      </w:pPr>
    </w:p>
    <w:p w14:paraId="4741992A">
      <w:pPr>
        <w:keepNext w:val="0"/>
        <w:keepLines w:val="0"/>
        <w:pageBreakBefore w:val="0"/>
        <w:kinsoku/>
        <w:wordWrap/>
        <w:overflowPunct/>
        <w:topLinePunct w:val="0"/>
        <w:bidi w:val="0"/>
        <w:snapToGrid/>
        <w:spacing w:line="600" w:lineRule="exact"/>
        <w:jc w:val="both"/>
        <w:textAlignment w:val="auto"/>
        <w:rPr>
          <w:rFonts w:hint="eastAsia" w:ascii="方正小标宋_GBK" w:hAnsi="方正小标宋_GBK" w:eastAsia="方正小标宋_GBK" w:cs="方正小标宋_GBK"/>
          <w:sz w:val="72"/>
          <w:szCs w:val="72"/>
        </w:rPr>
      </w:pPr>
    </w:p>
    <w:p w14:paraId="58B9F332">
      <w:pPr>
        <w:keepNext w:val="0"/>
        <w:keepLines w:val="0"/>
        <w:pageBreakBefore w:val="0"/>
        <w:kinsoku/>
        <w:wordWrap/>
        <w:overflowPunct/>
        <w:topLinePunct w:val="0"/>
        <w:bidi w:val="0"/>
        <w:snapToGrid/>
        <w:spacing w:line="600" w:lineRule="exact"/>
        <w:jc w:val="both"/>
        <w:textAlignment w:val="auto"/>
        <w:rPr>
          <w:rFonts w:hint="eastAsia" w:ascii="方正小标宋_GBK" w:hAnsi="方正小标宋_GBK" w:eastAsia="方正小标宋_GBK" w:cs="方正小标宋_GBK"/>
          <w:sz w:val="72"/>
          <w:szCs w:val="72"/>
        </w:rPr>
      </w:pPr>
    </w:p>
    <w:p w14:paraId="4A7A63C8">
      <w:pPr>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br w:type="page"/>
      </w:r>
    </w:p>
    <w:p w14:paraId="610BEAC0">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一、</w:t>
      </w:r>
      <w:r>
        <w:rPr>
          <w:rFonts w:hint="eastAsia" w:ascii="仿宋" w:hAnsi="仿宋" w:eastAsia="仿宋" w:cs="仿宋"/>
          <w:b/>
          <w:bCs/>
          <w:sz w:val="32"/>
          <w:szCs w:val="32"/>
        </w:rPr>
        <w:t>部门职责</w:t>
      </w:r>
    </w:p>
    <w:p w14:paraId="01D96DD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（一）承担市城区物业专项维修资金归集、管理、拨付等事务性职责。为全市住房保障、房地产市场监管、物业管理、保障性住房租赁管理、其他房屋租赁管理、白蚁防治管理等相关政策拟订提供服务。</w:t>
      </w:r>
    </w:p>
    <w:p w14:paraId="11E939A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（二）承担全市保障性住房后续管理和其他房屋租赁管理的业务指导，市本级保障性住房租赁管理服务和其他房屋租赁备案的相关服务。</w:t>
      </w:r>
    </w:p>
    <w:p w14:paraId="3238090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（三）市本级白蚁防治业务指导、实施白蚁防治科学研究及新技术推广等职责。</w:t>
      </w:r>
    </w:p>
    <w:p w14:paraId="700C1F6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（四）承担市住房和城乡建设局交办的其他工作。</w:t>
      </w:r>
    </w:p>
    <w:p w14:paraId="23DE26F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2022年住建局交办工作有：契税补贴发放、房屋专项维修资金支付审批、申请公租房审核。</w:t>
      </w:r>
    </w:p>
    <w:p w14:paraId="10067F3A">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二、机构设置及决算单位构成</w:t>
      </w:r>
    </w:p>
    <w:p w14:paraId="7AA6916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一）内设机构设置。怀化市住房保障服务中心作为一级部门预算单位，内设部门为：办公室、人事财务部、住房保障服务部、住建信息服务部。下设不具备独立法人资格的正科级分支机构市住房保障服务站，承担协助开展白蚁防治、房屋租赁、物业专项维修资金管理等服务性工作</w:t>
      </w:r>
    </w:p>
    <w:p w14:paraId="3DDCE86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（二）决算单位构成。怀化市住房保障服务中心2022年部门决算公开单位构成为怀化市住房保障服务中心本级。</w:t>
      </w:r>
    </w:p>
    <w:p w14:paraId="796C2BF5">
      <w:pPr>
        <w:keepNext w:val="0"/>
        <w:keepLines w:val="0"/>
        <w:pageBreakBefore w:val="0"/>
        <w:kinsoku/>
        <w:wordWrap/>
        <w:overflowPunct/>
        <w:topLinePunct w:val="0"/>
        <w:bidi w:val="0"/>
        <w:snapToGrid/>
        <w:spacing w:line="600" w:lineRule="exact"/>
        <w:jc w:val="center"/>
        <w:textAlignment w:val="auto"/>
        <w:rPr>
          <w:rFonts w:ascii="黑体" w:hAnsi="黑体" w:eastAsia="黑体"/>
          <w:sz w:val="28"/>
          <w:szCs w:val="28"/>
        </w:rPr>
      </w:pPr>
    </w:p>
    <w:p w14:paraId="1E42DE26">
      <w:pPr>
        <w:keepNext w:val="0"/>
        <w:keepLines w:val="0"/>
        <w:pageBreakBefore w:val="0"/>
        <w:kinsoku/>
        <w:wordWrap/>
        <w:overflowPunct/>
        <w:topLinePunct w:val="0"/>
        <w:bidi w:val="0"/>
        <w:snapToGrid/>
        <w:spacing w:line="600" w:lineRule="exact"/>
        <w:jc w:val="center"/>
        <w:textAlignment w:val="auto"/>
        <w:rPr>
          <w:rFonts w:ascii="黑体" w:hAnsi="黑体" w:eastAsia="黑体"/>
          <w:sz w:val="28"/>
          <w:szCs w:val="28"/>
        </w:rPr>
      </w:pPr>
    </w:p>
    <w:p w14:paraId="6AF69ECE">
      <w:pPr>
        <w:keepNext w:val="0"/>
        <w:keepLines w:val="0"/>
        <w:pageBreakBefore w:val="0"/>
        <w:kinsoku/>
        <w:wordWrap/>
        <w:overflowPunct/>
        <w:topLinePunct w:val="0"/>
        <w:bidi w:val="0"/>
        <w:snapToGrid/>
        <w:spacing w:line="600" w:lineRule="exact"/>
        <w:jc w:val="center"/>
        <w:textAlignment w:val="auto"/>
        <w:rPr>
          <w:rFonts w:ascii="黑体" w:hAnsi="黑体" w:eastAsia="黑体"/>
          <w:sz w:val="28"/>
          <w:szCs w:val="28"/>
        </w:rPr>
      </w:pPr>
    </w:p>
    <w:p w14:paraId="30B95791">
      <w:pPr>
        <w:pStyle w:val="13"/>
        <w:keepNext w:val="0"/>
        <w:keepLines w:val="0"/>
        <w:pageBreakBefore w:val="0"/>
        <w:kinsoku/>
        <w:wordWrap/>
        <w:overflowPunct/>
        <w:topLinePunct w:val="0"/>
        <w:bidi w:val="0"/>
        <w:snapToGrid/>
        <w:spacing w:line="600" w:lineRule="exact"/>
        <w:jc w:val="both"/>
        <w:textAlignment w:val="auto"/>
        <w:rPr>
          <w:rFonts w:hint="eastAsia" w:ascii="方正小标宋_GBK" w:hAnsi="方正小标宋_GBK" w:eastAsia="方正小标宋_GBK" w:cs="方正小标宋_GBK"/>
          <w:sz w:val="84"/>
          <w:szCs w:val="84"/>
        </w:rPr>
      </w:pPr>
    </w:p>
    <w:p w14:paraId="739E263A">
      <w:pPr>
        <w:pStyle w:val="13"/>
        <w:keepNext w:val="0"/>
        <w:keepLines w:val="0"/>
        <w:pageBreakBefore w:val="0"/>
        <w:kinsoku/>
        <w:wordWrap/>
        <w:overflowPunct/>
        <w:topLinePunct w:val="0"/>
        <w:bidi w:val="0"/>
        <w:snapToGrid/>
        <w:spacing w:line="600" w:lineRule="exact"/>
        <w:jc w:val="both"/>
        <w:textAlignment w:val="auto"/>
        <w:rPr>
          <w:rFonts w:hint="eastAsia" w:ascii="方正小标宋_GBK" w:hAnsi="方正小标宋_GBK" w:eastAsia="方正小标宋_GBK" w:cs="方正小标宋_GBK"/>
          <w:sz w:val="84"/>
          <w:szCs w:val="84"/>
        </w:rPr>
      </w:pPr>
    </w:p>
    <w:p w14:paraId="5AF701CA">
      <w:pPr>
        <w:pStyle w:val="13"/>
        <w:keepNext w:val="0"/>
        <w:keepLines w:val="0"/>
        <w:pageBreakBefore w:val="0"/>
        <w:kinsoku/>
        <w:wordWrap/>
        <w:overflowPunct/>
        <w:topLinePunct w:val="0"/>
        <w:bidi w:val="0"/>
        <w:snapToGrid/>
        <w:spacing w:line="600" w:lineRule="exact"/>
        <w:jc w:val="both"/>
        <w:textAlignment w:val="auto"/>
        <w:rPr>
          <w:rFonts w:hint="eastAsia" w:ascii="方正小标宋_GBK" w:hAnsi="方正小标宋_GBK" w:eastAsia="方正小标宋_GBK" w:cs="方正小标宋_GBK"/>
          <w:sz w:val="84"/>
          <w:szCs w:val="84"/>
        </w:rPr>
      </w:pPr>
    </w:p>
    <w:p w14:paraId="5F169575">
      <w:pPr>
        <w:pStyle w:val="13"/>
        <w:jc w:val="center"/>
        <w:rPr>
          <w:rFonts w:hint="eastAsia" w:ascii="方正小标宋_GBK" w:hAnsi="方正小标宋_GBK" w:eastAsia="方正小标宋_GBK" w:cs="方正小标宋_GBK"/>
          <w:kern w:val="0"/>
          <w:sz w:val="84"/>
          <w:szCs w:val="84"/>
        </w:rPr>
      </w:pPr>
    </w:p>
    <w:p w14:paraId="1FD48C52">
      <w:pPr>
        <w:pStyle w:val="13"/>
        <w:jc w:val="center"/>
        <w:rPr>
          <w:rFonts w:hint="eastAsia" w:ascii="方正小标宋_GBK" w:hAnsi="方正小标宋_GBK" w:eastAsia="方正小标宋_GBK" w:cs="方正小标宋_GBK"/>
          <w:kern w:val="0"/>
          <w:sz w:val="84"/>
          <w:szCs w:val="84"/>
        </w:rPr>
      </w:pPr>
    </w:p>
    <w:p w14:paraId="04D0B237">
      <w:pPr>
        <w:pStyle w:val="13"/>
        <w:jc w:val="center"/>
        <w:rPr>
          <w:rFonts w:hint="eastAsia" w:ascii="方正小标宋_GBK" w:hAnsi="方正小标宋_GBK" w:eastAsia="方正小标宋_GBK" w:cs="方正小标宋_GBK"/>
          <w:kern w:val="0"/>
          <w:sz w:val="84"/>
          <w:szCs w:val="84"/>
        </w:rPr>
      </w:pPr>
    </w:p>
    <w:p w14:paraId="7805356B">
      <w:pPr>
        <w:pStyle w:val="13"/>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eastAsia" w:ascii="黑体" w:hAnsi="黑体" w:eastAsia="黑体" w:cs="黑体"/>
          <w:kern w:val="0"/>
          <w:sz w:val="84"/>
          <w:szCs w:val="84"/>
        </w:rPr>
      </w:pPr>
      <w:r>
        <w:rPr>
          <w:rFonts w:hint="eastAsia" w:ascii="黑体" w:hAnsi="黑体" w:eastAsia="黑体" w:cs="黑体"/>
          <w:kern w:val="0"/>
          <w:sz w:val="84"/>
          <w:szCs w:val="84"/>
        </w:rPr>
        <w:t>第二部分</w:t>
      </w:r>
    </w:p>
    <w:p w14:paraId="13A4674C">
      <w:pPr>
        <w:pStyle w:val="13"/>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eastAsia" w:ascii="黑体" w:hAnsi="黑体" w:eastAsia="黑体" w:cs="黑体"/>
          <w:kern w:val="0"/>
          <w:sz w:val="84"/>
          <w:szCs w:val="84"/>
        </w:rPr>
      </w:pPr>
      <w:r>
        <w:rPr>
          <w:rFonts w:hint="eastAsia" w:ascii="黑体" w:hAnsi="黑体" w:eastAsia="黑体" w:cs="黑体"/>
          <w:kern w:val="0"/>
          <w:sz w:val="84"/>
          <w:szCs w:val="84"/>
        </w:rPr>
        <w:t>部门决算表</w:t>
      </w:r>
    </w:p>
    <w:p w14:paraId="455643AA">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eastAsia" w:ascii="黑体" w:hAnsi="黑体" w:eastAsia="黑体" w:cs="黑体"/>
          <w:b/>
          <w:bCs/>
          <w:color w:val="auto"/>
          <w:kern w:val="2"/>
          <w:sz w:val="36"/>
          <w:szCs w:val="36"/>
          <w:lang w:val="en-US" w:eastAsia="zh-CN" w:bidi="ar-SA"/>
        </w:rPr>
      </w:pPr>
      <w:r>
        <w:rPr>
          <w:rFonts w:hint="eastAsia" w:ascii="黑体" w:hAnsi="黑体" w:eastAsia="黑体" w:cs="黑体"/>
          <w:b/>
          <w:bCs/>
          <w:color w:val="auto"/>
          <w:kern w:val="2"/>
          <w:sz w:val="36"/>
          <w:szCs w:val="36"/>
          <w:lang w:val="en-US" w:eastAsia="zh-CN" w:bidi="ar-SA"/>
        </w:rPr>
        <w:t>（详见附件）</w:t>
      </w:r>
    </w:p>
    <w:p w14:paraId="09AACD84">
      <w:pPr>
        <w:keepNext w:val="0"/>
        <w:keepLines w:val="0"/>
        <w:pageBreakBefore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auto"/>
          <w:kern w:val="2"/>
          <w:sz w:val="32"/>
          <w:szCs w:val="32"/>
          <w:lang w:val="en-US" w:eastAsia="zh-CN" w:bidi="ar-SA"/>
        </w:rPr>
      </w:pPr>
    </w:p>
    <w:p w14:paraId="59E069F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bCs/>
          <w:kern w:val="0"/>
          <w:sz w:val="32"/>
          <w:szCs w:val="32"/>
          <w:lang w:eastAsia="zh-CN"/>
        </w:rPr>
      </w:pPr>
    </w:p>
    <w:p w14:paraId="2A837F1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bCs/>
          <w:kern w:val="0"/>
          <w:sz w:val="32"/>
          <w:szCs w:val="32"/>
          <w:lang w:eastAsia="zh-CN"/>
        </w:rPr>
      </w:pPr>
    </w:p>
    <w:p w14:paraId="7762B1B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bCs/>
          <w:kern w:val="0"/>
          <w:sz w:val="32"/>
          <w:szCs w:val="32"/>
          <w:lang w:eastAsia="zh-CN"/>
        </w:rPr>
      </w:pPr>
    </w:p>
    <w:p w14:paraId="4A1083F9">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Times New Roman" w:hAnsi="Times New Roman" w:eastAsia="仿宋_GB2312" w:cs="仿宋_GB2312"/>
          <w:bCs/>
          <w:kern w:val="0"/>
          <w:sz w:val="32"/>
          <w:szCs w:val="32"/>
          <w:lang w:eastAsia="zh-CN"/>
        </w:rPr>
      </w:pPr>
    </w:p>
    <w:p w14:paraId="73E0695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bCs/>
          <w:kern w:val="0"/>
          <w:sz w:val="32"/>
          <w:szCs w:val="32"/>
          <w:lang w:eastAsia="zh-CN"/>
        </w:rPr>
      </w:pPr>
    </w:p>
    <w:p w14:paraId="477843E4">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Times New Roman" w:hAnsi="Times New Roman" w:eastAsia="仿宋_GB2312" w:cs="仿宋_GB2312"/>
          <w:bCs/>
          <w:kern w:val="0"/>
          <w:sz w:val="32"/>
          <w:szCs w:val="32"/>
          <w:lang w:eastAsia="zh-CN"/>
        </w:rPr>
      </w:pPr>
    </w:p>
    <w:p w14:paraId="499FE11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bCs/>
          <w:kern w:val="0"/>
          <w:sz w:val="32"/>
          <w:szCs w:val="32"/>
          <w:lang w:eastAsia="zh-CN"/>
        </w:rPr>
      </w:pPr>
    </w:p>
    <w:p w14:paraId="0BFA7474">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Times New Roman" w:hAnsi="Times New Roman" w:eastAsia="仿宋_GB2312" w:cs="仿宋_GB2312"/>
          <w:bCs/>
          <w:kern w:val="0"/>
          <w:sz w:val="32"/>
          <w:szCs w:val="32"/>
          <w:lang w:eastAsia="zh-CN"/>
        </w:rPr>
        <w:sectPr>
          <w:pgSz w:w="11906" w:h="16838"/>
          <w:pgMar w:top="720" w:right="720" w:bottom="720" w:left="720" w:header="851" w:footer="992" w:gutter="0"/>
          <w:cols w:space="425" w:num="1"/>
          <w:docGrid w:type="lines" w:linePitch="312" w:charSpace="0"/>
        </w:sectPr>
      </w:pPr>
    </w:p>
    <w:p w14:paraId="4D659B36">
      <w:pPr>
        <w:pStyle w:val="13"/>
        <w:keepNext w:val="0"/>
        <w:keepLines w:val="0"/>
        <w:pageBreakBefore w:val="0"/>
        <w:kinsoku/>
        <w:wordWrap/>
        <w:overflowPunct/>
        <w:topLinePunct w:val="0"/>
        <w:bidi w:val="0"/>
        <w:snapToGrid/>
        <w:spacing w:line="600" w:lineRule="exact"/>
        <w:textAlignment w:val="auto"/>
        <w:rPr>
          <w:sz w:val="72"/>
          <w:szCs w:val="72"/>
        </w:rPr>
      </w:pPr>
    </w:p>
    <w:p w14:paraId="77344653">
      <w:pPr>
        <w:pStyle w:val="13"/>
        <w:keepNext w:val="0"/>
        <w:keepLines w:val="0"/>
        <w:pageBreakBefore w:val="0"/>
        <w:kinsoku/>
        <w:wordWrap/>
        <w:overflowPunct/>
        <w:topLinePunct w:val="0"/>
        <w:bidi w:val="0"/>
        <w:snapToGrid/>
        <w:spacing w:line="600" w:lineRule="exact"/>
        <w:textAlignment w:val="auto"/>
        <w:rPr>
          <w:sz w:val="72"/>
          <w:szCs w:val="72"/>
        </w:rPr>
      </w:pPr>
    </w:p>
    <w:p w14:paraId="73360668">
      <w:pPr>
        <w:pStyle w:val="13"/>
        <w:keepNext w:val="0"/>
        <w:keepLines w:val="0"/>
        <w:pageBreakBefore w:val="0"/>
        <w:kinsoku/>
        <w:wordWrap/>
        <w:overflowPunct/>
        <w:topLinePunct w:val="0"/>
        <w:bidi w:val="0"/>
        <w:snapToGrid/>
        <w:spacing w:line="600" w:lineRule="exact"/>
        <w:textAlignment w:val="auto"/>
        <w:rPr>
          <w:sz w:val="72"/>
          <w:szCs w:val="72"/>
        </w:rPr>
      </w:pPr>
    </w:p>
    <w:p w14:paraId="082A78F3">
      <w:pPr>
        <w:pStyle w:val="13"/>
        <w:keepNext w:val="0"/>
        <w:keepLines w:val="0"/>
        <w:pageBreakBefore w:val="0"/>
        <w:kinsoku/>
        <w:wordWrap/>
        <w:overflowPunct/>
        <w:topLinePunct w:val="0"/>
        <w:bidi w:val="0"/>
        <w:snapToGrid/>
        <w:spacing w:line="600" w:lineRule="exact"/>
        <w:textAlignment w:val="auto"/>
        <w:rPr>
          <w:sz w:val="72"/>
          <w:szCs w:val="72"/>
        </w:rPr>
      </w:pPr>
    </w:p>
    <w:p w14:paraId="53B8CDA8">
      <w:pPr>
        <w:pStyle w:val="13"/>
        <w:keepNext w:val="0"/>
        <w:keepLines w:val="0"/>
        <w:pageBreakBefore w:val="0"/>
        <w:kinsoku/>
        <w:wordWrap/>
        <w:overflowPunct/>
        <w:topLinePunct w:val="0"/>
        <w:bidi w:val="0"/>
        <w:snapToGrid/>
        <w:spacing w:line="600" w:lineRule="exact"/>
        <w:jc w:val="center"/>
        <w:textAlignment w:val="auto"/>
        <w:rPr>
          <w:sz w:val="72"/>
          <w:szCs w:val="72"/>
        </w:rPr>
      </w:pPr>
    </w:p>
    <w:p w14:paraId="4A2A6EBD">
      <w:pPr>
        <w:pStyle w:val="13"/>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sz w:val="72"/>
          <w:szCs w:val="72"/>
        </w:rPr>
      </w:pPr>
    </w:p>
    <w:p w14:paraId="321281C9">
      <w:pPr>
        <w:pStyle w:val="13"/>
        <w:jc w:val="center"/>
        <w:rPr>
          <w:rFonts w:hint="eastAsia" w:ascii="黑体" w:hAnsi="黑体" w:eastAsia="黑体" w:cs="黑体"/>
          <w:kern w:val="0"/>
          <w:sz w:val="84"/>
          <w:szCs w:val="84"/>
        </w:rPr>
      </w:pPr>
      <w:r>
        <w:rPr>
          <w:rFonts w:hint="eastAsia" w:ascii="黑体" w:hAnsi="黑体" w:eastAsia="黑体" w:cs="黑体"/>
          <w:kern w:val="0"/>
          <w:sz w:val="84"/>
          <w:szCs w:val="84"/>
        </w:rPr>
        <w:t>第三部分</w:t>
      </w:r>
    </w:p>
    <w:p w14:paraId="13507E19">
      <w:pPr>
        <w:pStyle w:val="13"/>
        <w:jc w:val="center"/>
        <w:rPr>
          <w:rFonts w:hint="eastAsia" w:ascii="黑体" w:hAnsi="黑体" w:eastAsia="黑体" w:cs="黑体"/>
          <w:kern w:val="0"/>
          <w:sz w:val="84"/>
          <w:szCs w:val="84"/>
        </w:rPr>
      </w:pPr>
      <w:r>
        <w:rPr>
          <w:rFonts w:hint="eastAsia" w:ascii="黑体" w:hAnsi="黑体" w:eastAsia="黑体" w:cs="黑体"/>
          <w:kern w:val="0"/>
          <w:sz w:val="84"/>
          <w:szCs w:val="84"/>
        </w:rPr>
        <w:t>202</w:t>
      </w:r>
      <w:r>
        <w:rPr>
          <w:rFonts w:hint="eastAsia" w:ascii="黑体" w:hAnsi="黑体" w:eastAsia="黑体" w:cs="黑体"/>
          <w:kern w:val="0"/>
          <w:sz w:val="84"/>
          <w:szCs w:val="84"/>
          <w:lang w:val="en-US" w:eastAsia="zh-CN"/>
        </w:rPr>
        <w:t>2</w:t>
      </w:r>
      <w:r>
        <w:rPr>
          <w:rFonts w:hint="eastAsia" w:ascii="黑体" w:hAnsi="黑体" w:eastAsia="黑体" w:cs="黑体"/>
          <w:kern w:val="0"/>
          <w:sz w:val="84"/>
          <w:szCs w:val="84"/>
        </w:rPr>
        <w:t>年度部门决算情况说明</w:t>
      </w:r>
    </w:p>
    <w:p w14:paraId="197A496C">
      <w:pPr>
        <w:pStyle w:val="13"/>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sz w:val="70"/>
          <w:szCs w:val="70"/>
        </w:rPr>
      </w:pPr>
    </w:p>
    <w:p w14:paraId="4C080C6D">
      <w:pPr>
        <w:pStyle w:val="13"/>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sz w:val="70"/>
          <w:szCs w:val="70"/>
        </w:rPr>
      </w:pPr>
    </w:p>
    <w:p w14:paraId="0E36C2F7">
      <w:pPr>
        <w:pStyle w:val="13"/>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sz w:val="70"/>
          <w:szCs w:val="70"/>
        </w:rPr>
      </w:pPr>
    </w:p>
    <w:p w14:paraId="543C028C">
      <w:pPr>
        <w:keepNext w:val="0"/>
        <w:keepLines w:val="0"/>
        <w:pageBreakBefore w:val="0"/>
        <w:widowControl/>
        <w:kinsoku/>
        <w:wordWrap/>
        <w:overflowPunct/>
        <w:topLinePunct w:val="0"/>
        <w:bidi w:val="0"/>
        <w:snapToGrid/>
        <w:spacing w:line="600" w:lineRule="exact"/>
        <w:jc w:val="left"/>
        <w:textAlignment w:val="auto"/>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035050E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一、收入支出决算总体情况说明</w:t>
      </w:r>
    </w:p>
    <w:p w14:paraId="3736D5B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2022年度收、支总计均为1604.49万元，与上年相比，支出减少454.93万元，减少22.09%，主要是因为廉租房支出和公共租赁租房支出减少。</w:t>
      </w:r>
    </w:p>
    <w:p w14:paraId="54BD5D7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rPr>
        <w:t>二、收入决算情况说明</w:t>
      </w:r>
      <w:r>
        <w:rPr>
          <w:rFonts w:hint="eastAsia" w:ascii="仿宋" w:hAnsi="仿宋" w:eastAsia="仿宋" w:cs="仿宋"/>
          <w:b/>
          <w:bCs/>
          <w:sz w:val="32"/>
          <w:szCs w:val="32"/>
          <w:lang w:val="en-US" w:eastAsia="zh-CN"/>
        </w:rPr>
        <w:tab/>
      </w:r>
    </w:p>
    <w:p w14:paraId="4F1067A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FF0000"/>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2022年度收入合计1576.28万元，其中：财政拨款收入1550.39万元，占98.36%；其他收入25.89万元，占1.64%。</w:t>
      </w:r>
    </w:p>
    <w:p w14:paraId="61A4270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三、支出决算情况说明</w:t>
      </w:r>
    </w:p>
    <w:p w14:paraId="3B6F945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2022年度支出合计1604.49元，其中：基本支出874.18万元，占54.48%；项目支出730.31万元，占45.52%。</w:t>
      </w:r>
    </w:p>
    <w:p w14:paraId="16A7BFD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四、财政拨款收入支出决算总体情况说明</w:t>
      </w:r>
    </w:p>
    <w:p w14:paraId="73BB81B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2022年度财政拨款收、支总计均为1550.39万元，与上年2059.42万元相比，减少509.03万元，减少24.72%，主要是因为减少了廉租房支出和公共租赁租房支出。</w:t>
      </w:r>
    </w:p>
    <w:p w14:paraId="619815B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五、一般公共预算财政拨款支出决算情况说明</w:t>
      </w:r>
    </w:p>
    <w:p w14:paraId="2A533B7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（一）财政拨款支出决算总体情况</w:t>
      </w:r>
    </w:p>
    <w:p w14:paraId="258FA6A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2022年度财政拨款支出1550.39万元，占本年支出合计的96.63%，与上年相比，财政拨款支出减少509.03万元，减少24.72%，主要是因为减少了廉租房支出和公共租赁租房支出。</w:t>
      </w:r>
    </w:p>
    <w:p w14:paraId="010CEF6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（二）财政拨款支出决算结构情况</w:t>
      </w:r>
    </w:p>
    <w:p w14:paraId="097040C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2022年度财政拨款支出1550.39万元，主要用于以下方面：社会保障和就业支出87.32万元，占5.63%；卫生健康支出34.45万元，占2.22%；城乡社区支出1087.74万元,占70.16%；住房保障支出340.88万元，占21.99%。</w:t>
      </w:r>
    </w:p>
    <w:p w14:paraId="2B0B345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（三）财政拨款支出决算具体情况</w:t>
      </w:r>
    </w:p>
    <w:p w14:paraId="756FFBD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2022年度财政拨款支出年初预算数为1003.29万元，支出决算数为1550.39万元，完成年初预算的154.53%，主要原因是财政追加预算，开展专项项目工作。其中：</w:t>
      </w:r>
    </w:p>
    <w:p w14:paraId="7441F28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1、社会保障和就业支出（类）行政事业单位养老支出（款）事业单位离退休（项）。</w:t>
      </w:r>
    </w:p>
    <w:p w14:paraId="3F6925A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年初预算为11.66万元，支出决算为1.91万元，完成年初预算的16.38%，决算数小于年初预算数的主要原因是：年初预算时未将功能科目进行细分，而年终决算时将支出科目进行了细分。</w:t>
      </w:r>
    </w:p>
    <w:p w14:paraId="6DCB54D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2、社会保障和就业支出（类）行政事业单位养老支出（款）机关事业单位基本养老保险缴费支出（项）。</w:t>
      </w:r>
    </w:p>
    <w:p w14:paraId="3DAAED1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年初预算为68.90万元，支出决算为68.91万元，完成年初预算的100%，决算数略大于年初预算数的主要原因是：金额单位转换时存在的尾数误差。</w:t>
      </w:r>
    </w:p>
    <w:p w14:paraId="2C1C8FD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3、社会保障和就业支出（类）行政事业单位养老支出（款）其他行政事业单位养老支出（项）。</w:t>
      </w:r>
    </w:p>
    <w:p w14:paraId="7B9C8AE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年初预算为0万元，支出决算为16.50万元，</w:t>
      </w:r>
      <w:r>
        <w:rPr>
          <w:rFonts w:hint="eastAsia" w:ascii="仿宋" w:hAnsi="仿宋" w:eastAsia="仿宋" w:cs="仿宋"/>
          <w:color w:val="auto"/>
          <w:sz w:val="32"/>
          <w:szCs w:val="32"/>
          <w:lang w:val="en-US" w:eastAsia="zh-CN"/>
        </w:rPr>
        <w:t>无法计算完成比例，</w:t>
      </w:r>
      <w:r>
        <w:rPr>
          <w:rFonts w:hint="eastAsia" w:ascii="仿宋" w:hAnsi="仿宋" w:eastAsia="仿宋" w:cs="仿宋"/>
          <w:kern w:val="2"/>
          <w:sz w:val="32"/>
          <w:szCs w:val="32"/>
          <w:lang w:val="en-US" w:eastAsia="zh-CN" w:bidi="ar-SA"/>
        </w:rPr>
        <w:t>决算数大于年初预算数的主要原因是：年初预算时未将功能科目进行细分，而年终决算时将支出科目进行了细分。</w:t>
      </w:r>
    </w:p>
    <w:p w14:paraId="7A27928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4、卫生健康支出（类）行政事业单位医疗（款）行政单位医疗（项）。</w:t>
      </w:r>
    </w:p>
    <w:p w14:paraId="3732A05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年初预算为36.60万元，支出决算为34.45万元，完成年初预算的94.13%，决算数小于年初预算数的主要原因是：人员退休后支出减少。</w:t>
      </w:r>
    </w:p>
    <w:p w14:paraId="2CCA69D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5、城乡社区支出（类）城乡社区管理事务（款）行政运行（项）。</w:t>
      </w:r>
    </w:p>
    <w:p w14:paraId="53F0F6C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年初预算为0万元，支出决算为663.94万元，</w:t>
      </w:r>
      <w:r>
        <w:rPr>
          <w:rFonts w:hint="eastAsia" w:ascii="仿宋" w:hAnsi="仿宋" w:eastAsia="仿宋" w:cs="仿宋"/>
          <w:color w:val="auto"/>
          <w:sz w:val="32"/>
          <w:szCs w:val="32"/>
          <w:lang w:val="en-US" w:eastAsia="zh-CN"/>
        </w:rPr>
        <w:t>无法计算完成比例，</w:t>
      </w:r>
      <w:r>
        <w:rPr>
          <w:rFonts w:hint="eastAsia" w:ascii="仿宋" w:hAnsi="仿宋" w:eastAsia="仿宋" w:cs="仿宋"/>
          <w:kern w:val="2"/>
          <w:sz w:val="32"/>
          <w:szCs w:val="32"/>
          <w:lang w:val="en-US" w:eastAsia="zh-CN" w:bidi="ar-SA"/>
        </w:rPr>
        <w:t>决算数大于年初预算数的主要原因是：开展专项工作的需要，财政增加了预算列入了此科目核算。</w:t>
      </w:r>
    </w:p>
    <w:p w14:paraId="0CB2BFA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6、城乡社区支出（类）城乡社区管理事务（款）一般行政管理事务（项）。</w:t>
      </w:r>
    </w:p>
    <w:p w14:paraId="3C3C1B7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年初预算为606.62万元，支出决算为0万元，决算数小于年初预算数的主要原因是此类管理事务减少。</w:t>
      </w:r>
    </w:p>
    <w:p w14:paraId="695381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7、城乡社区支出（类）城乡社区管理事务（款）其他城乡社区管理事务支出（项）。</w:t>
      </w:r>
    </w:p>
    <w:p w14:paraId="79D6A6A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年初预算为50万元，支出决算为287.69万元,决算数大于年初预算数的575.38%，主要原因是：开展专项工作的需要，财政增加了预算列入了此科目核算。</w:t>
      </w:r>
    </w:p>
    <w:p w14:paraId="717E9EF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8、城乡社区支出（类）城乡社区环境卫生（款）城乡社区环境卫生（项）。</w:t>
      </w:r>
    </w:p>
    <w:p w14:paraId="1A5430A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年初预算为163.20万元，支出决算为120.44万元，完成年初预算的73.80%，决算数小于年初预算数的主要原因是：年终决算时，还有部分施工费未办理结算。</w:t>
      </w:r>
    </w:p>
    <w:p w14:paraId="2BD1928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9、城乡社区支出（类）其他城乡社区支出（款）其他城乡社区支出（项）。</w:t>
      </w:r>
    </w:p>
    <w:p w14:paraId="321C41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年初预算为66.30万元，支出决算为15.68万元，完成年初预算的23.65%，决算数小于年初预算数的主要原因是：年终决算时，部分工程还未竣工，施工费未办理结算。</w:t>
      </w:r>
    </w:p>
    <w:p w14:paraId="5B60B90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10、住房保障支出（类）保障性安居工程支出（款）公共租赁住房（项）。</w:t>
      </w:r>
    </w:p>
    <w:p w14:paraId="1E25421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年初预算为0万元，支出决算为338.30万元，</w:t>
      </w:r>
      <w:r>
        <w:rPr>
          <w:rFonts w:hint="eastAsia" w:ascii="仿宋" w:hAnsi="仿宋" w:eastAsia="仿宋" w:cs="仿宋"/>
          <w:color w:val="auto"/>
          <w:sz w:val="32"/>
          <w:szCs w:val="32"/>
          <w:lang w:val="en-US" w:eastAsia="zh-CN"/>
        </w:rPr>
        <w:t>无法计算完成比例，</w:t>
      </w:r>
      <w:r>
        <w:rPr>
          <w:rFonts w:hint="eastAsia" w:ascii="仿宋" w:hAnsi="仿宋" w:eastAsia="仿宋" w:cs="仿宋"/>
          <w:kern w:val="2"/>
          <w:sz w:val="32"/>
          <w:szCs w:val="32"/>
          <w:lang w:val="en-US" w:eastAsia="zh-CN" w:bidi="ar-SA"/>
        </w:rPr>
        <w:t>决算数大于年初预算数的主要原因是：此项目属预算调整追加项目。</w:t>
      </w:r>
    </w:p>
    <w:p w14:paraId="5DEFBA9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11、住房保障支出（类）保障性安居工程支出（款）保障性住房租金补贴（项）。</w:t>
      </w:r>
    </w:p>
    <w:p w14:paraId="71516A5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年初预算为0万元，支出决算为2.58万元，</w:t>
      </w:r>
      <w:r>
        <w:rPr>
          <w:rFonts w:hint="eastAsia" w:ascii="仿宋" w:hAnsi="仿宋" w:eastAsia="仿宋" w:cs="仿宋"/>
          <w:color w:val="auto"/>
          <w:sz w:val="32"/>
          <w:szCs w:val="32"/>
          <w:lang w:val="en-US" w:eastAsia="zh-CN"/>
        </w:rPr>
        <w:t>无法计算完成比例，</w:t>
      </w:r>
      <w:r>
        <w:rPr>
          <w:rFonts w:hint="eastAsia" w:ascii="仿宋" w:hAnsi="仿宋" w:eastAsia="仿宋" w:cs="仿宋"/>
          <w:kern w:val="2"/>
          <w:sz w:val="32"/>
          <w:szCs w:val="32"/>
          <w:lang w:val="en-US" w:eastAsia="zh-CN" w:bidi="ar-SA"/>
        </w:rPr>
        <w:t>决算数大于年初预算数的主要原因是：该项目属中央资金转移支付的预算追加项目。</w:t>
      </w:r>
    </w:p>
    <w:p w14:paraId="621C2F8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六、一般公共预算财政拨款基本支出决算情况说明</w:t>
      </w:r>
    </w:p>
    <w:p w14:paraId="1BE3F40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2022年度财政拨款基本支出845.97万元，其中：</w:t>
      </w:r>
    </w:p>
    <w:p w14:paraId="1FD388B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人员经费</w:t>
      </w:r>
      <w:r>
        <w:rPr>
          <w:rFonts w:hint="eastAsia" w:ascii="仿宋" w:hAnsi="仿宋" w:eastAsia="仿宋" w:cs="仿宋"/>
          <w:kern w:val="2"/>
          <w:sz w:val="32"/>
          <w:szCs w:val="32"/>
          <w:lang w:val="en-US" w:eastAsia="zh-CN" w:bidi="ar-SA"/>
        </w:rPr>
        <w:t>762.22万元，占基本支出的90.10%，主要包括基本工资、津贴补贴、奖金、伙食补助费、养老保险、职业年金、医疗保险、其他社会保障缴费、住房公积金、其他工资福利、退休费、抚恤金、生活补助、其他对个人和家庭的补助。</w:t>
      </w:r>
    </w:p>
    <w:p w14:paraId="16BE70F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公用经费</w:t>
      </w:r>
      <w:r>
        <w:rPr>
          <w:rFonts w:hint="eastAsia" w:ascii="仿宋" w:hAnsi="仿宋" w:eastAsia="仿宋" w:cs="仿宋"/>
          <w:kern w:val="2"/>
          <w:sz w:val="32"/>
          <w:szCs w:val="32"/>
          <w:lang w:val="en-US" w:eastAsia="zh-CN" w:bidi="ar-SA"/>
        </w:rPr>
        <w:t>83.75万元，占基本支出的9.90%，主要包括办公费、水费、电费、邮电费、物业管理费、差旅费、维修（护）费、租赁费、劳务费、委托业务费、工会经费、公务用车运行维护费、其他交通费、税金及附加费用、其他商品服务支出。</w:t>
      </w:r>
    </w:p>
    <w:p w14:paraId="58A7136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七、财政拨款三公经费支出决算情况说明</w:t>
      </w:r>
    </w:p>
    <w:p w14:paraId="64A37B6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（一）“三公”经费财政拨款支出决算总体情况说明</w:t>
      </w:r>
    </w:p>
    <w:p w14:paraId="129EF60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三公”经费财政拨款支出预算为5.36万元，支出决算为3.04万元，完成预算的56.72%，决算数小于预算数的主要原因是落实过“紧日子”要求，严格执行开支标准，厉行节约；与上年相比减少3.38万元，下降52.65%，减少的主要原因是落实过“紧日子”要求，严格执行开支标准，厉行节约。其中：</w:t>
      </w:r>
    </w:p>
    <w:p w14:paraId="00A4148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因公出国（境）费支出预算为0万元，支出决算为0万元，预算决算金额均为0万元，无法计算完成百分比，主要原因是单位未因公出国（境），与上年相比持平均为0万元，无法计算完成百分比，主要原因是单位未因公出国（境）。</w:t>
      </w:r>
    </w:p>
    <w:p w14:paraId="4969C27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公务接待费支出预算为1万元，支出决算为0万元，决算数小于预算数的主要原因是严控公务接待范围，与上年相比减少0.47万元，减少100%，减少的主要原因是未发生公务接待。</w:t>
      </w:r>
    </w:p>
    <w:p w14:paraId="7E93F7E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公务用车购置费支出预算为0万元，支出决算为0万元，预算决算金额均为0万元，无法计算完成百分比，主要原因是未购置公务用车。与上年相比持平均为0万元，无法计算完成百分比，主要原因是未购置公务用车。</w:t>
      </w:r>
    </w:p>
    <w:p w14:paraId="63CECDA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公务用车运行维护费支出预算为4.36万元，支出决算为3.04万元，完成预算的69.72%，决算数小于预算数的主要原因是严控公务车辆管理，与上年相比减少2.92万元，减少48.99%,减少的主要原因是严控公务用车管理，公务出行运行成本降低。</w:t>
      </w:r>
    </w:p>
    <w:p w14:paraId="36FC606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（二）“三公”经费财政拨款支出决算具体情况说明</w:t>
      </w:r>
    </w:p>
    <w:p w14:paraId="1380735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2022年度“三公”经费财政拨款支出决算中，公务接待费支出决算0万元,因公出国（境）费支出决算0万元，公务用车购置费及运行维护费支出决算3.04万元，占100%。其中：</w:t>
      </w:r>
    </w:p>
    <w:p w14:paraId="7C06E70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1、因公出国（境）费支出决算为0万元，全年安排因公出国（境）团组0个，累计团组0人次，主要是2022年我单位没有因公出国（境）费支出。</w:t>
      </w:r>
    </w:p>
    <w:p w14:paraId="10844FE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2、公务接待费支出决算为0万元，全年共接待来访团组0个、来宾0人次。</w:t>
      </w:r>
    </w:p>
    <w:p w14:paraId="335F20E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3、公务用车购置费及运行维护费支出决算为3.04万元，其中：公务用车购置费0万元，</w:t>
      </w:r>
      <w:r>
        <w:rPr>
          <w:rFonts w:hint="eastAsia" w:ascii="仿宋" w:hAnsi="仿宋" w:eastAsia="仿宋" w:cs="仿宋"/>
          <w:b w:val="0"/>
          <w:bCs/>
          <w:color w:val="auto"/>
          <w:sz w:val="32"/>
          <w:szCs w:val="32"/>
          <w:highlight w:val="none"/>
          <w:lang w:val="en-US" w:eastAsia="zh-CN"/>
        </w:rPr>
        <w:t>更新公务用车0辆</w:t>
      </w:r>
      <w:bookmarkStart w:id="0" w:name="_GoBack"/>
      <w:bookmarkEnd w:id="0"/>
      <w:r>
        <w:rPr>
          <w:rFonts w:hint="eastAsia" w:ascii="仿宋" w:hAnsi="仿宋" w:eastAsia="仿宋" w:cs="仿宋"/>
          <w:kern w:val="2"/>
          <w:sz w:val="32"/>
          <w:szCs w:val="32"/>
          <w:lang w:val="en-US" w:eastAsia="zh-CN" w:bidi="ar-SA"/>
        </w:rPr>
        <w:t>。公务用车运行维护费3.04万元，主要是机要通信车辆及白蚁施工特种车辆的燃油和维修支出，截止2022年12月31日，我单位开支财政拨款的公务用车保有量为2辆，其中一辆为特种专业技术车辆。</w:t>
      </w:r>
    </w:p>
    <w:p w14:paraId="29FE854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八、政府性基金预算收入支出决算情况</w:t>
      </w:r>
    </w:p>
    <w:p w14:paraId="680E07C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2022年度本单位无政府性基金收支。</w:t>
      </w:r>
    </w:p>
    <w:p w14:paraId="50E5810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九、国有资本经营预算财政拨款支出决算情况说明</w:t>
      </w:r>
    </w:p>
    <w:p w14:paraId="1A612B3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2022年度本单位无国有资本经营预算财政拨款支出。</w:t>
      </w:r>
    </w:p>
    <w:p w14:paraId="6A6362F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十、关于机关运行经费支出说明</w:t>
      </w:r>
    </w:p>
    <w:p w14:paraId="29204D4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本单位2022年度机关运行经费支出83.75万元，比上年决算数减少239.77万元，降低74.11%，主要原因是机构改革，严格执行相关规定要求，严控单位运行经费支出。</w:t>
      </w:r>
    </w:p>
    <w:p w14:paraId="3F3A9DD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十一、一般性支出情况说明</w:t>
      </w:r>
    </w:p>
    <w:p w14:paraId="10381AC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2022年本部门开支会议费0.22万元，用于召开物业维修专项资金管理工作会议等，参会人数50人；</w:t>
      </w:r>
    </w:p>
    <w:p w14:paraId="6AF5E7B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2022年本部门开支培训费1.17万元，用于开展事业单位工作人员网络培训，人数57人；</w:t>
      </w:r>
    </w:p>
    <w:p w14:paraId="1A7CD50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2022年本部门未举办节庆、晚会、论坛、赛事活动。</w:t>
      </w:r>
    </w:p>
    <w:p w14:paraId="476FD96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十二、关于政府采购支出说明</w:t>
      </w:r>
    </w:p>
    <w:p w14:paraId="01530F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本部门2022年度政府采购支出总额373.87万元，其中：政府采购货物支出92.77万元、政府采购工程支出206.10万元、政府采购服务支出75万元。授予中小企业合同金额373.87万元，占政府采购支出总额的100%，其中：授予小微企业合同金额75万元，占政府采购支出总额的20.06%。货物采购授予中小企业合同金额占货物支出金额的100%，工程采购授予中小企业合同金额占工程支出金额的100%，服务采购授予中小企业合同金额占服务支出金额的100%。</w:t>
      </w:r>
    </w:p>
    <w:p w14:paraId="7C74D96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十三、关于国有资产占用情况说明</w:t>
      </w:r>
    </w:p>
    <w:p w14:paraId="148BA62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截至2022年12月31日，本单位共有车辆2辆，其中，主要领导干部用车0辆，机要通信用车1辆、应急保障用车0辆、执法执勤用车0辆、特种专业技术用车1辆、其他用车0辆；单位价值50万元以上通用设备1台（套）为税务一体化平台；单位价值100万元以上专用设备2台（套），为GIS数字化平台和城镇个人住房信息系统平台，该两项资产因职能移交，资产未办理转户手续。</w:t>
      </w:r>
    </w:p>
    <w:p w14:paraId="14E26FB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十四、关于2022年度预算绩效情况的说明</w:t>
      </w:r>
    </w:p>
    <w:p w14:paraId="41A1488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（一）单位组织实施情况</w:t>
      </w:r>
    </w:p>
    <w:p w14:paraId="2EEE61E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我中心以计划财务部组织实施局机关财务各项工作，建立健全财务基础管理制度和约束机制，每年根据全单位实际情况，制订财务工作方案，依照市财政局以收定支编制年度预算，同时加强财务收支管理，提高财政资金使用效率。</w:t>
      </w:r>
    </w:p>
    <w:p w14:paraId="58CB1FC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2、对中央、省级保障性安居工程专项资金使用，严格执行专款专用，并根据市财政局的要求，按用途拨付资金，达到资金使用目的。</w:t>
      </w:r>
    </w:p>
    <w:p w14:paraId="628056B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严格按照省、市有关文件要求，认真对照2022年部门整体支出绩效评价指标，对前期工作进行了全方位自查和自评打分，再上报市财政局。通过绩效自评得分94分，进一步规范了财政资金预算执行管理，强化了部门责任意识，提高了财政资金使用效益。</w:t>
      </w:r>
    </w:p>
    <w:p w14:paraId="6D1BAA2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（二）单位履职情况、履职效益及行政效能</w:t>
      </w:r>
    </w:p>
    <w:p w14:paraId="3F325C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物业专项维修资金管理方面。2022年，物业专项维修资金缴存1.1亿元，审批使用755万元；历年累计缴存18.1亿元,累计审批使用6675万元。强化内部管理，规范岗位职责，进一步完善办理流程，重新整理规范了《物业专项维修资金内部财务管理制度》、《会计岗位职责》、《出纳岗位职责》、《物业专项维修资金业务办理细则》，积极探索“维修资金增值收益+购买电梯保险服务”创新思路，不断提升便民惠民服务水平和质量，促进社区基层治理体系和治理能力现代化发展。</w:t>
      </w:r>
    </w:p>
    <w:p w14:paraId="266290C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公租房管理方面。一是三个公租房小区及配套商铺租金应收租金885.06万元，依政策减免后实际收取租金782.21万元；直管公房及商铺租金87.53万元。二是公租房分配131套，租赁补贴发放846户，共发放金额123.58万元。三是年审工作进展顺利，已完成年审5190户（不含拆迁过渡安置户），完成入户调查3036户，按规定对不再符合住房保障条件的或查实存在违规行为的89户承租户进行查处，会同城管、社区、公安民警、司法、物业企业一起依法将其清退。四是稳步推进平安小区建设工作，加大安全知识宣传力度，在三个公租房小区内制作安装宣传横幅，利用“安全生产月”、“百日安全竞赛”、“创文迎检”等活动在小区的公共宣传栏张贴了关于防火、防盗、高空抛物、疫情防控和生活物资保供以及如何正确使用水、电、气等生活常识；加强了消防器材的正确认识和使用，组织消防培训3场，消防演练4起，在汛期排查解决安全隐患3处；五是按照市文明办的要求，集中整治小区内悬挂条幅18幅、无障碍坡道改造23处，小区路灯、庭院灯、围墙灯、单元楼梯间灯等修缮共650余/盏/次，监控维修、保养、调整80余次，购买分类垃圾桶40组，按规定配齐了消防器材，共配备干粉灭火器1536个及专用灭火器放置柜799个。</w:t>
      </w:r>
    </w:p>
    <w:p w14:paraId="0405F9E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白蚁防治工作方面。一是白蚁防治工作持续开展。完成白蚁防治业务受理面积97.6万㎡，回访复查面积540万㎡，预防面积202万㎡，树木灭治1927棵，房屋灭治面积1604㎡，白蚁防治回访率98%。二是加强制度管理，提高服务效率。为全面推进白蚁防治服务行业健康发展，按标准化建设要求，做到以规范促发展，以质量谋生存。不断优化窗口服务，简化办事流程，认真贯彻落实“一件事一次办”要求，实现了便民利民的目的。三是强化施工安全管理。对施工、车辆、药库和质量管理制度进行了完善，并责任到人，做到了安全生产零事故、防治技术零失误、优质服务零投诉的目标。四是完善档案管理，提高档案质量，完善了各类基础台账记录，做到资料完整并及时归档入库，归档率100%。</w:t>
      </w:r>
    </w:p>
    <w:p w14:paraId="2874113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4、信访维稳和房地产历史遗留问题处理情况。一是网络舆情信访办理情况。2022年，我中心共办理市长热线、红网、问政湖南、智慧城管等网络舆情信访事项60余件，均按要求及时进行了处置回复，回复率和办结率均为100%，且未造成任何不良影响。二是房地产历史遗留问题处理情况。近年来，我中心负责的房地产历史遗留问题项目共19个，分别是：西南名都、湖天名居、金都景苑、左岸春天、壹号公馆、东方名邸、钰溪港湾、凯通领御、凯通领御酒店、中远新时代商业广场、京御名都、新天地城市广场、尚品国际、鹤州印象、中坡瑞丰园、阳光上东国际、鸿大第六区、怀仁公寓9#楼、润兰天星广场。我中心安排专人对19个项目进行了调查摸底，在摸清情况的基础上，进一步梳理归类、依法分析、分类处置，目前已完成不动产登记的项目13个，另外阳光上东国际、凯通领御酒店、西南名都、新天地城市广场、中坡瑞丰园、湖天名居（大夫第）等6个项目均已进入破产重整程序。2022年，我中心重点处置了阳光上东国际和中远新时代商业广场项目的供水供电问题，经我中心多次协调，阳光上东国际项目已于9月28日完成通水到户，目前正在抓紧协调处置消防验收、竣工综合验收以及后续办证问题；中远新时代商业广场开发企业于2022年7月25日就分户办理水、电、气问题与业主代表达成一致意见，并签订了《协议书》，目前正在对酒店进行招商引资工作。另外，调解了房地产遗留问题矛盾近20起，接待信访群众200余人次。</w:t>
      </w:r>
    </w:p>
    <w:p w14:paraId="48B3D7B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5、不断优化营商环境。一是加强统筹协调力度。4月8日召开主任办公会议，制定了《怀化市住房保障服务中心开展“走流程、解难题、优服务”行动方案》。方案要求走流程过程中，要对照法规政策和标准规范，找出服务工作中的“堵点”问题，准确记录；分析中心业务办理中存在的问题和不足，提出解决的办法和思路；每个行动小组至少提出一条以上的优化流程服务的建议意见；各行动小组的行动必须在2022年5月中旬以前完成，具体行动时间由各小组牵头领导把握确定。二是大力推行目标管理责任制度。加强对业务工作年度目标管理，既要经济指标，更要群众满意的管理理念，将年度工作目标任务逐级分解细化、量化，下达到各部门，半年进行一次初评，年终进行总结评比。考核结果与绩效挂钩，实行奖优罚劣，确保业务及管理工作的全面落实。三是完善管理制度。按照优化营商环境工作的要求，对各类规章制度进行修订、补充和完善，实现以制度管人管事，以制度促环境优化的目的。四是加大政务公开工作力度。设立了高标准的公开栏，将中心的主要职能、业务以及办事指南、办事依据、办事程序等广而告之，同时在每间办公室门口设置了工作人员去向告示牌。五是推行了首问责任制、限时办结制和责任追究制。第一责任人对问询人提出的问题和要求，有耐心解答、认真接待的义务，属于自己职责范围的事，能办理的当场办理，因要件不齐全不能办理的，要给予明确的答复，并一次性告知应准备的证件资料等。属于其他部门职责范围的事项，应负责引荐到相应的部门。六是在政务中心大厅、租赁所、白蚁防治所等窗口单位设立了业务咨询服务台，为来访及办事的群众提供导向、政策咨询、业务办理程序、表格填写等服务。全面规范完善办事程序，对工作职责进行明确和界定，尤其对维修资金使用确认、公租房分配等重点工作环节，提出明确的程序要求。七是对违反“首问责任制、限时办结制”的工作人员予以处罚，完善处罚标准，运用严厉的工作纪律，确保文明规范服务要求落到实处，促使干部职工自觉地改进服务态度，提高服务水平。</w:t>
      </w:r>
    </w:p>
    <w:p w14:paraId="508E0B4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6、努力做好乡村振兴工作。根据年度工作安排，我中心驻新晃县禾滩镇洛溪村乡村振兴工作队和村两委对全村农户进行了全覆盖走访，镇政府明确要求“一对一”结对帮扶，经常性政策宣讲，及时了解掌握脱贫户148户510人家庭收入情况。2022年8月份，通过走访核查出3户11人存在实际困难，为防止其出现返贫致贫的情况，已将这3户11人纳入监测户进行帮扶。着眼帮扶对象“两不愁、三保障（和安全饮水保障）”，把稳收增收当作头等大事，把政策落实当作核心保障，一户一策制定帮扶措施，坚决守住返贫致贫底线。今年工作队协同村两委合理利用土地资源，抑制土地抛荒反弹，与湘窖酒业公司签订合作协议，种植红樱子高梁650亩，带动脱贫户劳动力120余人，增加脱贫户务工费收入3万余元。同时，制定了大力发展养殖山地黄牛的计划，组织发动群众积极参与，改集中规模养殖为每家每户分散养殖，充分激发农户的养殖积极性。洛溪村涌现出以龙塘组杨天权、交世组姚沅成为代表的养牛大户，年平均出栏10头以上纯收入超10万元；年收入5万元以上的超过100户。推动环境整治，改善人居环境。以大寨组、世溪组为示范引领组，以点带面，让全村的环境卫生迈上新台阶。人居环境整治共修建机耕道2.5公里，修建停车场3个，硬化入户道路1485平方米，新建菜园竹札栅2000余米，设置垃圾桶36个，维护整治下水道50米，设置保洁公益岗14个，护林员9名。硬件设施改造把两组脏、乱、差的卫生环境面貌彻底改变，通过宣传引导，形成人人讲卫生、人人爱家园的良好氛围。</w:t>
      </w:r>
    </w:p>
    <w:p w14:paraId="42248C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7、全员参与疫情防控工作。按照市委市政府统一部署，2022年3月份和下半年两次新冠肺炎疫情期间，我中心作为市派第十九工作组下沉工作人员48人到城中街道天星坪社区，按要求成立了7个工作组，负责整个社区15个核酸检测点的现场秩序维护、12个网格卡点的值班值守、辖区居民物资保供、居家隔离人员包保等疫情防控工作，另作为市本级公租房管理单位，负责组织调度城东、城南、城北三个公租房小区的疫情防控工作。期间，我中心主要负责人作为天星坪社区联合党支部第一书记，充分发挥基层党组织政治引领作用和党员先锋模范作用，全面落实联防联控措施，严格落实市、区疫情防控指挥部工作要求，党员干部冲锋在前，下沉社区和公租房小区全体工作人员昼夜奋战，一直坚守抗疫一线，疫情防控工作开展井井有条，为辖区居民守住了安全健康的最后一道防线，真正实现了“联防联控无死角，群防群治全覆盖”，保障了辖区疫情防控工作的顺利开展。</w:t>
      </w:r>
    </w:p>
    <w:p w14:paraId="01A5079A">
      <w:pPr>
        <w:pStyle w:val="13"/>
        <w:keepNext w:val="0"/>
        <w:keepLines w:val="0"/>
        <w:pageBreakBefore w:val="0"/>
        <w:kinsoku/>
        <w:wordWrap/>
        <w:overflowPunct/>
        <w:topLinePunct w:val="0"/>
        <w:bidi w:val="0"/>
        <w:snapToGrid/>
        <w:spacing w:line="600" w:lineRule="exact"/>
        <w:jc w:val="center"/>
        <w:textAlignment w:val="auto"/>
        <w:rPr>
          <w:sz w:val="72"/>
          <w:szCs w:val="72"/>
        </w:rPr>
      </w:pPr>
    </w:p>
    <w:p w14:paraId="5B9383C8">
      <w:pPr>
        <w:pStyle w:val="13"/>
        <w:keepNext w:val="0"/>
        <w:keepLines w:val="0"/>
        <w:pageBreakBefore w:val="0"/>
        <w:kinsoku/>
        <w:wordWrap/>
        <w:overflowPunct/>
        <w:topLinePunct w:val="0"/>
        <w:bidi w:val="0"/>
        <w:snapToGrid/>
        <w:spacing w:line="600" w:lineRule="exact"/>
        <w:jc w:val="center"/>
        <w:textAlignment w:val="auto"/>
        <w:rPr>
          <w:sz w:val="72"/>
          <w:szCs w:val="72"/>
        </w:rPr>
      </w:pPr>
    </w:p>
    <w:p w14:paraId="34F0295A">
      <w:pPr>
        <w:pStyle w:val="13"/>
        <w:keepNext w:val="0"/>
        <w:keepLines w:val="0"/>
        <w:pageBreakBefore w:val="0"/>
        <w:kinsoku/>
        <w:wordWrap/>
        <w:overflowPunct/>
        <w:topLinePunct w:val="0"/>
        <w:bidi w:val="0"/>
        <w:snapToGrid/>
        <w:spacing w:line="600" w:lineRule="exact"/>
        <w:jc w:val="center"/>
        <w:textAlignment w:val="auto"/>
        <w:rPr>
          <w:sz w:val="72"/>
          <w:szCs w:val="72"/>
        </w:rPr>
      </w:pPr>
    </w:p>
    <w:p w14:paraId="28B6098D">
      <w:pPr>
        <w:pStyle w:val="13"/>
        <w:keepNext w:val="0"/>
        <w:keepLines w:val="0"/>
        <w:pageBreakBefore w:val="0"/>
        <w:kinsoku/>
        <w:wordWrap/>
        <w:overflowPunct/>
        <w:topLinePunct w:val="0"/>
        <w:bidi w:val="0"/>
        <w:snapToGrid/>
        <w:spacing w:line="600" w:lineRule="exact"/>
        <w:jc w:val="both"/>
        <w:textAlignment w:val="auto"/>
        <w:rPr>
          <w:rFonts w:hint="eastAsia" w:ascii="方正小标宋_GBK" w:hAnsi="方正小标宋_GBK" w:eastAsia="方正小标宋_GBK" w:cs="方正小标宋_GBK"/>
          <w:sz w:val="72"/>
          <w:szCs w:val="72"/>
        </w:rPr>
      </w:pPr>
    </w:p>
    <w:p w14:paraId="6242AED3">
      <w:pPr>
        <w:pStyle w:val="13"/>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sz w:val="72"/>
          <w:szCs w:val="72"/>
        </w:rPr>
      </w:pPr>
    </w:p>
    <w:p w14:paraId="7FEFAF50">
      <w:pPr>
        <w:pStyle w:val="13"/>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sz w:val="72"/>
          <w:szCs w:val="72"/>
        </w:rPr>
      </w:pPr>
    </w:p>
    <w:p w14:paraId="4EA36B5C">
      <w:pPr>
        <w:pStyle w:val="13"/>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sz w:val="72"/>
          <w:szCs w:val="72"/>
        </w:rPr>
      </w:pPr>
    </w:p>
    <w:p w14:paraId="67F423BF">
      <w:pPr>
        <w:pStyle w:val="13"/>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sz w:val="72"/>
          <w:szCs w:val="72"/>
        </w:rPr>
      </w:pPr>
    </w:p>
    <w:p w14:paraId="06B75CFA">
      <w:pPr>
        <w:pStyle w:val="13"/>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sz w:val="72"/>
          <w:szCs w:val="72"/>
        </w:rPr>
      </w:pPr>
    </w:p>
    <w:p w14:paraId="4894A19C">
      <w:pPr>
        <w:pStyle w:val="13"/>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sz w:val="72"/>
          <w:szCs w:val="72"/>
        </w:rPr>
      </w:pPr>
    </w:p>
    <w:p w14:paraId="7F82C5F8">
      <w:pPr>
        <w:pStyle w:val="13"/>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sz w:val="72"/>
          <w:szCs w:val="72"/>
        </w:rPr>
      </w:pPr>
    </w:p>
    <w:p w14:paraId="5003C326">
      <w:pPr>
        <w:pStyle w:val="13"/>
        <w:keepNext w:val="0"/>
        <w:keepLines w:val="0"/>
        <w:pageBreakBefore w:val="0"/>
        <w:kinsoku/>
        <w:wordWrap/>
        <w:overflowPunct/>
        <w:topLinePunct w:val="0"/>
        <w:bidi w:val="0"/>
        <w:snapToGrid/>
        <w:spacing w:line="600" w:lineRule="exact"/>
        <w:jc w:val="both"/>
        <w:textAlignment w:val="auto"/>
        <w:rPr>
          <w:rFonts w:hint="eastAsia" w:ascii="方正小标宋_GBK" w:hAnsi="方正小标宋_GBK" w:eastAsia="方正小标宋_GBK" w:cs="方正小标宋_GBK"/>
          <w:sz w:val="72"/>
          <w:szCs w:val="72"/>
        </w:rPr>
      </w:pPr>
    </w:p>
    <w:p w14:paraId="1F2FF13C">
      <w:pPr>
        <w:pStyle w:val="13"/>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sz w:val="72"/>
          <w:szCs w:val="72"/>
        </w:rPr>
      </w:pPr>
    </w:p>
    <w:p w14:paraId="04002AC8">
      <w:pPr>
        <w:pStyle w:val="13"/>
        <w:jc w:val="center"/>
        <w:rPr>
          <w:rFonts w:hint="eastAsia" w:ascii="方正小标宋_GBK" w:hAnsi="方正小标宋_GBK" w:eastAsia="方正小标宋_GBK" w:cs="方正小标宋_GBK"/>
          <w:kern w:val="0"/>
          <w:sz w:val="84"/>
          <w:szCs w:val="84"/>
        </w:rPr>
      </w:pPr>
    </w:p>
    <w:p w14:paraId="1AEB2E63">
      <w:pPr>
        <w:pStyle w:val="13"/>
        <w:jc w:val="center"/>
        <w:rPr>
          <w:rFonts w:hint="eastAsia" w:ascii="方正小标宋_GBK" w:hAnsi="方正小标宋_GBK" w:eastAsia="方正小标宋_GBK" w:cs="方正小标宋_GBK"/>
          <w:kern w:val="0"/>
          <w:sz w:val="84"/>
          <w:szCs w:val="84"/>
        </w:rPr>
      </w:pPr>
    </w:p>
    <w:p w14:paraId="2DFE5FDA">
      <w:pPr>
        <w:pStyle w:val="13"/>
        <w:jc w:val="center"/>
        <w:rPr>
          <w:rFonts w:hint="eastAsia" w:ascii="黑体" w:hAnsi="黑体" w:eastAsia="黑体" w:cs="黑体"/>
          <w:kern w:val="0"/>
          <w:sz w:val="84"/>
          <w:szCs w:val="84"/>
        </w:rPr>
      </w:pPr>
      <w:r>
        <w:rPr>
          <w:rFonts w:hint="eastAsia" w:ascii="黑体" w:hAnsi="黑体" w:eastAsia="黑体" w:cs="黑体"/>
          <w:kern w:val="0"/>
          <w:sz w:val="84"/>
          <w:szCs w:val="84"/>
        </w:rPr>
        <w:t>第四部分</w:t>
      </w:r>
    </w:p>
    <w:p w14:paraId="73BA6A90">
      <w:pPr>
        <w:pStyle w:val="13"/>
        <w:jc w:val="center"/>
        <w:rPr>
          <w:rFonts w:hint="eastAsia" w:ascii="黑体" w:hAnsi="黑体" w:eastAsia="黑体" w:cs="黑体"/>
          <w:kern w:val="0"/>
          <w:sz w:val="84"/>
          <w:szCs w:val="84"/>
        </w:rPr>
      </w:pPr>
      <w:r>
        <w:rPr>
          <w:rFonts w:hint="eastAsia" w:ascii="黑体" w:hAnsi="黑体" w:eastAsia="黑体" w:cs="黑体"/>
          <w:kern w:val="0"/>
          <w:sz w:val="84"/>
          <w:szCs w:val="84"/>
        </w:rPr>
        <w:t>名词解释</w:t>
      </w:r>
    </w:p>
    <w:p w14:paraId="0E8B2EFD">
      <w:pPr>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color w:val="000000"/>
          <w:kern w:val="0"/>
          <w:sz w:val="70"/>
          <w:szCs w:val="70"/>
        </w:rPr>
      </w:pPr>
    </w:p>
    <w:p w14:paraId="03757154">
      <w:pPr>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color w:val="000000"/>
          <w:kern w:val="0"/>
          <w:sz w:val="70"/>
          <w:szCs w:val="70"/>
        </w:rPr>
      </w:pPr>
    </w:p>
    <w:p w14:paraId="1CD730E0">
      <w:pPr>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color w:val="000000"/>
          <w:kern w:val="0"/>
          <w:sz w:val="70"/>
          <w:szCs w:val="70"/>
        </w:rPr>
      </w:pPr>
    </w:p>
    <w:p w14:paraId="68955188">
      <w:pPr>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color w:val="000000"/>
          <w:kern w:val="0"/>
          <w:sz w:val="70"/>
          <w:szCs w:val="70"/>
        </w:rPr>
      </w:pPr>
    </w:p>
    <w:p w14:paraId="05DFFE86">
      <w:pPr>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color w:val="000000"/>
          <w:kern w:val="0"/>
          <w:sz w:val="70"/>
          <w:szCs w:val="70"/>
        </w:rPr>
      </w:pPr>
    </w:p>
    <w:p w14:paraId="60183FF3">
      <w:pPr>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color w:val="000000"/>
          <w:kern w:val="0"/>
          <w:sz w:val="70"/>
          <w:szCs w:val="70"/>
        </w:rPr>
      </w:pPr>
    </w:p>
    <w:p w14:paraId="7D413B8A">
      <w:pPr>
        <w:keepNext w:val="0"/>
        <w:keepLines w:val="0"/>
        <w:pageBreakBefore w:val="0"/>
        <w:kinsoku/>
        <w:wordWrap/>
        <w:overflowPunct/>
        <w:topLinePunct w:val="0"/>
        <w:bidi w:val="0"/>
        <w:snapToGrid/>
        <w:spacing w:line="600" w:lineRule="exact"/>
        <w:jc w:val="both"/>
        <w:textAlignment w:val="auto"/>
        <w:rPr>
          <w:rFonts w:hint="eastAsia" w:ascii="方正小标宋_GBK" w:hAnsi="方正小标宋_GBK" w:eastAsia="方正小标宋_GBK" w:cs="方正小标宋_GBK"/>
          <w:color w:val="000000"/>
          <w:kern w:val="0"/>
          <w:sz w:val="70"/>
          <w:szCs w:val="70"/>
        </w:rPr>
      </w:pPr>
    </w:p>
    <w:p w14:paraId="18F5CD77">
      <w:pPr>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color w:val="000000"/>
          <w:kern w:val="0"/>
          <w:sz w:val="70"/>
          <w:szCs w:val="70"/>
        </w:rPr>
      </w:pPr>
    </w:p>
    <w:p w14:paraId="6E2E0BE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一、财</w:t>
      </w:r>
      <w:r>
        <w:rPr>
          <w:rFonts w:hint="eastAsia" w:ascii="仿宋" w:hAnsi="仿宋" w:eastAsia="仿宋" w:cs="仿宋"/>
          <w:kern w:val="2"/>
          <w:sz w:val="32"/>
          <w:szCs w:val="32"/>
          <w:lang w:val="en-US" w:eastAsia="zh-CN" w:bidi="ar-SA"/>
        </w:rPr>
        <w:t>政拨款收入：指单位本年度从市级财政部门取得的财政拨款。</w:t>
      </w:r>
    </w:p>
    <w:p w14:paraId="79DFA64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二、上级补助收入：指事业单位从主管部门和上级单位取得的非财政补助收入。</w:t>
      </w:r>
    </w:p>
    <w:p w14:paraId="37B9A7D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三、事业收入：指事业单位开展专业业务活动及其辅助活动取得的收入，事业单位收到的财政专户实际核拨的教育收费等资金在此反映。</w:t>
      </w:r>
    </w:p>
    <w:p w14:paraId="2B27CDF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四、经营收入：指事业单位在专业业务活动及其辅助活动之外开展非独立核算经营活动取得的收入。</w:t>
      </w:r>
    </w:p>
    <w:p w14:paraId="243CFB5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五、附属单位缴款：指事业单位附属独立核算单位按照有关规定上缴的收入。</w:t>
      </w:r>
    </w:p>
    <w:p w14:paraId="34368AC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六、其他收入：指单位取得的除上述“财政拨款收入”、“事业收入”、“经营收入”等以外的各项收入。</w:t>
      </w:r>
    </w:p>
    <w:p w14:paraId="100E7AB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七、用事业基金弥补收支差额：指事业单位用事业基金弥补当年收支差额的数额。</w:t>
      </w:r>
    </w:p>
    <w:p w14:paraId="47ABD81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八、年初结转和结余：指单位上年结转本年使用的基本支出结转、项目支出结转和结余和经营结余。</w:t>
      </w:r>
    </w:p>
    <w:p w14:paraId="0116600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九、一般公共服务（类）人大事务（款）行政运行（项）：指人大常委会办公厅用于保障机构正常运行、开展日常工作的基本支出。</w:t>
      </w:r>
    </w:p>
    <w:p w14:paraId="0C2AD92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十、结余分配：指事业单位按规定对非财政补助结余资金提取的职工福利基金、事业基金和缴纳的所得税，以及减少单位按规定应缴回的基本建设竣工项目结余资金。</w:t>
      </w:r>
    </w:p>
    <w:p w14:paraId="3F72780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十一、年末结转和结余资金：指本年度或以前年度预算安排、因客观条件发生变化无法按原计划实施，需要延迟到以后年度按有关规定继续使用的资金。</w:t>
      </w:r>
    </w:p>
    <w:p w14:paraId="4A50CA5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十二、基本支出：指为保障机构正常运转、完成日常工作任务而发生的人员支出和公用支出。</w:t>
      </w:r>
    </w:p>
    <w:p w14:paraId="558B679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十三、项目支出：指在基本支出之外为完成特定的行政任务或事业发展目标所发生的支出。</w:t>
      </w:r>
    </w:p>
    <w:p w14:paraId="60FD6BA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十四、上缴上级支出：指事业单位按照财政部门和主管部门的规定上缴上级单位的支出。</w:t>
      </w:r>
    </w:p>
    <w:p w14:paraId="5B77B9D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十五、经营支出：指事业单位在专业业务活动及其辅助活动之外开展非独立核算经营活动发生的支出。</w:t>
      </w:r>
    </w:p>
    <w:p w14:paraId="69E844F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十六、对附属单位补助支出：指事业单位用财政补助收入之外的收入对附属单位补助发生的支出。</w:t>
      </w:r>
    </w:p>
    <w:p w14:paraId="6FF39EA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 w:hAnsi="仿宋" w:eastAsia="仿宋" w:cs="仿宋"/>
          <w:kern w:val="2"/>
          <w:sz w:val="32"/>
          <w:szCs w:val="32"/>
          <w:lang w:val="en-US" w:eastAsia="zh-CN" w:bidi="ar-SA"/>
        </w:rPr>
        <w:t>十七、“三公”经费：指市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r>
        <w:rPr>
          <w:rFonts w:hint="eastAsia" w:ascii="仿宋_GB2312" w:hAnsi="仿宋_GB2312" w:eastAsia="仿宋_GB2312" w:cs="仿宋_GB2312"/>
          <w:kern w:val="2"/>
          <w:sz w:val="32"/>
          <w:szCs w:val="32"/>
          <w:lang w:val="en-US" w:eastAsia="zh-CN" w:bidi="ar-SA"/>
        </w:rPr>
        <w:t>。</w:t>
      </w:r>
    </w:p>
    <w:p w14:paraId="68161DF8">
      <w:pPr>
        <w:pStyle w:val="13"/>
        <w:keepNext w:val="0"/>
        <w:keepLines w:val="0"/>
        <w:pageBreakBefore w:val="0"/>
        <w:kinsoku/>
        <w:wordWrap/>
        <w:overflowPunct/>
        <w:topLinePunct w:val="0"/>
        <w:bidi w:val="0"/>
        <w:snapToGrid/>
        <w:spacing w:line="600" w:lineRule="exact"/>
        <w:jc w:val="center"/>
        <w:textAlignment w:val="auto"/>
        <w:rPr>
          <w:sz w:val="72"/>
          <w:szCs w:val="72"/>
        </w:rPr>
      </w:pPr>
    </w:p>
    <w:p w14:paraId="66B8EE24">
      <w:pPr>
        <w:pStyle w:val="13"/>
        <w:keepNext w:val="0"/>
        <w:keepLines w:val="0"/>
        <w:pageBreakBefore w:val="0"/>
        <w:kinsoku/>
        <w:wordWrap/>
        <w:overflowPunct/>
        <w:topLinePunct w:val="0"/>
        <w:bidi w:val="0"/>
        <w:snapToGrid/>
        <w:spacing w:line="600" w:lineRule="exact"/>
        <w:jc w:val="center"/>
        <w:textAlignment w:val="auto"/>
        <w:rPr>
          <w:sz w:val="72"/>
          <w:szCs w:val="72"/>
        </w:rPr>
      </w:pPr>
    </w:p>
    <w:p w14:paraId="42626CC4">
      <w:pPr>
        <w:pStyle w:val="13"/>
        <w:keepNext w:val="0"/>
        <w:keepLines w:val="0"/>
        <w:pageBreakBefore w:val="0"/>
        <w:kinsoku/>
        <w:wordWrap/>
        <w:overflowPunct/>
        <w:topLinePunct w:val="0"/>
        <w:bidi w:val="0"/>
        <w:snapToGrid/>
        <w:spacing w:line="600" w:lineRule="exact"/>
        <w:jc w:val="center"/>
        <w:textAlignment w:val="auto"/>
        <w:rPr>
          <w:sz w:val="72"/>
          <w:szCs w:val="72"/>
        </w:rPr>
      </w:pPr>
    </w:p>
    <w:p w14:paraId="55C328D1">
      <w:pPr>
        <w:pStyle w:val="13"/>
        <w:keepNext w:val="0"/>
        <w:keepLines w:val="0"/>
        <w:pageBreakBefore w:val="0"/>
        <w:kinsoku/>
        <w:wordWrap/>
        <w:overflowPunct/>
        <w:topLinePunct w:val="0"/>
        <w:bidi w:val="0"/>
        <w:snapToGrid/>
        <w:spacing w:line="600" w:lineRule="exact"/>
        <w:jc w:val="center"/>
        <w:textAlignment w:val="auto"/>
        <w:rPr>
          <w:sz w:val="72"/>
          <w:szCs w:val="72"/>
        </w:rPr>
      </w:pPr>
    </w:p>
    <w:p w14:paraId="53638E82">
      <w:pPr>
        <w:pStyle w:val="13"/>
        <w:keepNext w:val="0"/>
        <w:keepLines w:val="0"/>
        <w:pageBreakBefore w:val="0"/>
        <w:kinsoku/>
        <w:wordWrap/>
        <w:overflowPunct/>
        <w:topLinePunct w:val="0"/>
        <w:bidi w:val="0"/>
        <w:snapToGrid/>
        <w:spacing w:line="600" w:lineRule="exact"/>
        <w:jc w:val="center"/>
        <w:textAlignment w:val="auto"/>
        <w:rPr>
          <w:sz w:val="72"/>
          <w:szCs w:val="72"/>
        </w:rPr>
      </w:pPr>
    </w:p>
    <w:p w14:paraId="274FF4B7">
      <w:pPr>
        <w:pStyle w:val="13"/>
        <w:keepNext w:val="0"/>
        <w:keepLines w:val="0"/>
        <w:pageBreakBefore w:val="0"/>
        <w:kinsoku/>
        <w:wordWrap/>
        <w:overflowPunct/>
        <w:topLinePunct w:val="0"/>
        <w:bidi w:val="0"/>
        <w:snapToGrid/>
        <w:spacing w:line="600" w:lineRule="exact"/>
        <w:jc w:val="center"/>
        <w:textAlignment w:val="auto"/>
        <w:rPr>
          <w:sz w:val="72"/>
          <w:szCs w:val="72"/>
        </w:rPr>
      </w:pPr>
    </w:p>
    <w:p w14:paraId="75A27392">
      <w:pPr>
        <w:pStyle w:val="13"/>
        <w:keepNext w:val="0"/>
        <w:keepLines w:val="0"/>
        <w:pageBreakBefore w:val="0"/>
        <w:kinsoku/>
        <w:wordWrap/>
        <w:overflowPunct/>
        <w:topLinePunct w:val="0"/>
        <w:bidi w:val="0"/>
        <w:snapToGrid/>
        <w:spacing w:line="600" w:lineRule="exact"/>
        <w:jc w:val="center"/>
        <w:textAlignment w:val="auto"/>
        <w:rPr>
          <w:sz w:val="72"/>
          <w:szCs w:val="72"/>
        </w:rPr>
      </w:pPr>
    </w:p>
    <w:p w14:paraId="160165AC">
      <w:pPr>
        <w:pStyle w:val="13"/>
        <w:keepNext w:val="0"/>
        <w:keepLines w:val="0"/>
        <w:pageBreakBefore w:val="0"/>
        <w:kinsoku/>
        <w:wordWrap/>
        <w:overflowPunct/>
        <w:topLinePunct w:val="0"/>
        <w:bidi w:val="0"/>
        <w:snapToGrid/>
        <w:spacing w:line="600" w:lineRule="exact"/>
        <w:jc w:val="center"/>
        <w:textAlignment w:val="auto"/>
        <w:rPr>
          <w:sz w:val="72"/>
          <w:szCs w:val="72"/>
        </w:rPr>
      </w:pPr>
    </w:p>
    <w:p w14:paraId="17DFBE12">
      <w:pPr>
        <w:pStyle w:val="13"/>
        <w:jc w:val="center"/>
        <w:rPr>
          <w:rFonts w:ascii="方正小标宋_GBK" w:hAnsi="方正小标宋_GBK" w:eastAsia="方正小标宋_GBK" w:cs="方正小标宋_GBK"/>
          <w:kern w:val="0"/>
          <w:sz w:val="84"/>
          <w:szCs w:val="84"/>
        </w:rPr>
      </w:pPr>
    </w:p>
    <w:p w14:paraId="01134B5E">
      <w:pPr>
        <w:pStyle w:val="13"/>
        <w:jc w:val="both"/>
        <w:rPr>
          <w:rFonts w:ascii="方正小标宋_GBK" w:hAnsi="方正小标宋_GBK" w:eastAsia="方正小标宋_GBK" w:cs="方正小标宋_GBK"/>
          <w:kern w:val="0"/>
          <w:sz w:val="84"/>
          <w:szCs w:val="84"/>
        </w:rPr>
      </w:pPr>
    </w:p>
    <w:p w14:paraId="7ABB3AC3">
      <w:pPr>
        <w:pStyle w:val="13"/>
        <w:jc w:val="both"/>
        <w:rPr>
          <w:rFonts w:ascii="方正小标宋_GBK" w:hAnsi="方正小标宋_GBK" w:eastAsia="方正小标宋_GBK" w:cs="方正小标宋_GBK"/>
          <w:kern w:val="0"/>
          <w:sz w:val="84"/>
          <w:szCs w:val="84"/>
        </w:rPr>
      </w:pPr>
    </w:p>
    <w:p w14:paraId="0A0AE2E6">
      <w:pPr>
        <w:pStyle w:val="13"/>
        <w:jc w:val="center"/>
        <w:rPr>
          <w:rFonts w:hint="eastAsia" w:ascii="黑体" w:hAnsi="黑体" w:eastAsia="黑体" w:cs="黑体"/>
          <w:kern w:val="0"/>
          <w:sz w:val="84"/>
          <w:szCs w:val="84"/>
        </w:rPr>
      </w:pPr>
      <w:r>
        <w:rPr>
          <w:rFonts w:hint="eastAsia" w:ascii="黑体" w:hAnsi="黑体" w:eastAsia="黑体" w:cs="黑体"/>
          <w:kern w:val="0"/>
          <w:sz w:val="84"/>
          <w:szCs w:val="84"/>
        </w:rPr>
        <w:t>第五部分</w:t>
      </w:r>
    </w:p>
    <w:p w14:paraId="55ADB2F7">
      <w:pPr>
        <w:pStyle w:val="13"/>
        <w:jc w:val="center"/>
        <w:rPr>
          <w:rFonts w:hint="eastAsia" w:cs="黑体" w:asciiTheme="minorEastAsia" w:hAnsiTheme="minorEastAsia" w:eastAsiaTheme="minorEastAsia"/>
          <w:color w:val="000000"/>
          <w:kern w:val="0"/>
          <w:sz w:val="32"/>
          <w:szCs w:val="32"/>
          <w:lang w:eastAsia="zh-CN"/>
        </w:rPr>
      </w:pPr>
      <w:r>
        <w:rPr>
          <w:rFonts w:hint="eastAsia" w:ascii="黑体" w:hAnsi="黑体" w:eastAsia="黑体" w:cs="黑体"/>
          <w:kern w:val="0"/>
          <w:sz w:val="84"/>
          <w:szCs w:val="84"/>
          <w:lang w:val="en-US" w:eastAsia="zh-CN"/>
        </w:rPr>
        <w:t>附件</w:t>
      </w:r>
    </w:p>
    <w:p w14:paraId="0AEDA67B">
      <w:pPr>
        <w:keepNext w:val="0"/>
        <w:keepLines w:val="0"/>
        <w:pageBreakBefore w:val="0"/>
        <w:kinsoku/>
        <w:wordWrap/>
        <w:overflowPunct/>
        <w:topLinePunct w:val="0"/>
        <w:bidi w:val="0"/>
        <w:snapToGrid/>
        <w:spacing w:line="600" w:lineRule="exact"/>
        <w:jc w:val="left"/>
        <w:textAlignment w:val="auto"/>
        <w:rPr>
          <w:rFonts w:hint="eastAsia" w:cs="黑体" w:asciiTheme="minorEastAsia" w:hAnsiTheme="minorEastAsia" w:eastAsiaTheme="minorEastAsia"/>
          <w:color w:val="000000"/>
          <w:kern w:val="0"/>
          <w:sz w:val="32"/>
          <w:szCs w:val="32"/>
          <w:lang w:eastAsia="zh-CN"/>
        </w:rPr>
      </w:pPr>
    </w:p>
    <w:p w14:paraId="16B5E94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1、2022年怀化市住房保障服务中心部门决算公开表</w:t>
      </w:r>
    </w:p>
    <w:p w14:paraId="2D6B2F1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2、2022年度</w:t>
      </w:r>
      <w:r>
        <w:rPr>
          <w:rFonts w:hint="eastAsia" w:ascii="仿宋" w:hAnsi="仿宋" w:eastAsia="仿宋" w:cs="仿宋"/>
          <w:color w:val="auto"/>
          <w:kern w:val="2"/>
          <w:sz w:val="32"/>
          <w:szCs w:val="32"/>
          <w:lang w:val="en-US" w:eastAsia="zh-CN" w:bidi="ar-SA"/>
        </w:rPr>
        <w:t>怀化市住房保障服务中心部门绩效自评报告</w:t>
      </w:r>
    </w:p>
    <w:p w14:paraId="3C5FC8E3">
      <w:pPr>
        <w:keepNext w:val="0"/>
        <w:keepLines w:val="0"/>
        <w:pageBreakBefore w:val="0"/>
        <w:kinsoku/>
        <w:wordWrap/>
        <w:overflowPunct/>
        <w:topLinePunct w:val="0"/>
        <w:bidi w:val="0"/>
        <w:snapToGrid/>
        <w:spacing w:line="600" w:lineRule="exact"/>
        <w:jc w:val="left"/>
        <w:textAlignment w:val="auto"/>
        <w:rPr>
          <w:rFonts w:hint="eastAsia" w:cs="黑体" w:asciiTheme="minorEastAsia" w:hAnsiTheme="minorEastAsia" w:eastAsiaTheme="minorEastAsia"/>
          <w:color w:val="000000"/>
          <w:kern w:val="0"/>
          <w:sz w:val="32"/>
          <w:szCs w:val="32"/>
          <w:lang w:eastAsia="zh-CN"/>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BCE188D-8480-472E-89D5-9A1C713957E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E9ACFCF7-9E1C-4E46-A90A-B8C54A00ACAE}"/>
  </w:font>
  <w:font w:name="仿宋_GB2312">
    <w:panose1 w:val="02010609030101010101"/>
    <w:charset w:val="86"/>
    <w:family w:val="modern"/>
    <w:pitch w:val="default"/>
    <w:sig w:usb0="00000001" w:usb1="080E0000" w:usb2="00000000" w:usb3="00000000" w:csb0="00040000" w:csb1="00000000"/>
    <w:embedRegular r:id="rId3" w:fontKey="{750084DA-1F32-4595-AE62-817AFA3101CA}"/>
  </w:font>
  <w:font w:name="仿宋">
    <w:panose1 w:val="02010609060101010101"/>
    <w:charset w:val="86"/>
    <w:family w:val="auto"/>
    <w:pitch w:val="default"/>
    <w:sig w:usb0="800002BF" w:usb1="38CF7CFA" w:usb2="00000016" w:usb3="00000000" w:csb0="00040001" w:csb1="00000000"/>
    <w:embedRegular r:id="rId4" w:fontKey="{3E4294FF-0918-4511-9C90-75478F32180F}"/>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mVlZWE1YThmOTUxYzdmMmU4OWMyMmJiMWY5ZT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46C12B8"/>
    <w:rsid w:val="05EC0902"/>
    <w:rsid w:val="066B506C"/>
    <w:rsid w:val="0CA247B5"/>
    <w:rsid w:val="0E351D35"/>
    <w:rsid w:val="0FFF4D63"/>
    <w:rsid w:val="151B49A1"/>
    <w:rsid w:val="162A6D51"/>
    <w:rsid w:val="18EE0A4D"/>
    <w:rsid w:val="243B50ED"/>
    <w:rsid w:val="2AA83169"/>
    <w:rsid w:val="2BFA2EE6"/>
    <w:rsid w:val="31A33BDB"/>
    <w:rsid w:val="31F56F13"/>
    <w:rsid w:val="32185CD1"/>
    <w:rsid w:val="322168A0"/>
    <w:rsid w:val="34BA3894"/>
    <w:rsid w:val="39F71E75"/>
    <w:rsid w:val="3B745E2B"/>
    <w:rsid w:val="3E8820E9"/>
    <w:rsid w:val="419E29B2"/>
    <w:rsid w:val="45120AE5"/>
    <w:rsid w:val="4A8B70AA"/>
    <w:rsid w:val="4B025FFB"/>
    <w:rsid w:val="4C7D362F"/>
    <w:rsid w:val="512C7A5F"/>
    <w:rsid w:val="530167FA"/>
    <w:rsid w:val="53530C46"/>
    <w:rsid w:val="56445569"/>
    <w:rsid w:val="5777D4F5"/>
    <w:rsid w:val="586622F2"/>
    <w:rsid w:val="589D2963"/>
    <w:rsid w:val="5AA71877"/>
    <w:rsid w:val="5AB22733"/>
    <w:rsid w:val="5FC6BB1E"/>
    <w:rsid w:val="5FF720F1"/>
    <w:rsid w:val="673B1B2B"/>
    <w:rsid w:val="67C53077"/>
    <w:rsid w:val="6CFA1CDB"/>
    <w:rsid w:val="6E3D6BDA"/>
    <w:rsid w:val="6F7B04C4"/>
    <w:rsid w:val="701A08AC"/>
    <w:rsid w:val="70D32F6E"/>
    <w:rsid w:val="71137465"/>
    <w:rsid w:val="729E18DE"/>
    <w:rsid w:val="737D59BA"/>
    <w:rsid w:val="77C37683"/>
    <w:rsid w:val="79FF515B"/>
    <w:rsid w:val="79FFAAAC"/>
    <w:rsid w:val="7A890965"/>
    <w:rsid w:val="7BB79316"/>
    <w:rsid w:val="7D60312A"/>
    <w:rsid w:val="7D7F81A8"/>
    <w:rsid w:val="7E9F11B4"/>
    <w:rsid w:val="7FBE0AE8"/>
    <w:rsid w:val="7FC69637"/>
    <w:rsid w:val="7FDEF944"/>
    <w:rsid w:val="7FFDB408"/>
    <w:rsid w:val="7FFEAB31"/>
    <w:rsid w:val="BBE3C3D4"/>
    <w:rsid w:val="CBFF70E0"/>
    <w:rsid w:val="DEDF598D"/>
    <w:rsid w:val="E73588DC"/>
    <w:rsid w:val="E7B22EAD"/>
    <w:rsid w:val="EDF31F78"/>
    <w:rsid w:val="EEABED75"/>
    <w:rsid w:val="F2ADC87A"/>
    <w:rsid w:val="FB36E1A6"/>
    <w:rsid w:val="FD7FFA50"/>
    <w:rsid w:val="FE6DD14F"/>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widowControl w:val="0"/>
      <w:jc w:val="both"/>
    </w:pPr>
    <w:rPr>
      <w:rFonts w:ascii="Calibri" w:hAnsi="Calibri" w:eastAsia="宋体"/>
      <w:kern w:val="2"/>
      <w:sz w:val="32"/>
      <w:szCs w:val="32"/>
      <w:lang w:val="en-US" w:eastAsia="zh-CN" w:bidi="ar-SA"/>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22</Pages>
  <Words>8992</Words>
  <Characters>9625</Characters>
  <Lines>63</Lines>
  <Paragraphs>18</Paragraphs>
  <TotalTime>0</TotalTime>
  <ScaleCrop>false</ScaleCrop>
  <LinksUpToDate>false</LinksUpToDate>
  <CharactersWithSpaces>9626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2020-07-05T18:32:00Z</dcterms:created>
  <dc:creator>李航 null</dc:creator>
  <cp:lastModifiedBy>WPS_1668149522</cp:lastModifiedBy>
  <cp:lastPrinted>2023-08-16T09:28:00Z</cp:lastPrinted>
  <dcterms:modified xsi:type="dcterms:W3CDTF">2024-10-31T15:52:47Z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64664A34BD40426E8D7236A8B5398A40_13</vt:lpwstr>
  </property>
</Properties>
</file>