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color w:val="auto"/>
          <w:kern w:val="0"/>
          <w:sz w:val="44"/>
          <w:szCs w:val="22"/>
        </w:rPr>
      </w:pPr>
      <w:bookmarkStart w:id="0" w:name="_GoBack"/>
      <w:bookmarkEnd w:id="0"/>
      <w:r>
        <w:rPr>
          <w:rFonts w:ascii="宋体" w:hAnsi="宋体"/>
          <w:b/>
          <w:color w:val="auto"/>
          <w:kern w:val="0"/>
          <w:sz w:val="44"/>
          <w:szCs w:val="22"/>
        </w:rPr>
        <w:t>2022年</w:t>
      </w:r>
      <w:r>
        <w:rPr>
          <w:rFonts w:hint="eastAsia" w:ascii="宋体" w:hAnsi="宋体"/>
          <w:b/>
          <w:color w:val="auto"/>
          <w:kern w:val="0"/>
          <w:sz w:val="44"/>
          <w:szCs w:val="22"/>
        </w:rPr>
        <w:t>度</w:t>
      </w:r>
      <w:r>
        <w:rPr>
          <w:rFonts w:ascii="宋体" w:hAnsi="宋体"/>
          <w:b/>
          <w:color w:val="auto"/>
          <w:kern w:val="0"/>
          <w:sz w:val="44"/>
          <w:szCs w:val="22"/>
        </w:rPr>
        <w:t>白蚁防治</w:t>
      </w:r>
      <w:r>
        <w:rPr>
          <w:rFonts w:hint="eastAsia" w:ascii="宋体" w:hAnsi="宋体"/>
          <w:b/>
          <w:color w:val="auto"/>
          <w:kern w:val="0"/>
          <w:sz w:val="44"/>
          <w:szCs w:val="22"/>
        </w:rPr>
        <w:t>专项资金绩效自评报告</w:t>
      </w:r>
    </w:p>
    <w:p>
      <w:pPr>
        <w:ind w:firstLine="420" w:firstLineChars="200"/>
        <w:rPr>
          <w:rFonts w:hint="eastAsia"/>
          <w:color w:val="auto"/>
        </w:rPr>
      </w:pPr>
    </w:p>
    <w:p>
      <w:pPr>
        <w:ind w:firstLine="722" w:firstLineChars="200"/>
        <w:rPr>
          <w:b/>
          <w:bCs/>
          <w:color w:val="auto"/>
          <w:sz w:val="36"/>
          <w:szCs w:val="36"/>
        </w:rPr>
      </w:pPr>
      <w:r>
        <w:rPr>
          <w:rFonts w:hint="eastAsia"/>
          <w:b/>
          <w:bCs/>
          <w:color w:val="auto"/>
          <w:sz w:val="36"/>
          <w:szCs w:val="36"/>
        </w:rPr>
        <w:t>一、项目基本情况</w:t>
      </w:r>
    </w:p>
    <w:p>
      <w:pPr>
        <w:ind w:firstLine="642" w:firstLineChars="200"/>
        <w:rPr>
          <w:b/>
          <w:bCs/>
          <w:color w:val="auto"/>
          <w:sz w:val="32"/>
          <w:szCs w:val="32"/>
        </w:rPr>
      </w:pPr>
      <w:r>
        <w:rPr>
          <w:rFonts w:hint="eastAsia"/>
          <w:b/>
          <w:bCs/>
          <w:color w:val="auto"/>
          <w:sz w:val="32"/>
          <w:szCs w:val="32"/>
        </w:rPr>
        <w:t>（一）项目概况</w:t>
      </w:r>
    </w:p>
    <w:p>
      <w:pPr>
        <w:spacing w:line="360" w:lineRule="auto"/>
        <w:ind w:firstLine="760"/>
        <w:jc w:val="left"/>
        <w:rPr>
          <w:rFonts w:hint="eastAsia" w:ascii="宋体" w:hAnsi="宋体"/>
          <w:color w:val="auto"/>
          <w:kern w:val="0"/>
          <w:sz w:val="30"/>
          <w:szCs w:val="30"/>
        </w:rPr>
      </w:pPr>
      <w:r>
        <w:rPr>
          <w:rFonts w:hint="eastAsia" w:ascii="宋体" w:hAnsi="宋体"/>
          <w:color w:val="auto"/>
          <w:kern w:val="0"/>
          <w:sz w:val="30"/>
          <w:szCs w:val="30"/>
        </w:rPr>
        <w:t>1、项目单位基本情况</w:t>
      </w:r>
    </w:p>
    <w:p>
      <w:pPr>
        <w:spacing w:line="360" w:lineRule="auto"/>
        <w:ind w:firstLine="760"/>
        <w:jc w:val="left"/>
        <w:rPr>
          <w:rFonts w:hint="eastAsia" w:ascii="宋体" w:hAnsi="宋体"/>
          <w:color w:val="auto"/>
          <w:kern w:val="0"/>
          <w:sz w:val="30"/>
          <w:szCs w:val="30"/>
        </w:rPr>
      </w:pPr>
      <w:r>
        <w:rPr>
          <w:rFonts w:hint="eastAsia" w:ascii="宋体" w:hAnsi="宋体"/>
          <w:color w:val="auto"/>
          <w:kern w:val="0"/>
          <w:sz w:val="30"/>
          <w:szCs w:val="30"/>
        </w:rPr>
        <w:t>怀化市住房保障服务中心作为一级部门预算单位，内设部门为：办公室、人事财务部、住房保障服务部、住建信息服务部。下设不具备独立法人资格的正科级分支机构市住房保障服务站，承担协助开展白蚁防治、房屋租赁、物业专项维修资金管理等服务性工作。</w:t>
      </w:r>
    </w:p>
    <w:p>
      <w:pPr>
        <w:spacing w:line="360" w:lineRule="auto"/>
        <w:ind w:firstLine="760"/>
        <w:jc w:val="left"/>
        <w:rPr>
          <w:rFonts w:hint="eastAsia" w:ascii="宋体" w:hAnsi="宋体"/>
          <w:color w:val="auto"/>
          <w:kern w:val="0"/>
          <w:sz w:val="30"/>
          <w:szCs w:val="30"/>
        </w:rPr>
      </w:pPr>
      <w:r>
        <w:rPr>
          <w:rFonts w:ascii="宋体" w:hAnsi="宋体"/>
          <w:color w:val="auto"/>
          <w:kern w:val="0"/>
          <w:sz w:val="30"/>
          <w:szCs w:val="30"/>
        </w:rPr>
        <w:t>2、</w:t>
      </w:r>
      <w:r>
        <w:rPr>
          <w:rFonts w:hint="eastAsia" w:ascii="宋体" w:hAnsi="宋体"/>
          <w:color w:val="auto"/>
          <w:kern w:val="0"/>
          <w:sz w:val="30"/>
          <w:szCs w:val="30"/>
        </w:rPr>
        <w:t>项目的实施依据</w:t>
      </w:r>
    </w:p>
    <w:p>
      <w:pPr>
        <w:spacing w:line="360" w:lineRule="auto"/>
        <w:ind w:firstLine="760"/>
        <w:rPr>
          <w:rFonts w:ascii="宋体" w:hAnsi="宋体" w:cs="汉仪书宋二S"/>
          <w:color w:val="auto"/>
          <w:sz w:val="30"/>
          <w:szCs w:val="30"/>
        </w:rPr>
      </w:pPr>
      <w:r>
        <w:rPr>
          <w:rFonts w:ascii="宋体" w:hAnsi="宋体" w:cs="汉仪书宋二S"/>
          <w:color w:val="auto"/>
          <w:sz w:val="30"/>
          <w:szCs w:val="30"/>
        </w:rPr>
        <w:t>白蚁防治项目根据《城市房屋白蚁防治管理规定》、《湖南省发展和改革委员会关于清理规范一批行政事业性收费有关政策的通知》、《湖南省住房和城乡建设厅关于进一步做好城市房屋白蚁防治工作的通知》等相关文件立项。</w:t>
      </w:r>
    </w:p>
    <w:p>
      <w:pPr>
        <w:spacing w:line="360" w:lineRule="auto"/>
        <w:ind w:firstLine="760"/>
        <w:jc w:val="left"/>
        <w:rPr>
          <w:rFonts w:hint="eastAsia" w:ascii="宋体" w:hAnsi="宋体"/>
          <w:color w:val="auto"/>
          <w:sz w:val="30"/>
          <w:szCs w:val="30"/>
        </w:rPr>
      </w:pPr>
      <w:r>
        <w:rPr>
          <w:rFonts w:ascii="宋体" w:hAnsi="宋体"/>
          <w:color w:val="auto"/>
          <w:sz w:val="30"/>
          <w:szCs w:val="30"/>
        </w:rPr>
        <w:t>3、</w:t>
      </w:r>
      <w:r>
        <w:rPr>
          <w:rFonts w:hint="eastAsia" w:ascii="宋体" w:hAnsi="宋体"/>
          <w:color w:val="auto"/>
          <w:sz w:val="30"/>
          <w:szCs w:val="30"/>
        </w:rPr>
        <w:t>项目基本性质、用途和主要内容、涉及范围</w:t>
      </w:r>
    </w:p>
    <w:p>
      <w:pPr>
        <w:spacing w:line="360" w:lineRule="auto"/>
        <w:ind w:firstLine="760"/>
        <w:rPr>
          <w:rFonts w:hint="eastAsia" w:ascii="宋体" w:hAnsi="宋体" w:cs="汉仪书宋二S"/>
          <w:color w:val="auto"/>
          <w:sz w:val="30"/>
          <w:szCs w:val="30"/>
        </w:rPr>
      </w:pPr>
      <w:r>
        <w:rPr>
          <w:rFonts w:ascii="宋体" w:hAnsi="宋体" w:cs="汉仪书宋二S"/>
          <w:color w:val="auto"/>
          <w:sz w:val="30"/>
          <w:szCs w:val="30"/>
        </w:rPr>
        <w:t>我省是白蚁高危地区，白蚁危害十分严重，做好白蚁防治工作，确保城市房屋住用安全，是住房城乡建设主管部门的一项重要职责。专项经费</w:t>
      </w:r>
      <w:r>
        <w:rPr>
          <w:rFonts w:hint="eastAsia" w:ascii="宋体" w:hAnsi="宋体" w:cs="汉仪书宋二S"/>
          <w:color w:val="auto"/>
          <w:sz w:val="30"/>
          <w:szCs w:val="30"/>
        </w:rPr>
        <w:t>主要用于市本级城区房屋建筑及园林绿化树木白蚁预防和灭治用药水和施工劳务费</w:t>
      </w:r>
      <w:r>
        <w:rPr>
          <w:rFonts w:ascii="宋体" w:hAnsi="宋体" w:cs="汉仪书宋二S"/>
          <w:color w:val="auto"/>
          <w:sz w:val="30"/>
          <w:szCs w:val="30"/>
        </w:rPr>
        <w:t>；</w:t>
      </w:r>
    </w:p>
    <w:p>
      <w:pPr>
        <w:spacing w:line="360" w:lineRule="auto"/>
        <w:ind w:firstLine="740"/>
        <w:jc w:val="left"/>
        <w:rPr>
          <w:rFonts w:ascii="宋体" w:hAnsi="宋体"/>
          <w:color w:val="auto"/>
          <w:sz w:val="28"/>
          <w:szCs w:val="28"/>
        </w:rPr>
      </w:pPr>
      <w:r>
        <w:rPr>
          <w:rFonts w:hint="eastAsia" w:ascii="宋体" w:hAnsi="宋体"/>
          <w:b/>
          <w:color w:val="auto"/>
          <w:sz w:val="32"/>
          <w:szCs w:val="32"/>
        </w:rPr>
        <w:t>（</w:t>
      </w:r>
      <w:r>
        <w:rPr>
          <w:rFonts w:hint="eastAsia" w:ascii="宋体" w:hAnsi="宋体"/>
          <w:b/>
          <w:bCs/>
          <w:color w:val="auto"/>
          <w:sz w:val="32"/>
          <w:szCs w:val="32"/>
        </w:rPr>
        <w:t>二）项目绩效目标</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1、加强理论知识学习，认真研究白蚁防治工作开展情况，科学部署白蚁防治施工方案，高质量高效率地完成白蚁防治各项施工任务；</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2、加强制度管理，提高服务效率，全面推进白蚁防治服务行业健康发展，按标准化建设要求，做到以规范促发展，以质量谋生存。优化窗口服务，简化办事流程，确保办事群众跑一次就能把事情办完；</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3、优化施工、车辆、药库和质量管理制度，责任到人，做到安全生产零事故，防治技术零事故，优质服务零投诉。</w:t>
      </w:r>
    </w:p>
    <w:p>
      <w:pPr>
        <w:spacing w:line="360" w:lineRule="auto"/>
        <w:ind w:firstLine="740"/>
        <w:jc w:val="left"/>
        <w:rPr>
          <w:rFonts w:ascii="宋体" w:hAnsi="宋体"/>
          <w:color w:val="auto"/>
          <w:sz w:val="36"/>
          <w:szCs w:val="36"/>
        </w:rPr>
      </w:pPr>
      <w:r>
        <w:rPr>
          <w:rFonts w:hint="eastAsia" w:ascii="宋体" w:hAnsi="宋体"/>
          <w:b/>
          <w:color w:val="auto"/>
          <w:sz w:val="36"/>
          <w:szCs w:val="36"/>
        </w:rPr>
        <w:t>二、绩效评价工作情况</w:t>
      </w:r>
    </w:p>
    <w:p>
      <w:pPr>
        <w:spacing w:line="360" w:lineRule="auto"/>
        <w:ind w:firstLine="740"/>
        <w:jc w:val="left"/>
        <w:rPr>
          <w:rFonts w:ascii="宋体" w:hAnsi="宋体"/>
          <w:color w:val="auto"/>
          <w:sz w:val="30"/>
          <w:szCs w:val="30"/>
        </w:rPr>
      </w:pPr>
      <w:r>
        <w:rPr>
          <w:rFonts w:hint="eastAsia" w:ascii="宋体" w:hAnsi="宋体"/>
          <w:color w:val="auto"/>
          <w:sz w:val="30"/>
          <w:szCs w:val="30"/>
        </w:rPr>
        <w:t>1、工作准备阶段</w:t>
      </w:r>
    </w:p>
    <w:p>
      <w:pPr>
        <w:spacing w:line="360" w:lineRule="auto"/>
        <w:ind w:firstLine="600" w:firstLineChars="200"/>
        <w:rPr>
          <w:rFonts w:ascii="宋体" w:hAnsi="宋体"/>
          <w:color w:val="auto"/>
          <w:sz w:val="30"/>
          <w:szCs w:val="30"/>
        </w:rPr>
      </w:pPr>
      <w:r>
        <w:rPr>
          <w:rFonts w:hint="eastAsia" w:ascii="宋体" w:hAnsi="宋体"/>
          <w:color w:val="auto"/>
          <w:sz w:val="30"/>
          <w:szCs w:val="30"/>
        </w:rPr>
        <w:t>本次绩效自评工作，由我单位财务部门牵头，接到怀化市财政局下发的《怀化市财政局关于开展</w:t>
      </w:r>
      <w:r>
        <w:rPr>
          <w:rFonts w:ascii="宋体" w:hAnsi="宋体"/>
          <w:color w:val="auto"/>
          <w:sz w:val="30"/>
          <w:szCs w:val="30"/>
        </w:rPr>
        <w:t>2022年</w:t>
      </w:r>
      <w:r>
        <w:rPr>
          <w:rFonts w:hint="eastAsia" w:ascii="宋体" w:hAnsi="宋体"/>
          <w:color w:val="auto"/>
          <w:sz w:val="30"/>
          <w:szCs w:val="30"/>
        </w:rPr>
        <w:t>度部门整体支出</w:t>
      </w:r>
      <w:r>
        <w:rPr>
          <w:rFonts w:hint="default" w:ascii="宋体" w:hAnsi="宋体"/>
          <w:color w:val="auto"/>
          <w:sz w:val="30"/>
          <w:szCs w:val="30"/>
        </w:rPr>
        <w:t>与</w:t>
      </w:r>
      <w:r>
        <w:rPr>
          <w:rFonts w:hint="eastAsia" w:ascii="宋体" w:hAnsi="宋体"/>
          <w:color w:val="auto"/>
          <w:sz w:val="30"/>
          <w:szCs w:val="30"/>
        </w:rPr>
        <w:t>专项资金绩效自评工作的通知》后，我单位高度重视，组建由财务部牵头的评价小组，并派专人负责对我单位</w:t>
      </w:r>
      <w:r>
        <w:rPr>
          <w:rFonts w:ascii="宋体" w:hAnsi="宋体"/>
          <w:color w:val="auto"/>
          <w:sz w:val="30"/>
          <w:szCs w:val="30"/>
        </w:rPr>
        <w:t>2022年</w:t>
      </w:r>
      <w:r>
        <w:rPr>
          <w:rFonts w:hint="eastAsia" w:ascii="宋体" w:hAnsi="宋体"/>
          <w:color w:val="auto"/>
          <w:sz w:val="30"/>
          <w:szCs w:val="30"/>
        </w:rPr>
        <w:t>度部门整体支出和专项项目支出开展绩效自评工作，为绩效自评工作做了充分准备。</w:t>
      </w:r>
    </w:p>
    <w:p>
      <w:pPr>
        <w:spacing w:line="360" w:lineRule="auto"/>
        <w:ind w:firstLine="740"/>
        <w:jc w:val="left"/>
        <w:rPr>
          <w:rFonts w:hint="eastAsia" w:ascii="宋体" w:hAnsi="宋体"/>
          <w:color w:val="auto"/>
          <w:sz w:val="30"/>
          <w:szCs w:val="30"/>
        </w:rPr>
      </w:pPr>
      <w:r>
        <w:rPr>
          <w:rFonts w:hint="eastAsia" w:ascii="宋体" w:hAnsi="宋体"/>
          <w:color w:val="auto"/>
          <w:sz w:val="30"/>
          <w:szCs w:val="30"/>
        </w:rPr>
        <w:t>2、组织实施</w:t>
      </w:r>
    </w:p>
    <w:p>
      <w:pPr>
        <w:spacing w:line="360" w:lineRule="auto"/>
        <w:ind w:firstLine="600" w:firstLineChars="200"/>
        <w:rPr>
          <w:rFonts w:ascii="宋体" w:hAnsi="宋体"/>
          <w:color w:val="auto"/>
          <w:sz w:val="30"/>
          <w:szCs w:val="30"/>
        </w:rPr>
      </w:pPr>
      <w:r>
        <w:rPr>
          <w:rFonts w:hint="eastAsia" w:ascii="宋体" w:hAnsi="宋体"/>
          <w:color w:val="auto"/>
          <w:sz w:val="30"/>
          <w:szCs w:val="30"/>
        </w:rPr>
        <w:t>评价组织实施情况主要包括查看财政资金申报材料、拨付文件及凭证、对专项资金所涉及项目实施进行跟踪、监督、整改的相关资料，项目质量检查、验收评比等资料；收集核对分析项目产出效益的证明材料，并据获取的相关信息与项目实地调研情况进行对比核实，查看项目实施情况，落实各项绩效指标的完成情况。</w:t>
      </w:r>
    </w:p>
    <w:p>
      <w:pPr>
        <w:spacing w:line="360" w:lineRule="auto"/>
        <w:ind w:firstLine="720"/>
        <w:jc w:val="left"/>
        <w:rPr>
          <w:rFonts w:ascii="宋体" w:hAnsi="宋体"/>
          <w:color w:val="auto"/>
          <w:sz w:val="30"/>
          <w:szCs w:val="30"/>
        </w:rPr>
      </w:pPr>
      <w:r>
        <w:rPr>
          <w:rFonts w:hint="eastAsia" w:ascii="宋体" w:hAnsi="宋体"/>
          <w:color w:val="auto"/>
          <w:sz w:val="30"/>
          <w:szCs w:val="30"/>
        </w:rPr>
        <w:t>3、评价总结阶段</w:t>
      </w:r>
    </w:p>
    <w:p>
      <w:pPr>
        <w:spacing w:line="360" w:lineRule="auto"/>
        <w:ind w:firstLine="720"/>
        <w:rPr>
          <w:rFonts w:ascii="宋体" w:hAnsi="宋体"/>
          <w:color w:val="auto"/>
          <w:sz w:val="30"/>
          <w:szCs w:val="30"/>
        </w:rPr>
      </w:pPr>
      <w:r>
        <w:rPr>
          <w:rFonts w:hint="eastAsia" w:ascii="宋体" w:hAnsi="宋体"/>
          <w:color w:val="auto"/>
          <w:sz w:val="30"/>
          <w:szCs w:val="30"/>
        </w:rPr>
        <w:t>评价小组整理、汇总相关项目资料，对专项资金使用绩效进行全面、综合评价，总结项目绩效及存在的问题，撰写绩效自评报告。</w:t>
      </w:r>
    </w:p>
    <w:p>
      <w:pPr>
        <w:spacing w:line="360" w:lineRule="auto"/>
        <w:ind w:firstLine="720"/>
        <w:jc w:val="left"/>
        <w:rPr>
          <w:rFonts w:ascii="宋体" w:hAnsi="宋体"/>
          <w:color w:val="auto"/>
          <w:sz w:val="36"/>
          <w:szCs w:val="36"/>
        </w:rPr>
      </w:pPr>
      <w:r>
        <w:rPr>
          <w:rFonts w:hint="eastAsia" w:ascii="宋体" w:hAnsi="宋体"/>
          <w:b/>
          <w:color w:val="auto"/>
          <w:sz w:val="36"/>
          <w:szCs w:val="36"/>
        </w:rPr>
        <w:t>三、绩效评价指标分析情况</w:t>
      </w:r>
    </w:p>
    <w:p>
      <w:pPr>
        <w:spacing w:line="360" w:lineRule="auto"/>
        <w:ind w:firstLine="720"/>
        <w:jc w:val="left"/>
        <w:rPr>
          <w:rFonts w:ascii="宋体" w:hAnsi="宋体"/>
          <w:color w:val="auto"/>
          <w:sz w:val="32"/>
          <w:szCs w:val="32"/>
        </w:rPr>
      </w:pPr>
      <w:r>
        <w:rPr>
          <w:rFonts w:hint="eastAsia" w:ascii="宋体" w:hAnsi="宋体"/>
          <w:b/>
          <w:color w:val="auto"/>
          <w:sz w:val="32"/>
          <w:szCs w:val="32"/>
        </w:rPr>
        <w:t>（一）项目资金情况分析</w:t>
      </w:r>
    </w:p>
    <w:p>
      <w:pPr>
        <w:spacing w:line="360" w:lineRule="auto"/>
        <w:ind w:firstLine="720"/>
        <w:jc w:val="left"/>
        <w:rPr>
          <w:rFonts w:ascii="宋体" w:hAnsi="宋体"/>
          <w:color w:val="auto"/>
          <w:sz w:val="30"/>
          <w:szCs w:val="30"/>
        </w:rPr>
      </w:pPr>
      <w:r>
        <w:rPr>
          <w:rFonts w:hint="eastAsia" w:ascii="宋体" w:hAnsi="宋体"/>
          <w:color w:val="auto"/>
          <w:sz w:val="30"/>
          <w:szCs w:val="30"/>
        </w:rPr>
        <w:t>1、项目资金到位情况分析</w:t>
      </w:r>
    </w:p>
    <w:p>
      <w:pPr>
        <w:spacing w:line="360" w:lineRule="auto"/>
        <w:ind w:firstLine="600" w:firstLineChars="200"/>
        <w:jc w:val="left"/>
        <w:rPr>
          <w:rFonts w:hint="eastAsia" w:ascii="宋体" w:hAnsi="宋体"/>
          <w:color w:val="auto"/>
          <w:sz w:val="30"/>
          <w:szCs w:val="30"/>
        </w:rPr>
      </w:pPr>
      <w:r>
        <w:rPr>
          <w:rFonts w:hint="eastAsia" w:ascii="宋体" w:hAnsi="宋体" w:cs="宋体"/>
          <w:color w:val="auto"/>
          <w:sz w:val="30"/>
          <w:szCs w:val="30"/>
        </w:rPr>
        <w:t>白蚁防治</w:t>
      </w:r>
      <w:r>
        <w:rPr>
          <w:rFonts w:ascii="宋体" w:hAnsi="宋体" w:cs="宋体"/>
          <w:color w:val="auto"/>
          <w:sz w:val="30"/>
          <w:szCs w:val="30"/>
        </w:rPr>
        <w:t>项目预算申报</w:t>
      </w:r>
      <w:r>
        <w:rPr>
          <w:rFonts w:hint="eastAsia" w:ascii="宋体" w:hAnsi="宋体" w:cs="宋体"/>
          <w:color w:val="auto"/>
          <w:sz w:val="30"/>
          <w:szCs w:val="30"/>
        </w:rPr>
        <w:t>163.2万元，</w:t>
      </w:r>
      <w:r>
        <w:rPr>
          <w:rFonts w:ascii="宋体" w:hAnsi="宋体"/>
          <w:color w:val="auto"/>
          <w:sz w:val="30"/>
          <w:szCs w:val="30"/>
        </w:rPr>
        <w:t>2022年</w:t>
      </w:r>
      <w:r>
        <w:rPr>
          <w:rFonts w:hint="eastAsia" w:ascii="宋体" w:hAnsi="宋体"/>
          <w:color w:val="auto"/>
          <w:sz w:val="30"/>
          <w:szCs w:val="30"/>
        </w:rPr>
        <w:t>度实际下拨专项资金</w:t>
      </w:r>
      <w:r>
        <w:rPr>
          <w:rFonts w:ascii="宋体" w:hAnsi="宋体"/>
          <w:color w:val="auto"/>
          <w:sz w:val="30"/>
          <w:szCs w:val="30"/>
        </w:rPr>
        <w:t>163.2万元，资金到位率100%；</w:t>
      </w:r>
    </w:p>
    <w:p>
      <w:pPr>
        <w:spacing w:line="360" w:lineRule="auto"/>
        <w:ind w:firstLine="720"/>
        <w:jc w:val="left"/>
        <w:rPr>
          <w:rFonts w:ascii="宋体" w:hAnsi="宋体"/>
          <w:color w:val="auto"/>
          <w:sz w:val="30"/>
          <w:szCs w:val="30"/>
        </w:rPr>
      </w:pPr>
      <w:r>
        <w:rPr>
          <w:rFonts w:hint="eastAsia" w:ascii="宋体" w:hAnsi="宋体"/>
          <w:color w:val="auto"/>
          <w:sz w:val="30"/>
          <w:szCs w:val="30"/>
        </w:rPr>
        <w:t>2、项目资金使用情况分析</w:t>
      </w:r>
    </w:p>
    <w:p>
      <w:pPr>
        <w:spacing w:line="360" w:lineRule="auto"/>
        <w:ind w:firstLine="720"/>
        <w:rPr>
          <w:rFonts w:ascii="宋体" w:hAnsi="宋体"/>
          <w:color w:val="auto"/>
          <w:sz w:val="30"/>
          <w:szCs w:val="30"/>
        </w:rPr>
      </w:pPr>
      <w:r>
        <w:rPr>
          <w:rFonts w:ascii="宋体" w:hAnsi="宋体"/>
          <w:color w:val="auto"/>
          <w:sz w:val="30"/>
          <w:szCs w:val="30"/>
        </w:rPr>
        <w:t>白蚁防治</w:t>
      </w:r>
      <w:r>
        <w:rPr>
          <w:rFonts w:hint="eastAsia" w:ascii="宋体" w:hAnsi="宋体"/>
          <w:color w:val="auto"/>
          <w:sz w:val="30"/>
          <w:szCs w:val="30"/>
        </w:rPr>
        <w:t>项目使用专项资金</w:t>
      </w:r>
      <w:r>
        <w:rPr>
          <w:rFonts w:ascii="宋体" w:hAnsi="宋体"/>
          <w:color w:val="auto"/>
          <w:sz w:val="30"/>
          <w:szCs w:val="30"/>
        </w:rPr>
        <w:t>120.44</w:t>
      </w:r>
      <w:r>
        <w:rPr>
          <w:rFonts w:hint="eastAsia" w:ascii="宋体" w:hAnsi="宋体"/>
          <w:color w:val="auto"/>
          <w:sz w:val="30"/>
          <w:szCs w:val="30"/>
        </w:rPr>
        <w:t>万元，结余资金</w:t>
      </w:r>
      <w:r>
        <w:rPr>
          <w:rFonts w:ascii="宋体" w:hAnsi="宋体"/>
          <w:color w:val="auto"/>
          <w:sz w:val="30"/>
          <w:szCs w:val="30"/>
        </w:rPr>
        <w:t>42.76</w:t>
      </w:r>
      <w:r>
        <w:rPr>
          <w:rFonts w:hint="eastAsia" w:ascii="宋体" w:hAnsi="宋体"/>
          <w:color w:val="auto"/>
          <w:sz w:val="30"/>
          <w:szCs w:val="30"/>
        </w:rPr>
        <w:t>万元，专项资金使用率</w:t>
      </w:r>
      <w:r>
        <w:rPr>
          <w:rFonts w:ascii="宋体" w:hAnsi="宋体"/>
          <w:color w:val="auto"/>
          <w:sz w:val="30"/>
          <w:szCs w:val="30"/>
        </w:rPr>
        <w:t>73.80</w:t>
      </w:r>
      <w:r>
        <w:rPr>
          <w:rFonts w:hint="eastAsia" w:ascii="宋体" w:hAnsi="宋体"/>
          <w:color w:val="auto"/>
          <w:sz w:val="30"/>
          <w:szCs w:val="30"/>
        </w:rPr>
        <w:t>％</w:t>
      </w:r>
      <w:r>
        <w:rPr>
          <w:rFonts w:ascii="宋体" w:hAnsi="宋体"/>
          <w:color w:val="auto"/>
          <w:sz w:val="30"/>
          <w:szCs w:val="30"/>
        </w:rPr>
        <w:t>，结合资金均已被财政收回。</w:t>
      </w:r>
    </w:p>
    <w:p>
      <w:pPr>
        <w:spacing w:line="360" w:lineRule="auto"/>
        <w:ind w:firstLine="720"/>
        <w:jc w:val="left"/>
        <w:rPr>
          <w:rFonts w:ascii="宋体" w:hAnsi="宋体"/>
          <w:color w:val="auto"/>
          <w:sz w:val="30"/>
          <w:szCs w:val="30"/>
        </w:rPr>
      </w:pPr>
      <w:r>
        <w:rPr>
          <w:rFonts w:hint="eastAsia" w:ascii="宋体" w:hAnsi="宋体"/>
          <w:color w:val="auto"/>
          <w:sz w:val="30"/>
          <w:szCs w:val="30"/>
        </w:rPr>
        <w:t>3、项目资金管理情况分析</w:t>
      </w:r>
    </w:p>
    <w:p>
      <w:pPr>
        <w:spacing w:line="360" w:lineRule="auto"/>
        <w:ind w:firstLine="600" w:firstLineChars="200"/>
        <w:jc w:val="left"/>
        <w:rPr>
          <w:rFonts w:ascii="宋体" w:hAnsi="宋体"/>
          <w:color w:val="auto"/>
          <w:sz w:val="30"/>
          <w:szCs w:val="30"/>
        </w:rPr>
      </w:pPr>
      <w:r>
        <w:rPr>
          <w:rFonts w:hint="eastAsia" w:ascii="宋体" w:hAnsi="宋体"/>
          <w:color w:val="auto"/>
          <w:sz w:val="30"/>
          <w:szCs w:val="30"/>
        </w:rPr>
        <w:t>为做好专项资金管理，我单位规定了项目申报流程、资金拨付程序等，资金拨付填写报账申请表、专项资金拨付审批表等，并经相关负责领导审核后再拨付资金。专项资金专款专用，未发现截留、挪用、挤占专项资金的情况。</w:t>
      </w:r>
    </w:p>
    <w:p>
      <w:pPr>
        <w:spacing w:line="360" w:lineRule="auto"/>
        <w:ind w:firstLine="700"/>
        <w:rPr>
          <w:rFonts w:ascii="宋体" w:hAnsi="宋体"/>
          <w:color w:val="auto"/>
          <w:sz w:val="32"/>
          <w:szCs w:val="32"/>
        </w:rPr>
      </w:pPr>
      <w:r>
        <w:rPr>
          <w:rFonts w:hint="eastAsia" w:ascii="宋体" w:hAnsi="宋体"/>
          <w:b/>
          <w:color w:val="auto"/>
          <w:sz w:val="32"/>
          <w:szCs w:val="32"/>
        </w:rPr>
        <w:t>（二）项目实施情况分析</w:t>
      </w:r>
    </w:p>
    <w:p>
      <w:pPr>
        <w:spacing w:line="360" w:lineRule="auto"/>
        <w:ind w:firstLine="700"/>
        <w:jc w:val="left"/>
        <w:rPr>
          <w:rFonts w:ascii="宋体" w:hAnsi="宋体"/>
          <w:color w:val="auto"/>
          <w:sz w:val="30"/>
          <w:szCs w:val="30"/>
        </w:rPr>
      </w:pPr>
      <w:r>
        <w:rPr>
          <w:rFonts w:hint="eastAsia" w:ascii="宋体" w:hAnsi="宋体"/>
          <w:color w:val="auto"/>
          <w:sz w:val="30"/>
          <w:szCs w:val="30"/>
        </w:rPr>
        <w:t>1、项目组织情况分析</w:t>
      </w:r>
    </w:p>
    <w:p>
      <w:pPr>
        <w:spacing w:line="360" w:lineRule="auto"/>
        <w:ind w:firstLine="700"/>
        <w:rPr>
          <w:rFonts w:ascii="宋体" w:hAnsi="宋体"/>
          <w:color w:val="auto"/>
          <w:sz w:val="30"/>
          <w:szCs w:val="30"/>
        </w:rPr>
      </w:pPr>
      <w:r>
        <w:rPr>
          <w:rFonts w:hint="eastAsia" w:ascii="宋体" w:hAnsi="宋体"/>
          <w:color w:val="auto"/>
          <w:sz w:val="30"/>
          <w:szCs w:val="30"/>
        </w:rPr>
        <w:t>为了加强对项目实施，单位确定各部门负责人、专职干部与相关部门汇报、沟通和衔接，争取更多资金，切实对项目实行跟踪式服务，从项目的联系洽谈、项目跟进、资金投入等环节实行全程专人负责，确保项目落地投产。</w:t>
      </w:r>
    </w:p>
    <w:p>
      <w:pPr>
        <w:spacing w:line="360" w:lineRule="auto"/>
        <w:ind w:firstLine="700"/>
        <w:jc w:val="left"/>
        <w:rPr>
          <w:rFonts w:ascii="宋体" w:hAnsi="宋体"/>
          <w:color w:val="auto"/>
          <w:sz w:val="30"/>
          <w:szCs w:val="30"/>
        </w:rPr>
      </w:pPr>
      <w:r>
        <w:rPr>
          <w:rFonts w:hint="eastAsia" w:ascii="宋体" w:hAnsi="宋体"/>
          <w:color w:val="auto"/>
          <w:sz w:val="30"/>
          <w:szCs w:val="30"/>
        </w:rPr>
        <w:t>2、项目管理情况分析</w:t>
      </w:r>
    </w:p>
    <w:p>
      <w:pPr>
        <w:spacing w:line="360" w:lineRule="auto"/>
        <w:ind w:firstLine="700"/>
        <w:rPr>
          <w:rFonts w:hint="eastAsia" w:ascii="宋体" w:hAnsi="宋体"/>
          <w:color w:val="auto"/>
          <w:sz w:val="30"/>
          <w:szCs w:val="30"/>
        </w:rPr>
      </w:pPr>
      <w:r>
        <w:rPr>
          <w:rFonts w:hint="eastAsia" w:ascii="宋体" w:hAnsi="宋体"/>
          <w:color w:val="auto"/>
          <w:sz w:val="30"/>
          <w:szCs w:val="30"/>
        </w:rPr>
        <w:t>为规范、合理、安全、有效使用专项资金，我单位制定了《财务管理制度》、《专项资金管理办法》等相关制度，专项资金的管理和使用，遵循公开、公平、公正和统筹兼顾、突出重点、讲求效益的原则，确保专项资金使用的规范、安全和高效。为规范项目建设管理，我单位切实对项目实行跟踪式服务，从项目资金的下拨、项目跟进、资金投入等环节设置专门科室负责监督和管理，确保项目的实施和建设。</w:t>
      </w:r>
    </w:p>
    <w:p>
      <w:pPr>
        <w:spacing w:line="360" w:lineRule="auto"/>
        <w:ind w:firstLine="642" w:firstLineChars="200"/>
        <w:jc w:val="left"/>
        <w:rPr>
          <w:rFonts w:hint="eastAsia" w:ascii="宋体" w:hAnsi="宋体"/>
          <w:color w:val="auto"/>
          <w:sz w:val="30"/>
          <w:szCs w:val="30"/>
        </w:rPr>
      </w:pPr>
      <w:r>
        <w:rPr>
          <w:rFonts w:ascii="宋体" w:hAnsi="宋体"/>
          <w:b/>
          <w:color w:val="auto"/>
          <w:sz w:val="32"/>
          <w:szCs w:val="32"/>
        </w:rPr>
        <w:t>（三）</w:t>
      </w:r>
      <w:r>
        <w:rPr>
          <w:rFonts w:hint="eastAsia" w:ascii="宋体" w:hAnsi="宋体"/>
          <w:b/>
          <w:color w:val="auto"/>
          <w:sz w:val="32"/>
          <w:szCs w:val="32"/>
        </w:rPr>
        <w:t>项目绩效情况分析</w:t>
      </w:r>
    </w:p>
    <w:p>
      <w:pPr>
        <w:adjustRightInd w:val="0"/>
        <w:snapToGrid w:val="0"/>
        <w:spacing w:line="360" w:lineRule="auto"/>
        <w:ind w:firstLine="600" w:firstLineChars="200"/>
        <w:rPr>
          <w:rFonts w:hint="eastAsia" w:ascii="宋体" w:hAnsi="宋体" w:cs="宋体"/>
          <w:color w:val="auto"/>
          <w:sz w:val="30"/>
          <w:szCs w:val="30"/>
        </w:rPr>
      </w:pPr>
      <w:r>
        <w:rPr>
          <w:rFonts w:hint="eastAsia" w:ascii="宋体" w:hAnsi="宋体" w:cs="宋体"/>
          <w:color w:val="auto"/>
          <w:sz w:val="30"/>
          <w:szCs w:val="30"/>
        </w:rPr>
        <w:t>一是白蚁防治工作持续开展。完成白蚁防治业务受理面积97.6万㎡，回访复查面积540万㎡，预防面积202万㎡，树木灭治1927棵，房屋灭治面积1604㎡，白蚁防治回访率98%。二是加强制度管理，提高服务效率。为全面推进白蚁防治服务行业健康发展，按标准化建设要求，做到以规范促发展，以质量谋生存。不断优化窗口服务，简化办事流程，认真贯彻落实“一件事一次办”要求，实现了便民利民的目的。三是强化施工安全管理。对施工、车辆、药库和质量管理制度进行了完善，并责任到人，做到了安全生产零事故、防治技术零失误、优质服务零投诉的目标。四是完善档案管理，提高档案质量，完善了各类基础台账记录，做到资料完整并及时归档入库，归档率100%。</w:t>
      </w:r>
    </w:p>
    <w:p>
      <w:pPr>
        <w:spacing w:line="360" w:lineRule="auto"/>
        <w:ind w:firstLine="640"/>
        <w:jc w:val="left"/>
        <w:rPr>
          <w:rFonts w:ascii="宋体" w:hAnsi="宋体"/>
          <w:color w:val="auto"/>
          <w:sz w:val="36"/>
          <w:szCs w:val="36"/>
        </w:rPr>
      </w:pPr>
      <w:r>
        <w:rPr>
          <w:rFonts w:hint="eastAsia" w:ascii="宋体" w:hAnsi="宋体"/>
          <w:b/>
          <w:color w:val="auto"/>
          <w:sz w:val="36"/>
          <w:szCs w:val="36"/>
        </w:rPr>
        <w:t>四、综合评价情况及评价结论（附相关评分表）</w:t>
      </w:r>
    </w:p>
    <w:p>
      <w:pPr>
        <w:spacing w:line="360" w:lineRule="auto"/>
        <w:ind w:firstLine="640"/>
        <w:rPr>
          <w:rFonts w:ascii="宋体" w:hAnsi="宋体"/>
          <w:color w:val="auto"/>
          <w:sz w:val="30"/>
          <w:szCs w:val="30"/>
        </w:rPr>
      </w:pPr>
      <w:r>
        <w:rPr>
          <w:rFonts w:hint="eastAsia" w:ascii="宋体" w:hAnsi="宋体"/>
          <w:color w:val="auto"/>
          <w:sz w:val="30"/>
          <w:szCs w:val="30"/>
        </w:rPr>
        <w:t>评价组根据指标评分表结合项目特点，设定绩效目标，对收集的资料进行整理、统计、分析、汇总并经反复论证，我们以“项目决策、项目管理、项目产出、项目效益”为一级指标进行了绩效分析，评价综合得分为</w:t>
      </w:r>
      <w:r>
        <w:rPr>
          <w:rFonts w:ascii="宋体" w:hAnsi="宋体"/>
          <w:color w:val="auto"/>
          <w:sz w:val="30"/>
          <w:szCs w:val="30"/>
        </w:rPr>
        <w:t>98.00</w:t>
      </w:r>
      <w:r>
        <w:rPr>
          <w:rFonts w:hint="eastAsia" w:ascii="宋体" w:hAnsi="宋体"/>
          <w:color w:val="auto"/>
          <w:sz w:val="30"/>
          <w:szCs w:val="30"/>
        </w:rPr>
        <w:t>分，评价等级为“优”。</w:t>
      </w:r>
    </w:p>
    <w:p>
      <w:pPr>
        <w:spacing w:line="360" w:lineRule="auto"/>
        <w:ind w:firstLine="640"/>
        <w:jc w:val="left"/>
        <w:rPr>
          <w:rFonts w:ascii="宋体" w:hAnsi="宋体"/>
          <w:color w:val="auto"/>
          <w:sz w:val="36"/>
          <w:szCs w:val="36"/>
        </w:rPr>
      </w:pPr>
      <w:r>
        <w:rPr>
          <w:rFonts w:hint="eastAsia" w:ascii="宋体" w:hAnsi="宋体"/>
          <w:b/>
          <w:color w:val="auto"/>
          <w:sz w:val="36"/>
          <w:szCs w:val="36"/>
        </w:rPr>
        <w:t>五、主要经验及做法、建议</w:t>
      </w:r>
    </w:p>
    <w:p>
      <w:pPr>
        <w:spacing w:line="360" w:lineRule="auto"/>
        <w:ind w:firstLine="700"/>
        <w:rPr>
          <w:rFonts w:hint="eastAsia" w:ascii="宋体" w:hAnsi="宋体"/>
          <w:b/>
          <w:color w:val="auto"/>
          <w:sz w:val="32"/>
          <w:szCs w:val="32"/>
        </w:rPr>
      </w:pPr>
      <w:r>
        <w:rPr>
          <w:rFonts w:hint="eastAsia" w:ascii="宋体" w:hAnsi="宋体"/>
          <w:b/>
          <w:color w:val="auto"/>
          <w:sz w:val="32"/>
          <w:szCs w:val="32"/>
        </w:rPr>
        <w:t>（一）主要经验及做法</w:t>
      </w:r>
    </w:p>
    <w:p>
      <w:pPr>
        <w:spacing w:line="360" w:lineRule="auto"/>
        <w:ind w:firstLine="640"/>
        <w:rPr>
          <w:rFonts w:ascii="宋体" w:hAnsi="宋体"/>
          <w:color w:val="auto"/>
          <w:sz w:val="30"/>
          <w:szCs w:val="30"/>
        </w:rPr>
      </w:pPr>
      <w:r>
        <w:rPr>
          <w:rFonts w:hint="eastAsia" w:ascii="宋体" w:hAnsi="宋体"/>
          <w:color w:val="auto"/>
          <w:sz w:val="30"/>
          <w:szCs w:val="30"/>
        </w:rPr>
        <w:t>坚持目标导向，认真开展绩效自评。每年预算执行结束后，根据年度总体工作进展情况，对我单位整体收支情况进行认真分析，开展整体支出绩效自评和项目支出绩效自评，已实现整体支出绩效和项目支出绩效自评全覆盖。自评结束后，对各项目绩效自评情况及时进行通报，形成创先争优的良好氛围，及时总结管理经验，进一步提升预算绩效管理水平。</w:t>
      </w:r>
    </w:p>
    <w:p>
      <w:pPr>
        <w:spacing w:line="360" w:lineRule="auto"/>
        <w:ind w:firstLine="620"/>
        <w:jc w:val="left"/>
        <w:rPr>
          <w:rFonts w:hint="eastAsia" w:ascii="宋体" w:hAnsi="宋体"/>
          <w:b/>
          <w:color w:val="auto"/>
          <w:sz w:val="32"/>
          <w:szCs w:val="32"/>
        </w:rPr>
      </w:pPr>
      <w:r>
        <w:rPr>
          <w:rFonts w:hint="eastAsia" w:ascii="宋体" w:hAnsi="宋体"/>
          <w:b/>
          <w:color w:val="auto"/>
          <w:sz w:val="32"/>
          <w:szCs w:val="32"/>
        </w:rPr>
        <w:t>（</w:t>
      </w:r>
      <w:r>
        <w:rPr>
          <w:rFonts w:ascii="宋体" w:hAnsi="宋体"/>
          <w:b/>
          <w:color w:val="auto"/>
          <w:sz w:val="32"/>
          <w:szCs w:val="32"/>
        </w:rPr>
        <w:t>二</w:t>
      </w:r>
      <w:r>
        <w:rPr>
          <w:rFonts w:hint="eastAsia" w:ascii="宋体" w:hAnsi="宋体"/>
          <w:b/>
          <w:color w:val="auto"/>
          <w:sz w:val="32"/>
          <w:szCs w:val="32"/>
        </w:rPr>
        <w:t>）相关建议</w:t>
      </w:r>
    </w:p>
    <w:p>
      <w:pPr>
        <w:spacing w:line="360" w:lineRule="auto"/>
        <w:ind w:firstLine="620"/>
        <w:rPr>
          <w:rFonts w:ascii="宋体" w:hAnsi="宋体"/>
          <w:color w:val="auto"/>
          <w:sz w:val="30"/>
          <w:szCs w:val="30"/>
        </w:rPr>
      </w:pPr>
      <w:r>
        <w:rPr>
          <w:rFonts w:hint="eastAsia" w:ascii="宋体" w:hAnsi="宋体"/>
          <w:color w:val="auto"/>
          <w:sz w:val="30"/>
          <w:szCs w:val="30"/>
        </w:rPr>
        <w:t>1、将绩效管理与绩效评价两者的目标体系充分融合。在充分考虑内外部风险的基础上，围绕预算绩效管理重点和关键点，重塑科学性、规范性、操作性、可靠性强的绩效目标体系，并在目标体系建设过程中有效兼顾定性指标和定量指标、财务指标与非财务指标，对绩效指标进行针对性细化，确保指标体系能够保障实现行政、事业的社会公共服务职能和公益属性。如制定绩效目标的编报流程、职责分工、绩效目标设定范围和标准，涉及采购的符合政府采购要求的编报执行制度，采购资产、实施项目预算进度和达到何种绩效目标等均需明确相应要求，保证预算执行有章可循。</w:t>
      </w:r>
    </w:p>
    <w:p>
      <w:pPr>
        <w:spacing w:line="360" w:lineRule="auto"/>
        <w:ind w:firstLine="620"/>
        <w:rPr>
          <w:rFonts w:ascii="宋体" w:hAnsi="宋体"/>
          <w:color w:val="auto"/>
          <w:sz w:val="30"/>
          <w:szCs w:val="30"/>
        </w:rPr>
      </w:pPr>
      <w:r>
        <w:rPr>
          <w:rFonts w:hint="eastAsia" w:ascii="宋体" w:hAnsi="宋体"/>
          <w:color w:val="auto"/>
          <w:sz w:val="30"/>
          <w:szCs w:val="30"/>
        </w:rPr>
        <w:t>2、引导单位将预算编制、执行过程中的绩效管理信息进行公开，使整个预算绩效目标从编报、申请到执行、反馈的全过程受到公众的监督管理；倒逼部门进一步增强责任意识、规矩意识，真正使“花钱必问效、无效必问责”落到实处；强化绩效管理意识，确保绩效管理的有效实施，实现以公开促规范、推改革、提效能的目标。</w:t>
      </w:r>
    </w:p>
    <w:p>
      <w:pPr>
        <w:spacing w:line="360" w:lineRule="auto"/>
        <w:ind w:firstLine="640"/>
        <w:jc w:val="left"/>
        <w:rPr>
          <w:rFonts w:hint="eastAsia" w:ascii="宋体" w:hAnsi="宋体"/>
          <w:b/>
          <w:color w:val="auto"/>
          <w:sz w:val="36"/>
          <w:szCs w:val="36"/>
        </w:rPr>
      </w:pPr>
      <w:r>
        <w:rPr>
          <w:rFonts w:hint="eastAsia" w:ascii="宋体" w:hAnsi="宋体"/>
          <w:b/>
          <w:color w:val="auto"/>
          <w:sz w:val="36"/>
          <w:szCs w:val="36"/>
        </w:rPr>
        <w:t>六、其他需要说明的问题</w:t>
      </w:r>
    </w:p>
    <w:p>
      <w:pPr>
        <w:spacing w:line="360" w:lineRule="auto"/>
        <w:ind w:firstLine="720"/>
        <w:rPr>
          <w:rFonts w:hint="eastAsia" w:ascii="宋体" w:hAnsi="宋体"/>
          <w:color w:val="auto"/>
          <w:sz w:val="30"/>
          <w:szCs w:val="30"/>
        </w:rPr>
      </w:pPr>
      <w:r>
        <w:rPr>
          <w:rFonts w:hint="eastAsia" w:ascii="宋体" w:hAnsi="宋体"/>
          <w:color w:val="auto"/>
          <w:sz w:val="30"/>
          <w:szCs w:val="30"/>
        </w:rPr>
        <w:t>无。</w:t>
      </w:r>
    </w:p>
    <w:p>
      <w:pPr>
        <w:spacing w:line="360" w:lineRule="auto"/>
        <w:ind w:firstLine="720"/>
        <w:rPr>
          <w:rFonts w:hint="eastAsia" w:ascii="宋体" w:hAnsi="宋体"/>
          <w:color w:val="auto"/>
          <w:sz w:val="30"/>
          <w:szCs w:val="30"/>
        </w:rPr>
      </w:pPr>
    </w:p>
    <w:p>
      <w:pPr>
        <w:spacing w:line="360" w:lineRule="auto"/>
        <w:ind w:firstLine="720"/>
        <w:rPr>
          <w:rFonts w:hint="eastAsia" w:ascii="宋体" w:hAnsi="宋体"/>
          <w:color w:val="auto"/>
          <w:sz w:val="30"/>
          <w:szCs w:val="30"/>
        </w:rPr>
      </w:pPr>
    </w:p>
    <w:p>
      <w:pPr>
        <w:spacing w:line="360" w:lineRule="auto"/>
        <w:ind w:firstLine="720"/>
        <w:rPr>
          <w:rFonts w:hint="eastAsia" w:ascii="宋体" w:hAnsi="宋体"/>
          <w:color w:val="auto"/>
          <w:sz w:val="30"/>
          <w:szCs w:val="30"/>
        </w:rPr>
      </w:pPr>
    </w:p>
    <w:p>
      <w:pPr>
        <w:spacing w:line="360" w:lineRule="auto"/>
        <w:ind w:firstLine="720"/>
        <w:rPr>
          <w:rFonts w:hint="eastAsia" w:ascii="宋体" w:hAnsi="宋体"/>
          <w:color w:val="auto"/>
          <w:sz w:val="30"/>
          <w:szCs w:val="30"/>
        </w:rPr>
      </w:pPr>
    </w:p>
    <w:p>
      <w:pPr>
        <w:spacing w:line="360" w:lineRule="auto"/>
        <w:ind w:firstLine="720"/>
        <w:rPr>
          <w:rFonts w:hint="eastAsia" w:ascii="宋体" w:hAnsi="宋体"/>
          <w:color w:val="auto"/>
          <w:sz w:val="30"/>
          <w:szCs w:val="30"/>
        </w:rPr>
      </w:pPr>
    </w:p>
    <w:p>
      <w:pPr>
        <w:spacing w:line="360" w:lineRule="auto"/>
        <w:ind w:firstLine="720"/>
        <w:rPr>
          <w:rFonts w:hint="eastAsia" w:ascii="宋体" w:hAnsi="宋体"/>
          <w:color w:val="auto"/>
          <w:sz w:val="30"/>
          <w:szCs w:val="30"/>
        </w:rPr>
      </w:pPr>
    </w:p>
    <w:p>
      <w:pPr>
        <w:spacing w:line="360" w:lineRule="auto"/>
        <w:ind w:firstLine="720"/>
        <w:rPr>
          <w:rFonts w:hint="eastAsia" w:ascii="宋体" w:hAnsi="宋体"/>
          <w:color w:val="auto"/>
          <w:sz w:val="30"/>
          <w:szCs w:val="30"/>
        </w:rPr>
      </w:pPr>
    </w:p>
    <w:p>
      <w:pPr>
        <w:spacing w:line="360" w:lineRule="auto"/>
        <w:ind w:firstLine="720"/>
        <w:rPr>
          <w:rFonts w:hint="eastAsia" w:ascii="宋体" w:hAnsi="宋体"/>
          <w:color w:val="auto"/>
          <w:sz w:val="30"/>
          <w:szCs w:val="30"/>
        </w:rPr>
      </w:pPr>
    </w:p>
    <w:p>
      <w:pPr>
        <w:spacing w:line="360" w:lineRule="auto"/>
        <w:ind w:firstLine="720"/>
        <w:rPr>
          <w:rFonts w:hint="eastAsia" w:ascii="宋体" w:hAnsi="宋体"/>
          <w:color w:val="auto"/>
          <w:sz w:val="30"/>
          <w:szCs w:val="30"/>
        </w:rPr>
      </w:pPr>
    </w:p>
    <w:p>
      <w:pPr>
        <w:spacing w:line="360" w:lineRule="auto"/>
        <w:ind w:firstLine="720"/>
        <w:rPr>
          <w:rFonts w:hint="eastAsia" w:ascii="宋体" w:hAnsi="宋体"/>
          <w:color w:val="auto"/>
          <w:sz w:val="30"/>
          <w:szCs w:val="30"/>
        </w:rPr>
      </w:pPr>
    </w:p>
    <w:p>
      <w:pPr>
        <w:spacing w:line="360" w:lineRule="auto"/>
        <w:ind w:firstLine="720"/>
        <w:rPr>
          <w:rFonts w:hint="eastAsia" w:ascii="宋体" w:hAnsi="宋体"/>
          <w:color w:val="auto"/>
          <w:sz w:val="30"/>
          <w:szCs w:val="30"/>
        </w:rPr>
      </w:pPr>
    </w:p>
    <w:p>
      <w:pPr>
        <w:spacing w:line="360" w:lineRule="auto"/>
        <w:ind w:firstLine="720"/>
        <w:rPr>
          <w:rFonts w:hint="eastAsia" w:ascii="宋体" w:hAnsi="宋体"/>
          <w:color w:val="auto"/>
          <w:sz w:val="30"/>
          <w:szCs w:val="30"/>
        </w:rPr>
      </w:pPr>
    </w:p>
    <w:p>
      <w:pPr>
        <w:spacing w:line="560" w:lineRule="exact"/>
        <w:rPr>
          <w:rFonts w:ascii="黑体" w:hAnsi="宋体" w:eastAsia="黑体" w:cs="宋体"/>
          <w:color w:val="auto"/>
          <w:sz w:val="32"/>
          <w:szCs w:val="32"/>
        </w:rPr>
      </w:pPr>
      <w:r>
        <w:rPr>
          <w:rFonts w:hint="eastAsia" w:ascii="黑体" w:hAnsi="宋体" w:eastAsia="黑体" w:cs="宋体"/>
          <w:color w:val="auto"/>
          <w:sz w:val="32"/>
          <w:szCs w:val="32"/>
        </w:rPr>
        <w:t>附件</w:t>
      </w:r>
      <w:r>
        <w:rPr>
          <w:rFonts w:ascii="黑体" w:hAnsi="宋体" w:eastAsia="黑体" w:cs="宋体"/>
          <w:color w:val="auto"/>
          <w:sz w:val="32"/>
          <w:szCs w:val="32"/>
        </w:rPr>
        <w:t>1</w:t>
      </w:r>
    </w:p>
    <w:p>
      <w:pPr>
        <w:spacing w:line="560" w:lineRule="exact"/>
        <w:ind w:firstLine="3200" w:firstLineChars="1000"/>
        <w:rPr>
          <w:rFonts w:ascii="黑体" w:hAnsi="宋体" w:eastAsia="黑体" w:cs="宋体"/>
          <w:color w:val="auto"/>
          <w:sz w:val="32"/>
          <w:szCs w:val="32"/>
        </w:rPr>
      </w:pPr>
      <w:r>
        <w:rPr>
          <w:rFonts w:hint="eastAsia" w:ascii="黑体" w:hAnsi="宋体" w:eastAsia="黑体" w:cs="宋体"/>
          <w:color w:val="auto"/>
          <w:sz w:val="32"/>
          <w:szCs w:val="32"/>
        </w:rPr>
        <w:t>专项资金绩效目标自评表</w:t>
      </w:r>
    </w:p>
    <w:tbl>
      <w:tblPr>
        <w:tblStyle w:val="2"/>
        <w:tblW w:w="9569" w:type="dxa"/>
        <w:tblInd w:w="0" w:type="dxa"/>
        <w:tblLayout w:type="autofit"/>
        <w:tblCellMar>
          <w:top w:w="0" w:type="dxa"/>
          <w:left w:w="108" w:type="dxa"/>
          <w:bottom w:w="0" w:type="dxa"/>
          <w:right w:w="108" w:type="dxa"/>
        </w:tblCellMar>
      </w:tblPr>
      <w:tblGrid>
        <w:gridCol w:w="795"/>
        <w:gridCol w:w="1561"/>
        <w:gridCol w:w="1242"/>
        <w:gridCol w:w="1196"/>
        <w:gridCol w:w="1315"/>
        <w:gridCol w:w="1249"/>
        <w:gridCol w:w="205"/>
        <w:gridCol w:w="871"/>
        <w:gridCol w:w="1135"/>
      </w:tblGrid>
      <w:tr>
        <w:tblPrEx>
          <w:tblCellMar>
            <w:top w:w="0" w:type="dxa"/>
            <w:left w:w="108" w:type="dxa"/>
            <w:bottom w:w="0" w:type="dxa"/>
            <w:right w:w="108" w:type="dxa"/>
          </w:tblCellMar>
        </w:tblPrEx>
        <w:trPr>
          <w:trHeight w:val="742" w:hRule="atLeast"/>
        </w:trPr>
        <w:tc>
          <w:tcPr>
            <w:tcW w:w="3598" w:type="dxa"/>
            <w:gridSpan w:val="3"/>
            <w:tcBorders>
              <w:top w:val="single" w:color="auto" w:sz="8" w:space="0"/>
              <w:left w:val="single" w:color="auto" w:sz="8" w:space="0"/>
              <w:bottom w:val="single" w:color="000000"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专项资金名称</w:t>
            </w:r>
          </w:p>
        </w:tc>
        <w:tc>
          <w:tcPr>
            <w:tcW w:w="2511" w:type="dxa"/>
            <w:gridSpan w:val="2"/>
            <w:tcBorders>
              <w:top w:val="single" w:color="auto" w:sz="8" w:space="0"/>
              <w:left w:val="single" w:color="auto" w:sz="8" w:space="0"/>
              <w:bottom w:val="single" w:color="000000" w:sz="8" w:space="0"/>
              <w:right w:val="single" w:color="000000" w:sz="8" w:space="0"/>
            </w:tcBorders>
            <w:noWrap/>
            <w:vAlign w:val="center"/>
          </w:tcPr>
          <w:p>
            <w:pPr>
              <w:widowControl/>
              <w:rPr>
                <w:rFonts w:hint="eastAsia" w:ascii="仿宋" w:hAnsi="仿宋" w:eastAsia="仿宋" w:cs="仿宋"/>
                <w:color w:val="auto"/>
                <w:szCs w:val="21"/>
              </w:rPr>
            </w:pPr>
            <w:r>
              <w:rPr>
                <w:rFonts w:hint="eastAsia" w:ascii="仿宋" w:hAnsi="仿宋" w:eastAsia="仿宋" w:cs="仿宋"/>
                <w:color w:val="auto"/>
                <w:szCs w:val="21"/>
              </w:rPr>
              <w:t>　白蚁防治专项经费</w:t>
            </w:r>
          </w:p>
        </w:tc>
        <w:tc>
          <w:tcPr>
            <w:tcW w:w="1249" w:type="dxa"/>
            <w:tcBorders>
              <w:top w:val="single" w:color="auto" w:sz="8" w:space="0"/>
              <w:left w:val="nil"/>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负责人</w:t>
            </w:r>
          </w:p>
          <w:p>
            <w:pPr>
              <w:jc w:val="center"/>
              <w:rPr>
                <w:rFonts w:hint="eastAsia" w:ascii="仿宋" w:hAnsi="仿宋" w:eastAsia="仿宋" w:cs="仿宋"/>
                <w:color w:val="auto"/>
                <w:szCs w:val="21"/>
              </w:rPr>
            </w:pPr>
            <w:r>
              <w:rPr>
                <w:rFonts w:hint="eastAsia" w:ascii="仿宋" w:hAnsi="仿宋" w:eastAsia="仿宋" w:cs="仿宋"/>
                <w:color w:val="auto"/>
                <w:szCs w:val="21"/>
              </w:rPr>
              <w:t>及电话</w:t>
            </w:r>
          </w:p>
        </w:tc>
        <w:tc>
          <w:tcPr>
            <w:tcW w:w="2211" w:type="dxa"/>
            <w:gridSpan w:val="3"/>
            <w:tcBorders>
              <w:top w:val="single" w:color="auto" w:sz="8" w:space="0"/>
              <w:left w:val="single" w:color="auto" w:sz="8" w:space="0"/>
              <w:bottom w:val="single" w:color="000000" w:sz="8" w:space="0"/>
              <w:right w:val="single" w:color="000000" w:sz="8" w:space="0"/>
            </w:tcBorders>
            <w:noWrap w:val="0"/>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w:t>
            </w:r>
          </w:p>
        </w:tc>
      </w:tr>
      <w:tr>
        <w:tblPrEx>
          <w:tblCellMar>
            <w:top w:w="0" w:type="dxa"/>
            <w:left w:w="108" w:type="dxa"/>
            <w:bottom w:w="0" w:type="dxa"/>
            <w:right w:w="108" w:type="dxa"/>
          </w:tblCellMar>
        </w:tblPrEx>
        <w:trPr>
          <w:trHeight w:val="289" w:hRule="atLeast"/>
        </w:trPr>
        <w:tc>
          <w:tcPr>
            <w:tcW w:w="3598" w:type="dxa"/>
            <w:gridSpan w:val="3"/>
            <w:tcBorders>
              <w:top w:val="single" w:color="auto" w:sz="8" w:space="0"/>
              <w:left w:val="single" w:color="auto" w:sz="8" w:space="0"/>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市级主管部门</w:t>
            </w:r>
          </w:p>
        </w:tc>
        <w:tc>
          <w:tcPr>
            <w:tcW w:w="5971" w:type="dxa"/>
            <w:gridSpan w:val="6"/>
            <w:tcBorders>
              <w:top w:val="single" w:color="auto" w:sz="8" w:space="0"/>
              <w:left w:val="nil"/>
              <w:bottom w:val="single" w:color="auto" w:sz="8" w:space="0"/>
              <w:right w:val="single" w:color="000000" w:sz="8" w:space="0"/>
            </w:tcBorders>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怀化市住房和城乡建设局　</w:t>
            </w:r>
          </w:p>
        </w:tc>
      </w:tr>
      <w:tr>
        <w:tblPrEx>
          <w:tblCellMar>
            <w:top w:w="0" w:type="dxa"/>
            <w:left w:w="108" w:type="dxa"/>
            <w:bottom w:w="0" w:type="dxa"/>
            <w:right w:w="108" w:type="dxa"/>
          </w:tblCellMar>
        </w:tblPrEx>
        <w:trPr>
          <w:trHeight w:val="289" w:hRule="atLeast"/>
        </w:trPr>
        <w:tc>
          <w:tcPr>
            <w:tcW w:w="3598" w:type="dxa"/>
            <w:gridSpan w:val="3"/>
            <w:tcBorders>
              <w:top w:val="single" w:color="auto" w:sz="8" w:space="0"/>
              <w:left w:val="single" w:color="auto" w:sz="8" w:space="0"/>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地方主管部门</w:t>
            </w:r>
          </w:p>
        </w:tc>
        <w:tc>
          <w:tcPr>
            <w:tcW w:w="2511"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怀化市住房和城乡建设局　　</w:t>
            </w:r>
          </w:p>
        </w:tc>
        <w:tc>
          <w:tcPr>
            <w:tcW w:w="1249"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实施单位</w:t>
            </w:r>
          </w:p>
        </w:tc>
        <w:tc>
          <w:tcPr>
            <w:tcW w:w="2211" w:type="dxa"/>
            <w:gridSpan w:val="3"/>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怀化市住房保障服务中心</w:t>
            </w:r>
          </w:p>
        </w:tc>
      </w:tr>
      <w:tr>
        <w:tblPrEx>
          <w:tblCellMar>
            <w:top w:w="0" w:type="dxa"/>
            <w:left w:w="108" w:type="dxa"/>
            <w:bottom w:w="0" w:type="dxa"/>
            <w:right w:w="108" w:type="dxa"/>
          </w:tblCellMar>
        </w:tblPrEx>
        <w:trPr>
          <w:trHeight w:val="289" w:hRule="atLeast"/>
        </w:trPr>
        <w:tc>
          <w:tcPr>
            <w:tcW w:w="3598" w:type="dxa"/>
            <w:gridSpan w:val="3"/>
            <w:vMerge w:val="restart"/>
            <w:tcBorders>
              <w:top w:val="single" w:color="auto" w:sz="8" w:space="0"/>
              <w:left w:val="single" w:color="auto" w:sz="8" w:space="0"/>
              <w:bottom w:val="single" w:color="000000" w:sz="8" w:space="0"/>
              <w:right w:val="single" w:color="000000" w:sz="8" w:space="0"/>
            </w:tcBorders>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项目资金（万元）</w:t>
            </w:r>
          </w:p>
        </w:tc>
        <w:tc>
          <w:tcPr>
            <w:tcW w:w="1196"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　</w:t>
            </w:r>
          </w:p>
        </w:tc>
        <w:tc>
          <w:tcPr>
            <w:tcW w:w="1315"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全年预算数（A）</w:t>
            </w:r>
          </w:p>
        </w:tc>
        <w:tc>
          <w:tcPr>
            <w:tcW w:w="1454"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全年执行数（B）</w:t>
            </w:r>
          </w:p>
        </w:tc>
        <w:tc>
          <w:tcPr>
            <w:tcW w:w="2006"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执行率（B／A）</w:t>
            </w:r>
          </w:p>
        </w:tc>
      </w:tr>
      <w:tr>
        <w:tblPrEx>
          <w:tblCellMar>
            <w:top w:w="0" w:type="dxa"/>
            <w:left w:w="108" w:type="dxa"/>
            <w:bottom w:w="0" w:type="dxa"/>
            <w:right w:w="108" w:type="dxa"/>
          </w:tblCellMar>
        </w:tblPrEx>
        <w:trPr>
          <w:trHeight w:val="289" w:hRule="atLeast"/>
        </w:trPr>
        <w:tc>
          <w:tcPr>
            <w:tcW w:w="3598" w:type="dxa"/>
            <w:gridSpan w:val="3"/>
            <w:vMerge w:val="continue"/>
            <w:tcBorders>
              <w:top w:val="single" w:color="auto" w:sz="8" w:space="0"/>
              <w:left w:val="single" w:color="auto" w:sz="8" w:space="0"/>
              <w:bottom w:val="single" w:color="000000" w:sz="8" w:space="0"/>
              <w:right w:val="single" w:color="000000" w:sz="8" w:space="0"/>
            </w:tcBorders>
            <w:noWrap w:val="0"/>
            <w:vAlign w:val="center"/>
          </w:tcPr>
          <w:p>
            <w:pPr>
              <w:widowControl/>
              <w:jc w:val="left"/>
              <w:rPr>
                <w:rFonts w:hint="eastAsia" w:ascii="仿宋" w:hAnsi="仿宋" w:eastAsia="仿宋" w:cs="仿宋"/>
                <w:color w:val="auto"/>
                <w:szCs w:val="21"/>
              </w:rPr>
            </w:pPr>
          </w:p>
        </w:tc>
        <w:tc>
          <w:tcPr>
            <w:tcW w:w="1196"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年度资金总额</w:t>
            </w:r>
          </w:p>
        </w:tc>
        <w:tc>
          <w:tcPr>
            <w:tcW w:w="1315"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163.20</w:t>
            </w:r>
          </w:p>
        </w:tc>
        <w:tc>
          <w:tcPr>
            <w:tcW w:w="1454"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120.44</w:t>
            </w:r>
          </w:p>
        </w:tc>
        <w:tc>
          <w:tcPr>
            <w:tcW w:w="2006"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73.80%</w:t>
            </w:r>
          </w:p>
        </w:tc>
      </w:tr>
      <w:tr>
        <w:tblPrEx>
          <w:tblCellMar>
            <w:top w:w="0" w:type="dxa"/>
            <w:left w:w="108" w:type="dxa"/>
            <w:bottom w:w="0" w:type="dxa"/>
            <w:right w:w="108" w:type="dxa"/>
          </w:tblCellMar>
        </w:tblPrEx>
        <w:trPr>
          <w:trHeight w:val="289" w:hRule="atLeast"/>
        </w:trPr>
        <w:tc>
          <w:tcPr>
            <w:tcW w:w="3598" w:type="dxa"/>
            <w:gridSpan w:val="3"/>
            <w:vMerge w:val="continue"/>
            <w:tcBorders>
              <w:top w:val="single" w:color="auto" w:sz="8" w:space="0"/>
              <w:left w:val="single" w:color="auto" w:sz="8" w:space="0"/>
              <w:bottom w:val="single" w:color="000000" w:sz="8" w:space="0"/>
              <w:right w:val="single" w:color="000000" w:sz="8" w:space="0"/>
            </w:tcBorders>
            <w:noWrap w:val="0"/>
            <w:vAlign w:val="center"/>
          </w:tcPr>
          <w:p>
            <w:pPr>
              <w:widowControl/>
              <w:jc w:val="left"/>
              <w:rPr>
                <w:rFonts w:hint="eastAsia" w:ascii="仿宋" w:hAnsi="仿宋" w:eastAsia="仿宋" w:cs="仿宋"/>
                <w:color w:val="auto"/>
                <w:szCs w:val="21"/>
              </w:rPr>
            </w:pPr>
          </w:p>
        </w:tc>
        <w:tc>
          <w:tcPr>
            <w:tcW w:w="1196"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其中：中央补助</w:t>
            </w:r>
          </w:p>
        </w:tc>
        <w:tc>
          <w:tcPr>
            <w:tcW w:w="1315"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p>
        </w:tc>
        <w:tc>
          <w:tcPr>
            <w:tcW w:w="1454"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p>
        </w:tc>
        <w:tc>
          <w:tcPr>
            <w:tcW w:w="2006"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p>
        </w:tc>
      </w:tr>
      <w:tr>
        <w:tblPrEx>
          <w:tblCellMar>
            <w:top w:w="0" w:type="dxa"/>
            <w:left w:w="108" w:type="dxa"/>
            <w:bottom w:w="0" w:type="dxa"/>
            <w:right w:w="108" w:type="dxa"/>
          </w:tblCellMar>
        </w:tblPrEx>
        <w:trPr>
          <w:trHeight w:val="289" w:hRule="atLeast"/>
        </w:trPr>
        <w:tc>
          <w:tcPr>
            <w:tcW w:w="3598" w:type="dxa"/>
            <w:gridSpan w:val="3"/>
            <w:vMerge w:val="continue"/>
            <w:tcBorders>
              <w:top w:val="single" w:color="auto" w:sz="8" w:space="0"/>
              <w:left w:val="single" w:color="auto" w:sz="8" w:space="0"/>
              <w:bottom w:val="single" w:color="000000" w:sz="8" w:space="0"/>
              <w:right w:val="single" w:color="000000" w:sz="8" w:space="0"/>
            </w:tcBorders>
            <w:noWrap w:val="0"/>
            <w:vAlign w:val="center"/>
          </w:tcPr>
          <w:p>
            <w:pPr>
              <w:widowControl/>
              <w:jc w:val="left"/>
              <w:rPr>
                <w:rFonts w:hint="eastAsia" w:ascii="仿宋" w:hAnsi="仿宋" w:eastAsia="仿宋" w:cs="仿宋"/>
                <w:color w:val="auto"/>
                <w:szCs w:val="21"/>
              </w:rPr>
            </w:pPr>
          </w:p>
        </w:tc>
        <w:tc>
          <w:tcPr>
            <w:tcW w:w="1196" w:type="dxa"/>
            <w:tcBorders>
              <w:top w:val="nil"/>
              <w:left w:val="nil"/>
              <w:bottom w:val="single" w:color="auto" w:sz="8" w:space="0"/>
              <w:right w:val="single" w:color="auto" w:sz="8" w:space="0"/>
            </w:tcBorders>
            <w:noWrap/>
            <w:vAlign w:val="center"/>
          </w:tcPr>
          <w:p>
            <w:pPr>
              <w:widowControl/>
              <w:rPr>
                <w:rFonts w:hint="eastAsia" w:ascii="仿宋" w:hAnsi="仿宋" w:eastAsia="仿宋" w:cs="仿宋"/>
                <w:color w:val="auto"/>
                <w:szCs w:val="21"/>
              </w:rPr>
            </w:pPr>
            <w:r>
              <w:rPr>
                <w:rFonts w:hint="eastAsia" w:ascii="仿宋" w:hAnsi="仿宋" w:eastAsia="仿宋" w:cs="仿宋"/>
                <w:color w:val="auto"/>
                <w:szCs w:val="21"/>
              </w:rPr>
              <w:t xml:space="preserve"> 省级资金</w:t>
            </w:r>
          </w:p>
        </w:tc>
        <w:tc>
          <w:tcPr>
            <w:tcW w:w="1315"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p>
        </w:tc>
        <w:tc>
          <w:tcPr>
            <w:tcW w:w="1454"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p>
        </w:tc>
        <w:tc>
          <w:tcPr>
            <w:tcW w:w="2006"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p>
        </w:tc>
      </w:tr>
      <w:tr>
        <w:tblPrEx>
          <w:tblCellMar>
            <w:top w:w="0" w:type="dxa"/>
            <w:left w:w="108" w:type="dxa"/>
            <w:bottom w:w="0" w:type="dxa"/>
            <w:right w:w="108" w:type="dxa"/>
          </w:tblCellMar>
        </w:tblPrEx>
        <w:trPr>
          <w:trHeight w:val="289" w:hRule="atLeast"/>
        </w:trPr>
        <w:tc>
          <w:tcPr>
            <w:tcW w:w="3598" w:type="dxa"/>
            <w:gridSpan w:val="3"/>
            <w:vMerge w:val="continue"/>
            <w:tcBorders>
              <w:top w:val="single" w:color="auto" w:sz="8" w:space="0"/>
              <w:left w:val="single" w:color="auto" w:sz="8" w:space="0"/>
              <w:bottom w:val="single" w:color="000000" w:sz="8" w:space="0"/>
              <w:right w:val="single" w:color="000000" w:sz="8" w:space="0"/>
            </w:tcBorders>
            <w:noWrap w:val="0"/>
            <w:vAlign w:val="center"/>
          </w:tcPr>
          <w:p>
            <w:pPr>
              <w:widowControl/>
              <w:jc w:val="left"/>
              <w:rPr>
                <w:rFonts w:hint="eastAsia" w:ascii="仿宋" w:hAnsi="仿宋" w:eastAsia="仿宋" w:cs="仿宋"/>
                <w:color w:val="auto"/>
                <w:szCs w:val="21"/>
              </w:rPr>
            </w:pPr>
          </w:p>
        </w:tc>
        <w:tc>
          <w:tcPr>
            <w:tcW w:w="1196"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 xml:space="preserve"> 市级资金</w:t>
            </w:r>
          </w:p>
        </w:tc>
        <w:tc>
          <w:tcPr>
            <w:tcW w:w="1315"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163.20</w:t>
            </w:r>
          </w:p>
        </w:tc>
        <w:tc>
          <w:tcPr>
            <w:tcW w:w="1454"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120.44</w:t>
            </w:r>
          </w:p>
        </w:tc>
        <w:tc>
          <w:tcPr>
            <w:tcW w:w="2006"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73.80%</w:t>
            </w:r>
          </w:p>
        </w:tc>
      </w:tr>
      <w:tr>
        <w:tblPrEx>
          <w:tblCellMar>
            <w:top w:w="0" w:type="dxa"/>
            <w:left w:w="108" w:type="dxa"/>
            <w:bottom w:w="0" w:type="dxa"/>
            <w:right w:w="108" w:type="dxa"/>
          </w:tblCellMar>
        </w:tblPrEx>
        <w:trPr>
          <w:trHeight w:val="289" w:hRule="atLeast"/>
        </w:trPr>
        <w:tc>
          <w:tcPr>
            <w:tcW w:w="3598" w:type="dxa"/>
            <w:gridSpan w:val="3"/>
            <w:vMerge w:val="continue"/>
            <w:tcBorders>
              <w:top w:val="single" w:color="auto" w:sz="8" w:space="0"/>
              <w:left w:val="single" w:color="auto" w:sz="8" w:space="0"/>
              <w:bottom w:val="single" w:color="000000" w:sz="8" w:space="0"/>
              <w:right w:val="single" w:color="000000" w:sz="8" w:space="0"/>
            </w:tcBorders>
            <w:noWrap w:val="0"/>
            <w:vAlign w:val="center"/>
          </w:tcPr>
          <w:p>
            <w:pPr>
              <w:widowControl/>
              <w:jc w:val="left"/>
              <w:rPr>
                <w:rFonts w:hint="eastAsia" w:ascii="仿宋" w:hAnsi="仿宋" w:eastAsia="仿宋" w:cs="仿宋"/>
                <w:color w:val="auto"/>
                <w:szCs w:val="21"/>
              </w:rPr>
            </w:pPr>
          </w:p>
        </w:tc>
        <w:tc>
          <w:tcPr>
            <w:tcW w:w="1196"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 xml:space="preserve"> 其他资金</w:t>
            </w:r>
          </w:p>
        </w:tc>
        <w:tc>
          <w:tcPr>
            <w:tcW w:w="1315"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p>
        </w:tc>
        <w:tc>
          <w:tcPr>
            <w:tcW w:w="1454"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p>
        </w:tc>
        <w:tc>
          <w:tcPr>
            <w:tcW w:w="2006"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　</w:t>
            </w:r>
          </w:p>
        </w:tc>
      </w:tr>
      <w:tr>
        <w:tblPrEx>
          <w:tblCellMar>
            <w:top w:w="0" w:type="dxa"/>
            <w:left w:w="108" w:type="dxa"/>
            <w:bottom w:w="0" w:type="dxa"/>
            <w:right w:w="108" w:type="dxa"/>
          </w:tblCellMar>
        </w:tblPrEx>
        <w:trPr>
          <w:trHeight w:val="289" w:hRule="atLeast"/>
        </w:trPr>
        <w:tc>
          <w:tcPr>
            <w:tcW w:w="795" w:type="dxa"/>
            <w:vMerge w:val="restart"/>
            <w:tcBorders>
              <w:top w:val="nil"/>
              <w:left w:val="single" w:color="auto" w:sz="8" w:space="0"/>
              <w:bottom w:val="single" w:color="000000" w:sz="8" w:space="0"/>
              <w:right w:val="single" w:color="auto" w:sz="8" w:space="0"/>
            </w:tcBorders>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年度总体目标</w:t>
            </w:r>
          </w:p>
        </w:tc>
        <w:tc>
          <w:tcPr>
            <w:tcW w:w="5314" w:type="dxa"/>
            <w:gridSpan w:val="4"/>
            <w:tcBorders>
              <w:top w:val="single" w:color="auto" w:sz="8" w:space="0"/>
              <w:left w:val="nil"/>
              <w:bottom w:val="single" w:color="auto" w:sz="8" w:space="0"/>
              <w:right w:val="single" w:color="000000" w:sz="8" w:space="0"/>
            </w:tcBorders>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年初设定目标　</w:t>
            </w:r>
          </w:p>
        </w:tc>
        <w:tc>
          <w:tcPr>
            <w:tcW w:w="3460" w:type="dxa"/>
            <w:gridSpan w:val="4"/>
            <w:tcBorders>
              <w:top w:val="single" w:color="auto" w:sz="8" w:space="0"/>
              <w:left w:val="nil"/>
              <w:bottom w:val="single" w:color="auto" w:sz="8" w:space="0"/>
              <w:right w:val="single" w:color="000000" w:sz="8" w:space="0"/>
            </w:tcBorders>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全年实际完成情况</w:t>
            </w:r>
          </w:p>
        </w:tc>
      </w:tr>
      <w:tr>
        <w:tblPrEx>
          <w:tblCellMar>
            <w:top w:w="0" w:type="dxa"/>
            <w:left w:w="108" w:type="dxa"/>
            <w:bottom w:w="0" w:type="dxa"/>
            <w:right w:w="108" w:type="dxa"/>
          </w:tblCellMar>
        </w:tblPrEx>
        <w:trPr>
          <w:trHeight w:val="289" w:hRule="atLeast"/>
        </w:trPr>
        <w:tc>
          <w:tcPr>
            <w:tcW w:w="795"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hint="eastAsia" w:ascii="仿宋" w:hAnsi="仿宋" w:eastAsia="仿宋" w:cs="仿宋"/>
                <w:color w:val="auto"/>
                <w:szCs w:val="21"/>
              </w:rPr>
            </w:pPr>
          </w:p>
        </w:tc>
        <w:tc>
          <w:tcPr>
            <w:tcW w:w="5314" w:type="dxa"/>
            <w:gridSpan w:val="4"/>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　1、加强理论知识学习，认真研究白蚁防治工作开展情况，科学部署白蚁防治施工方案，高质量高效率地完成白蚁防治各项施工任务；2、加强制度管理，提高服务效率，全面推进白蚁防治服务行业健康发展，按标准化建设要求，做到以规范促发展，以质量谋生存。优化窗口服务，简化办事流程，确保办事群众跑一次就能把事情办完；3、优化施工、车辆、药库和质量管理制度，责任到人，做到安全生产零事故，防治技术零事故，优质服务零投诉。</w:t>
            </w:r>
          </w:p>
        </w:tc>
        <w:tc>
          <w:tcPr>
            <w:tcW w:w="3460" w:type="dxa"/>
            <w:gridSpan w:val="4"/>
            <w:tcBorders>
              <w:top w:val="single" w:color="auto" w:sz="8" w:space="0"/>
              <w:left w:val="nil"/>
              <w:bottom w:val="single" w:color="auto" w:sz="8" w:space="0"/>
              <w:right w:val="single" w:color="000000" w:sz="8" w:space="0"/>
            </w:tcBorders>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1、白蚁防治工作持续开展。完成白蚁防治业务受理面积97.6万㎡，回访复查面积540万㎡，预防面积202万㎡，树木灭治1927棵，房屋灭治面积1604㎡，白蚁防治回访率98%。2、加强制度管理，提高服务效率。为全面推进白蚁防治服务行业健康发展，按标准化建设要求，做到以规范促发展，以质量谋生存。不断优化窗口服务，简化办事流程，认真贯彻落实“一件事一次办”要求，实现了便民利民的目的。3、强化施工安全管理。对施工、车辆、药库和质量管理制度进行了完善，并责任到人，做到了安全生产零事故、防治技术零失误、优质服务零投诉的目标。4、完善档案管理，提高档案质量，完善了各类基础台账记录，做到资料完整并及时归档入库，归档率100%。　</w:t>
            </w:r>
          </w:p>
        </w:tc>
      </w:tr>
      <w:tr>
        <w:tblPrEx>
          <w:tblCellMar>
            <w:top w:w="0" w:type="dxa"/>
            <w:left w:w="108" w:type="dxa"/>
            <w:bottom w:w="0" w:type="dxa"/>
            <w:right w:w="108" w:type="dxa"/>
          </w:tblCellMar>
        </w:tblPrEx>
        <w:trPr>
          <w:trHeight w:val="560" w:hRule="atLeast"/>
        </w:trPr>
        <w:tc>
          <w:tcPr>
            <w:tcW w:w="795" w:type="dxa"/>
            <w:vMerge w:val="restart"/>
            <w:tcBorders>
              <w:top w:val="nil"/>
              <w:left w:val="single" w:color="auto" w:sz="8" w:space="0"/>
              <w:bottom w:val="single" w:color="000000" w:sz="8" w:space="0"/>
              <w:right w:val="single" w:color="auto" w:sz="8" w:space="0"/>
            </w:tcBorders>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绩  效    指  标</w:t>
            </w:r>
          </w:p>
        </w:tc>
        <w:tc>
          <w:tcPr>
            <w:tcW w:w="1561" w:type="dxa"/>
            <w:vMerge w:val="restart"/>
            <w:tcBorders>
              <w:top w:val="nil"/>
              <w:left w:val="single" w:color="auto" w:sz="8" w:space="0"/>
              <w:bottom w:val="single" w:color="000000" w:sz="8" w:space="0"/>
              <w:right w:val="single" w:color="auto" w:sz="8" w:space="0"/>
            </w:tcBorders>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一级指标</w:t>
            </w:r>
          </w:p>
        </w:tc>
        <w:tc>
          <w:tcPr>
            <w:tcW w:w="1242" w:type="dxa"/>
            <w:vMerge w:val="restart"/>
            <w:tcBorders>
              <w:top w:val="nil"/>
              <w:left w:val="single" w:color="auto" w:sz="8" w:space="0"/>
              <w:bottom w:val="single" w:color="000000"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二级指标</w:t>
            </w:r>
          </w:p>
        </w:tc>
        <w:tc>
          <w:tcPr>
            <w:tcW w:w="2511" w:type="dxa"/>
            <w:gridSpan w:val="2"/>
            <w:vMerge w:val="restart"/>
            <w:tcBorders>
              <w:top w:val="nil"/>
              <w:left w:val="single" w:color="auto"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三级指标</w:t>
            </w:r>
          </w:p>
        </w:tc>
        <w:tc>
          <w:tcPr>
            <w:tcW w:w="1249" w:type="dxa"/>
            <w:vMerge w:val="restart"/>
            <w:tcBorders>
              <w:top w:val="nil"/>
              <w:left w:val="single" w:color="auto" w:sz="8" w:space="0"/>
              <w:bottom w:val="single" w:color="000000"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年度指标值</w:t>
            </w:r>
          </w:p>
        </w:tc>
        <w:tc>
          <w:tcPr>
            <w:tcW w:w="1076" w:type="dxa"/>
            <w:gridSpan w:val="2"/>
            <w:vMerge w:val="restart"/>
            <w:tcBorders>
              <w:top w:val="single" w:color="auto" w:sz="8" w:space="0"/>
              <w:left w:val="single" w:color="auto" w:sz="8" w:space="0"/>
              <w:bottom w:val="single" w:color="000000" w:sz="8" w:space="0"/>
              <w:right w:val="single" w:color="000000" w:sz="8" w:space="0"/>
            </w:tcBorders>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全年</w:t>
            </w:r>
            <w:r>
              <w:rPr>
                <w:rFonts w:hint="eastAsia" w:ascii="仿宋" w:hAnsi="仿宋" w:eastAsia="仿宋" w:cs="仿宋"/>
                <w:color w:val="auto"/>
                <w:szCs w:val="21"/>
              </w:rPr>
              <w:br w:type="textWrapping"/>
            </w:r>
            <w:r>
              <w:rPr>
                <w:rFonts w:hint="eastAsia" w:ascii="仿宋" w:hAnsi="仿宋" w:eastAsia="仿宋" w:cs="仿宋"/>
                <w:color w:val="auto"/>
                <w:szCs w:val="21"/>
              </w:rPr>
              <w:t>完成值</w:t>
            </w:r>
          </w:p>
        </w:tc>
        <w:tc>
          <w:tcPr>
            <w:tcW w:w="1135" w:type="dxa"/>
            <w:vMerge w:val="restart"/>
            <w:tcBorders>
              <w:top w:val="nil"/>
              <w:left w:val="single" w:color="auto" w:sz="8" w:space="0"/>
              <w:bottom w:val="single" w:color="000000" w:sz="8" w:space="0"/>
              <w:right w:val="single" w:color="auto" w:sz="8" w:space="0"/>
            </w:tcBorders>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未完成原因和</w:t>
            </w:r>
            <w:r>
              <w:rPr>
                <w:rFonts w:hint="eastAsia" w:ascii="仿宋" w:hAnsi="仿宋" w:eastAsia="仿宋" w:cs="仿宋"/>
                <w:color w:val="auto"/>
                <w:szCs w:val="21"/>
              </w:rPr>
              <w:br w:type="textWrapping"/>
            </w:r>
            <w:r>
              <w:rPr>
                <w:rFonts w:hint="eastAsia" w:ascii="仿宋" w:hAnsi="仿宋" w:eastAsia="仿宋" w:cs="仿宋"/>
                <w:color w:val="auto"/>
                <w:szCs w:val="21"/>
              </w:rPr>
              <w:t>改进措施</w:t>
            </w:r>
          </w:p>
        </w:tc>
      </w:tr>
      <w:tr>
        <w:tblPrEx>
          <w:tblCellMar>
            <w:top w:w="0" w:type="dxa"/>
            <w:left w:w="108" w:type="dxa"/>
            <w:bottom w:w="0" w:type="dxa"/>
            <w:right w:w="108" w:type="dxa"/>
          </w:tblCellMar>
        </w:tblPrEx>
        <w:trPr>
          <w:trHeight w:val="312" w:hRule="atLeast"/>
        </w:trPr>
        <w:tc>
          <w:tcPr>
            <w:tcW w:w="795"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hint="eastAsia" w:ascii="仿宋" w:hAnsi="仿宋" w:eastAsia="仿宋" w:cs="仿宋"/>
                <w:color w:val="auto"/>
                <w:szCs w:val="21"/>
              </w:rPr>
            </w:pPr>
          </w:p>
        </w:tc>
        <w:tc>
          <w:tcPr>
            <w:tcW w:w="1561"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hint="eastAsia" w:ascii="仿宋" w:hAnsi="仿宋" w:eastAsia="仿宋" w:cs="仿宋"/>
                <w:color w:val="auto"/>
                <w:szCs w:val="21"/>
              </w:rPr>
            </w:pPr>
          </w:p>
        </w:tc>
        <w:tc>
          <w:tcPr>
            <w:tcW w:w="1242"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hint="eastAsia" w:ascii="仿宋" w:hAnsi="仿宋" w:eastAsia="仿宋" w:cs="仿宋"/>
                <w:color w:val="auto"/>
                <w:szCs w:val="21"/>
              </w:rPr>
            </w:pPr>
          </w:p>
        </w:tc>
        <w:tc>
          <w:tcPr>
            <w:tcW w:w="2511" w:type="dxa"/>
            <w:gridSpan w:val="2"/>
            <w:vMerge w:val="continue"/>
            <w:tcBorders>
              <w:left w:val="single" w:color="auto" w:sz="8" w:space="0"/>
              <w:bottom w:val="single" w:color="000000" w:sz="8" w:space="0"/>
              <w:right w:val="single" w:color="auto" w:sz="8" w:space="0"/>
            </w:tcBorders>
            <w:noWrap w:val="0"/>
            <w:vAlign w:val="center"/>
          </w:tcPr>
          <w:p>
            <w:pPr>
              <w:widowControl/>
              <w:jc w:val="left"/>
              <w:rPr>
                <w:rFonts w:hint="eastAsia" w:ascii="仿宋" w:hAnsi="仿宋" w:eastAsia="仿宋" w:cs="仿宋"/>
                <w:color w:val="auto"/>
                <w:szCs w:val="21"/>
              </w:rPr>
            </w:pPr>
          </w:p>
        </w:tc>
        <w:tc>
          <w:tcPr>
            <w:tcW w:w="1249"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hint="eastAsia" w:ascii="仿宋" w:hAnsi="仿宋" w:eastAsia="仿宋" w:cs="仿宋"/>
                <w:color w:val="auto"/>
                <w:szCs w:val="21"/>
              </w:rPr>
            </w:pPr>
          </w:p>
        </w:tc>
        <w:tc>
          <w:tcPr>
            <w:tcW w:w="1076" w:type="dxa"/>
            <w:gridSpan w:val="2"/>
            <w:vMerge w:val="continue"/>
            <w:tcBorders>
              <w:top w:val="single" w:color="auto" w:sz="8" w:space="0"/>
              <w:left w:val="single" w:color="auto" w:sz="8" w:space="0"/>
              <w:bottom w:val="single" w:color="000000" w:sz="8" w:space="0"/>
              <w:right w:val="single" w:color="000000" w:sz="8" w:space="0"/>
            </w:tcBorders>
            <w:noWrap w:val="0"/>
            <w:vAlign w:val="center"/>
          </w:tcPr>
          <w:p>
            <w:pPr>
              <w:widowControl/>
              <w:jc w:val="left"/>
              <w:rPr>
                <w:rFonts w:hint="eastAsia" w:ascii="仿宋" w:hAnsi="仿宋" w:eastAsia="仿宋" w:cs="仿宋"/>
                <w:color w:val="auto"/>
                <w:szCs w:val="21"/>
              </w:rPr>
            </w:pPr>
          </w:p>
        </w:tc>
        <w:tc>
          <w:tcPr>
            <w:tcW w:w="1135"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hint="eastAsia" w:ascii="仿宋" w:hAnsi="仿宋" w:eastAsia="仿宋" w:cs="仿宋"/>
                <w:color w:val="auto"/>
                <w:szCs w:val="21"/>
              </w:rPr>
            </w:pPr>
          </w:p>
        </w:tc>
      </w:tr>
      <w:tr>
        <w:tblPrEx>
          <w:tblCellMar>
            <w:top w:w="0" w:type="dxa"/>
            <w:left w:w="108" w:type="dxa"/>
            <w:bottom w:w="0" w:type="dxa"/>
            <w:right w:w="108" w:type="dxa"/>
          </w:tblCellMar>
        </w:tblPrEx>
        <w:trPr>
          <w:trHeight w:val="289" w:hRule="atLeast"/>
        </w:trPr>
        <w:tc>
          <w:tcPr>
            <w:tcW w:w="795"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hint="eastAsia" w:ascii="仿宋" w:hAnsi="仿宋" w:eastAsia="仿宋" w:cs="仿宋"/>
                <w:color w:val="auto"/>
                <w:szCs w:val="21"/>
              </w:rPr>
            </w:pPr>
          </w:p>
        </w:tc>
        <w:tc>
          <w:tcPr>
            <w:tcW w:w="1561" w:type="dxa"/>
            <w:vMerge w:val="restart"/>
            <w:tcBorders>
              <w:top w:val="nil"/>
              <w:left w:val="single" w:color="auto" w:sz="8" w:space="0"/>
              <w:bottom w:val="nil"/>
              <w:right w:val="single" w:color="auto" w:sz="8" w:space="0"/>
            </w:tcBorders>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产出指标</w:t>
            </w:r>
          </w:p>
        </w:tc>
        <w:tc>
          <w:tcPr>
            <w:tcW w:w="1242" w:type="dxa"/>
            <w:tcBorders>
              <w:top w:val="nil"/>
              <w:left w:val="nil"/>
              <w:bottom w:val="nil"/>
              <w:right w:val="single" w:color="auto" w:sz="8" w:space="0"/>
            </w:tcBorders>
            <w:noWrap w:val="0"/>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数量指标</w:t>
            </w:r>
          </w:p>
        </w:tc>
        <w:tc>
          <w:tcPr>
            <w:tcW w:w="2511" w:type="dxa"/>
            <w:gridSpan w:val="2"/>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受理白蚁防治申请</w:t>
            </w:r>
          </w:p>
        </w:tc>
        <w:tc>
          <w:tcPr>
            <w:tcW w:w="1249"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100%</w:t>
            </w:r>
          </w:p>
        </w:tc>
        <w:tc>
          <w:tcPr>
            <w:tcW w:w="1076" w:type="dxa"/>
            <w:gridSpan w:val="2"/>
            <w:tcBorders>
              <w:top w:val="single" w:color="auto" w:sz="8" w:space="0"/>
              <w:left w:val="nil"/>
              <w:bottom w:val="single" w:color="auto" w:sz="8" w:space="0"/>
              <w:right w:val="single" w:color="000000"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100%</w:t>
            </w:r>
          </w:p>
        </w:tc>
        <w:tc>
          <w:tcPr>
            <w:tcW w:w="1135"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w:t>
            </w:r>
          </w:p>
        </w:tc>
      </w:tr>
      <w:tr>
        <w:tblPrEx>
          <w:tblCellMar>
            <w:top w:w="0" w:type="dxa"/>
            <w:left w:w="108" w:type="dxa"/>
            <w:bottom w:w="0" w:type="dxa"/>
            <w:right w:w="108" w:type="dxa"/>
          </w:tblCellMar>
        </w:tblPrEx>
        <w:trPr>
          <w:trHeight w:val="289" w:hRule="atLeast"/>
        </w:trPr>
        <w:tc>
          <w:tcPr>
            <w:tcW w:w="795"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hint="eastAsia" w:ascii="仿宋" w:hAnsi="仿宋" w:eastAsia="仿宋" w:cs="仿宋"/>
                <w:color w:val="auto"/>
                <w:szCs w:val="21"/>
              </w:rPr>
            </w:pPr>
          </w:p>
        </w:tc>
        <w:tc>
          <w:tcPr>
            <w:tcW w:w="1561" w:type="dxa"/>
            <w:vMerge w:val="continue"/>
            <w:tcBorders>
              <w:top w:val="nil"/>
              <w:left w:val="single" w:color="auto" w:sz="8" w:space="0"/>
              <w:bottom w:val="nil"/>
              <w:right w:val="single" w:color="auto" w:sz="8" w:space="0"/>
            </w:tcBorders>
            <w:noWrap w:val="0"/>
            <w:vAlign w:val="center"/>
          </w:tcPr>
          <w:p>
            <w:pPr>
              <w:widowControl/>
              <w:jc w:val="left"/>
              <w:rPr>
                <w:rFonts w:hint="eastAsia" w:ascii="仿宋" w:hAnsi="仿宋" w:eastAsia="仿宋" w:cs="仿宋"/>
                <w:color w:val="auto"/>
                <w:szCs w:val="21"/>
              </w:rPr>
            </w:pPr>
          </w:p>
        </w:tc>
        <w:tc>
          <w:tcPr>
            <w:tcW w:w="1242" w:type="dxa"/>
            <w:tcBorders>
              <w:top w:val="single" w:color="auto" w:sz="8" w:space="0"/>
              <w:left w:val="nil"/>
              <w:bottom w:val="nil"/>
              <w:right w:val="single" w:color="auto" w:sz="8" w:space="0"/>
            </w:tcBorders>
            <w:noWrap w:val="0"/>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质量指标</w:t>
            </w:r>
          </w:p>
        </w:tc>
        <w:tc>
          <w:tcPr>
            <w:tcW w:w="2511" w:type="dxa"/>
            <w:gridSpan w:val="2"/>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质量达标率</w:t>
            </w:r>
          </w:p>
        </w:tc>
        <w:tc>
          <w:tcPr>
            <w:tcW w:w="1249"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100%</w:t>
            </w:r>
          </w:p>
        </w:tc>
        <w:tc>
          <w:tcPr>
            <w:tcW w:w="1076" w:type="dxa"/>
            <w:gridSpan w:val="2"/>
            <w:tcBorders>
              <w:top w:val="single" w:color="auto" w:sz="8" w:space="0"/>
              <w:left w:val="nil"/>
              <w:bottom w:val="single" w:color="auto" w:sz="8" w:space="0"/>
              <w:right w:val="single" w:color="000000"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100%</w:t>
            </w:r>
          </w:p>
        </w:tc>
        <w:tc>
          <w:tcPr>
            <w:tcW w:w="1135"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w:t>
            </w:r>
          </w:p>
        </w:tc>
      </w:tr>
      <w:tr>
        <w:tblPrEx>
          <w:tblCellMar>
            <w:top w:w="0" w:type="dxa"/>
            <w:left w:w="108" w:type="dxa"/>
            <w:bottom w:w="0" w:type="dxa"/>
            <w:right w:w="108" w:type="dxa"/>
          </w:tblCellMar>
        </w:tblPrEx>
        <w:trPr>
          <w:trHeight w:val="289" w:hRule="atLeast"/>
        </w:trPr>
        <w:tc>
          <w:tcPr>
            <w:tcW w:w="795"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hint="eastAsia" w:ascii="仿宋" w:hAnsi="仿宋" w:eastAsia="仿宋" w:cs="仿宋"/>
                <w:color w:val="auto"/>
                <w:szCs w:val="21"/>
              </w:rPr>
            </w:pPr>
          </w:p>
        </w:tc>
        <w:tc>
          <w:tcPr>
            <w:tcW w:w="1561" w:type="dxa"/>
            <w:vMerge w:val="continue"/>
            <w:tcBorders>
              <w:top w:val="nil"/>
              <w:left w:val="single" w:color="auto" w:sz="8" w:space="0"/>
              <w:bottom w:val="nil"/>
              <w:right w:val="single" w:color="auto" w:sz="8" w:space="0"/>
            </w:tcBorders>
            <w:noWrap w:val="0"/>
            <w:vAlign w:val="center"/>
          </w:tcPr>
          <w:p>
            <w:pPr>
              <w:widowControl/>
              <w:jc w:val="left"/>
              <w:rPr>
                <w:rFonts w:hint="eastAsia" w:ascii="仿宋" w:hAnsi="仿宋" w:eastAsia="仿宋" w:cs="仿宋"/>
                <w:color w:val="auto"/>
                <w:szCs w:val="21"/>
              </w:rPr>
            </w:pPr>
          </w:p>
        </w:tc>
        <w:tc>
          <w:tcPr>
            <w:tcW w:w="1242" w:type="dxa"/>
            <w:tcBorders>
              <w:top w:val="single" w:color="auto" w:sz="8" w:space="0"/>
              <w:left w:val="nil"/>
              <w:bottom w:val="nil"/>
              <w:right w:val="single" w:color="auto" w:sz="8" w:space="0"/>
            </w:tcBorders>
            <w:noWrap w:val="0"/>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时效指标</w:t>
            </w:r>
          </w:p>
        </w:tc>
        <w:tc>
          <w:tcPr>
            <w:tcW w:w="2511" w:type="dxa"/>
            <w:gridSpan w:val="2"/>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完成及时率</w:t>
            </w:r>
          </w:p>
        </w:tc>
        <w:tc>
          <w:tcPr>
            <w:tcW w:w="1249"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100%</w:t>
            </w:r>
          </w:p>
        </w:tc>
        <w:tc>
          <w:tcPr>
            <w:tcW w:w="1076" w:type="dxa"/>
            <w:gridSpan w:val="2"/>
            <w:tcBorders>
              <w:top w:val="single" w:color="auto" w:sz="8" w:space="0"/>
              <w:left w:val="nil"/>
              <w:bottom w:val="single" w:color="auto" w:sz="8" w:space="0"/>
              <w:right w:val="single" w:color="000000"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100%</w:t>
            </w:r>
          </w:p>
        </w:tc>
        <w:tc>
          <w:tcPr>
            <w:tcW w:w="1135"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w:t>
            </w:r>
          </w:p>
        </w:tc>
      </w:tr>
      <w:tr>
        <w:tblPrEx>
          <w:tblCellMar>
            <w:top w:w="0" w:type="dxa"/>
            <w:left w:w="108" w:type="dxa"/>
            <w:bottom w:w="0" w:type="dxa"/>
            <w:right w:w="108" w:type="dxa"/>
          </w:tblCellMar>
        </w:tblPrEx>
        <w:trPr>
          <w:trHeight w:val="289" w:hRule="atLeast"/>
        </w:trPr>
        <w:tc>
          <w:tcPr>
            <w:tcW w:w="795"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hint="eastAsia" w:ascii="仿宋" w:hAnsi="仿宋" w:eastAsia="仿宋" w:cs="仿宋"/>
                <w:color w:val="auto"/>
                <w:szCs w:val="21"/>
              </w:rPr>
            </w:pPr>
          </w:p>
        </w:tc>
        <w:tc>
          <w:tcPr>
            <w:tcW w:w="1561" w:type="dxa"/>
            <w:vMerge w:val="restart"/>
            <w:tcBorders>
              <w:top w:val="single" w:color="auto" w:sz="8" w:space="0"/>
              <w:left w:val="nil"/>
              <w:right w:val="single" w:color="auto" w:sz="8" w:space="0"/>
            </w:tcBorders>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效益指标</w:t>
            </w:r>
          </w:p>
        </w:tc>
        <w:tc>
          <w:tcPr>
            <w:tcW w:w="1242" w:type="dxa"/>
            <w:tcBorders>
              <w:top w:val="single" w:color="auto" w:sz="8" w:space="0"/>
              <w:left w:val="nil"/>
              <w:bottom w:val="nil"/>
              <w:right w:val="single" w:color="auto" w:sz="8" w:space="0"/>
            </w:tcBorders>
            <w:noWrap w:val="0"/>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经济效益  指标</w:t>
            </w:r>
          </w:p>
        </w:tc>
        <w:tc>
          <w:tcPr>
            <w:tcW w:w="2511" w:type="dxa"/>
            <w:gridSpan w:val="2"/>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直接或间接带来经济效益</w:t>
            </w:r>
          </w:p>
        </w:tc>
        <w:tc>
          <w:tcPr>
            <w:tcW w:w="1249"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效果明显</w:t>
            </w:r>
          </w:p>
        </w:tc>
        <w:tc>
          <w:tcPr>
            <w:tcW w:w="1076"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效果明显</w:t>
            </w:r>
          </w:p>
        </w:tc>
        <w:tc>
          <w:tcPr>
            <w:tcW w:w="1135"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w:t>
            </w:r>
          </w:p>
        </w:tc>
      </w:tr>
      <w:tr>
        <w:tblPrEx>
          <w:tblCellMar>
            <w:top w:w="0" w:type="dxa"/>
            <w:left w:w="108" w:type="dxa"/>
            <w:bottom w:w="0" w:type="dxa"/>
            <w:right w:w="108" w:type="dxa"/>
          </w:tblCellMar>
        </w:tblPrEx>
        <w:trPr>
          <w:trHeight w:val="289" w:hRule="atLeast"/>
        </w:trPr>
        <w:tc>
          <w:tcPr>
            <w:tcW w:w="795"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hint="eastAsia" w:ascii="仿宋" w:hAnsi="仿宋" w:eastAsia="仿宋" w:cs="仿宋"/>
                <w:color w:val="auto"/>
                <w:szCs w:val="21"/>
              </w:rPr>
            </w:pPr>
          </w:p>
        </w:tc>
        <w:tc>
          <w:tcPr>
            <w:tcW w:w="1561" w:type="dxa"/>
            <w:vMerge w:val="continue"/>
            <w:tcBorders>
              <w:left w:val="single" w:color="auto" w:sz="8" w:space="0"/>
              <w:right w:val="single" w:color="auto" w:sz="8" w:space="0"/>
            </w:tcBorders>
            <w:noWrap w:val="0"/>
            <w:vAlign w:val="center"/>
          </w:tcPr>
          <w:p>
            <w:pPr>
              <w:widowControl/>
              <w:jc w:val="left"/>
              <w:rPr>
                <w:rFonts w:hint="eastAsia" w:ascii="仿宋" w:hAnsi="仿宋" w:eastAsia="仿宋" w:cs="仿宋"/>
                <w:color w:val="auto"/>
                <w:szCs w:val="21"/>
              </w:rPr>
            </w:pPr>
          </w:p>
        </w:tc>
        <w:tc>
          <w:tcPr>
            <w:tcW w:w="1242" w:type="dxa"/>
            <w:tcBorders>
              <w:top w:val="single" w:color="auto" w:sz="8" w:space="0"/>
              <w:left w:val="nil"/>
              <w:bottom w:val="nil"/>
              <w:right w:val="single" w:color="auto" w:sz="8" w:space="0"/>
            </w:tcBorders>
            <w:noWrap w:val="0"/>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社会效益  指标</w:t>
            </w:r>
          </w:p>
        </w:tc>
        <w:tc>
          <w:tcPr>
            <w:tcW w:w="2511" w:type="dxa"/>
            <w:gridSpan w:val="2"/>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直接或间接带来社会效益</w:t>
            </w:r>
          </w:p>
        </w:tc>
        <w:tc>
          <w:tcPr>
            <w:tcW w:w="1249"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效果明显</w:t>
            </w:r>
          </w:p>
        </w:tc>
        <w:tc>
          <w:tcPr>
            <w:tcW w:w="1076"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效果明显</w:t>
            </w:r>
          </w:p>
        </w:tc>
        <w:tc>
          <w:tcPr>
            <w:tcW w:w="1135"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w:t>
            </w:r>
          </w:p>
        </w:tc>
      </w:tr>
      <w:tr>
        <w:tblPrEx>
          <w:tblCellMar>
            <w:top w:w="0" w:type="dxa"/>
            <w:left w:w="108" w:type="dxa"/>
            <w:bottom w:w="0" w:type="dxa"/>
            <w:right w:w="108" w:type="dxa"/>
          </w:tblCellMar>
        </w:tblPrEx>
        <w:trPr>
          <w:trHeight w:val="450" w:hRule="atLeast"/>
        </w:trPr>
        <w:tc>
          <w:tcPr>
            <w:tcW w:w="795"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hint="eastAsia" w:ascii="仿宋" w:hAnsi="仿宋" w:eastAsia="仿宋" w:cs="仿宋"/>
                <w:color w:val="auto"/>
                <w:szCs w:val="21"/>
              </w:rPr>
            </w:pPr>
          </w:p>
        </w:tc>
        <w:tc>
          <w:tcPr>
            <w:tcW w:w="1561" w:type="dxa"/>
            <w:vMerge w:val="continue"/>
            <w:tcBorders>
              <w:left w:val="single" w:color="auto" w:sz="8" w:space="0"/>
              <w:bottom w:val="nil"/>
              <w:right w:val="single" w:color="auto" w:sz="8" w:space="0"/>
            </w:tcBorders>
            <w:noWrap w:val="0"/>
            <w:vAlign w:val="center"/>
          </w:tcPr>
          <w:p>
            <w:pPr>
              <w:widowControl/>
              <w:jc w:val="left"/>
              <w:rPr>
                <w:rFonts w:hint="eastAsia" w:ascii="仿宋" w:hAnsi="仿宋" w:eastAsia="仿宋" w:cs="仿宋"/>
                <w:color w:val="auto"/>
                <w:szCs w:val="21"/>
              </w:rPr>
            </w:pPr>
          </w:p>
        </w:tc>
        <w:tc>
          <w:tcPr>
            <w:tcW w:w="1242" w:type="dxa"/>
            <w:tcBorders>
              <w:top w:val="single" w:color="auto" w:sz="8" w:space="0"/>
              <w:left w:val="nil"/>
              <w:bottom w:val="nil"/>
              <w:right w:val="single" w:color="auto" w:sz="8" w:space="0"/>
            </w:tcBorders>
            <w:noWrap w:val="0"/>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可持续影响指标</w:t>
            </w:r>
          </w:p>
        </w:tc>
        <w:tc>
          <w:tcPr>
            <w:tcW w:w="2511" w:type="dxa"/>
            <w:gridSpan w:val="2"/>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项目实施对人环境、自然环境所带来可持续影响</w:t>
            </w:r>
          </w:p>
        </w:tc>
        <w:tc>
          <w:tcPr>
            <w:tcW w:w="1249" w:type="dxa"/>
            <w:tcBorders>
              <w:top w:val="nil"/>
              <w:left w:val="nil"/>
              <w:bottom w:val="single" w:color="auto" w:sz="8" w:space="0"/>
              <w:right w:val="single" w:color="auto"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具有可持续性</w:t>
            </w:r>
          </w:p>
        </w:tc>
        <w:tc>
          <w:tcPr>
            <w:tcW w:w="1076"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具有可持续性</w:t>
            </w:r>
          </w:p>
        </w:tc>
        <w:tc>
          <w:tcPr>
            <w:tcW w:w="1135"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w:t>
            </w:r>
          </w:p>
        </w:tc>
      </w:tr>
      <w:tr>
        <w:tblPrEx>
          <w:tblCellMar>
            <w:top w:w="0" w:type="dxa"/>
            <w:left w:w="108" w:type="dxa"/>
            <w:bottom w:w="0" w:type="dxa"/>
            <w:right w:w="108" w:type="dxa"/>
          </w:tblCellMar>
        </w:tblPrEx>
        <w:trPr>
          <w:trHeight w:val="640" w:hRule="atLeast"/>
        </w:trPr>
        <w:tc>
          <w:tcPr>
            <w:tcW w:w="795"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hint="eastAsia" w:ascii="仿宋" w:hAnsi="仿宋" w:eastAsia="仿宋" w:cs="仿宋"/>
                <w:color w:val="auto"/>
                <w:szCs w:val="21"/>
              </w:rPr>
            </w:pPr>
          </w:p>
        </w:tc>
        <w:tc>
          <w:tcPr>
            <w:tcW w:w="1561" w:type="dxa"/>
            <w:tcBorders>
              <w:top w:val="single" w:color="auto" w:sz="8" w:space="0"/>
              <w:left w:val="nil"/>
              <w:bottom w:val="single" w:color="auto" w:sz="8" w:space="0"/>
              <w:right w:val="single" w:color="auto" w:sz="8" w:space="0"/>
            </w:tcBorders>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满意度指标</w:t>
            </w:r>
          </w:p>
        </w:tc>
        <w:tc>
          <w:tcPr>
            <w:tcW w:w="1242" w:type="dxa"/>
            <w:tcBorders>
              <w:top w:val="single" w:color="auto" w:sz="8" w:space="0"/>
              <w:left w:val="nil"/>
              <w:bottom w:val="single" w:color="auto" w:sz="8" w:space="0"/>
              <w:right w:val="single" w:color="auto" w:sz="8" w:space="0"/>
            </w:tcBorders>
            <w:noWrap w:val="0"/>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服务对象满意度指标</w:t>
            </w:r>
          </w:p>
        </w:tc>
        <w:tc>
          <w:tcPr>
            <w:tcW w:w="2511" w:type="dxa"/>
            <w:gridSpan w:val="2"/>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采取回访方式</w:t>
            </w:r>
          </w:p>
        </w:tc>
        <w:tc>
          <w:tcPr>
            <w:tcW w:w="1249"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100%</w:t>
            </w:r>
          </w:p>
        </w:tc>
        <w:tc>
          <w:tcPr>
            <w:tcW w:w="1076" w:type="dxa"/>
            <w:gridSpan w:val="2"/>
            <w:tcBorders>
              <w:top w:val="single" w:color="auto" w:sz="8" w:space="0"/>
              <w:left w:val="nil"/>
              <w:bottom w:val="single" w:color="auto" w:sz="8" w:space="0"/>
              <w:right w:val="single" w:color="000000"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98%</w:t>
            </w:r>
          </w:p>
        </w:tc>
        <w:tc>
          <w:tcPr>
            <w:tcW w:w="1135"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auto"/>
                <w:szCs w:val="21"/>
              </w:rPr>
            </w:pPr>
            <w:r>
              <w:rPr>
                <w:rFonts w:hint="eastAsia" w:ascii="仿宋" w:hAnsi="仿宋" w:eastAsia="仿宋" w:cs="仿宋"/>
                <w:color w:val="auto"/>
                <w:szCs w:val="21"/>
              </w:rPr>
              <w:t>　</w:t>
            </w:r>
          </w:p>
        </w:tc>
      </w:tr>
    </w:tbl>
    <w:p>
      <w:pPr>
        <w:adjustRightInd w:val="0"/>
        <w:snapToGrid w:val="0"/>
        <w:spacing w:line="360" w:lineRule="auto"/>
        <w:ind w:firstLine="600" w:firstLineChars="200"/>
        <w:rPr>
          <w:rFonts w:hint="eastAsia" w:ascii="宋体" w:hAnsi="宋体" w:cs="宋体"/>
          <w:color w:val="auto"/>
          <w:sz w:val="30"/>
          <w:szCs w:val="30"/>
        </w:rPr>
      </w:pPr>
    </w:p>
    <w:p>
      <w:pPr>
        <w:spacing w:line="360" w:lineRule="auto"/>
        <w:ind w:firstLine="720"/>
        <w:rPr>
          <w:rFonts w:ascii="宋体" w:hAnsi="宋体"/>
          <w:color w:val="auto"/>
          <w:sz w:val="30"/>
          <w:szCs w:val="30"/>
        </w:rPr>
      </w:pPr>
    </w:p>
    <w:p>
      <w:pPr>
        <w:spacing w:line="560" w:lineRule="exact"/>
        <w:rPr>
          <w:rFonts w:hint="eastAsia" w:ascii="黑体" w:hAnsi="宋体" w:eastAsia="黑体" w:cs="宋体"/>
          <w:color w:val="auto"/>
          <w:sz w:val="32"/>
          <w:szCs w:val="32"/>
        </w:rPr>
      </w:pPr>
    </w:p>
    <w:p>
      <w:pPr>
        <w:spacing w:line="560" w:lineRule="exact"/>
        <w:rPr>
          <w:rFonts w:hint="eastAsia" w:ascii="黑体" w:hAnsi="宋体" w:eastAsia="黑体" w:cs="宋体"/>
          <w:color w:val="auto"/>
          <w:sz w:val="32"/>
          <w:szCs w:val="32"/>
        </w:rPr>
      </w:pPr>
    </w:p>
    <w:p>
      <w:pPr>
        <w:spacing w:line="560" w:lineRule="exact"/>
        <w:rPr>
          <w:rFonts w:hint="eastAsia" w:ascii="黑体" w:hAnsi="宋体" w:eastAsia="黑体" w:cs="宋体"/>
          <w:color w:val="auto"/>
          <w:sz w:val="32"/>
          <w:szCs w:val="32"/>
        </w:rPr>
      </w:pPr>
    </w:p>
    <w:p>
      <w:pPr>
        <w:spacing w:line="560" w:lineRule="exact"/>
        <w:rPr>
          <w:rFonts w:hint="eastAsia" w:ascii="黑体" w:hAnsi="宋体" w:eastAsia="黑体" w:cs="宋体"/>
          <w:color w:val="auto"/>
          <w:sz w:val="32"/>
          <w:szCs w:val="32"/>
        </w:rPr>
      </w:pPr>
    </w:p>
    <w:p>
      <w:pPr>
        <w:spacing w:line="560" w:lineRule="exact"/>
        <w:rPr>
          <w:rFonts w:hint="eastAsia" w:ascii="黑体" w:hAnsi="宋体" w:eastAsia="黑体" w:cs="宋体"/>
          <w:color w:val="auto"/>
          <w:sz w:val="32"/>
          <w:szCs w:val="32"/>
        </w:rPr>
      </w:pPr>
    </w:p>
    <w:p>
      <w:pPr>
        <w:spacing w:line="560" w:lineRule="exact"/>
        <w:rPr>
          <w:rFonts w:hint="eastAsia" w:ascii="黑体" w:hAnsi="宋体" w:eastAsia="黑体" w:cs="宋体"/>
          <w:color w:val="auto"/>
          <w:sz w:val="32"/>
          <w:szCs w:val="32"/>
        </w:rPr>
      </w:pPr>
    </w:p>
    <w:p>
      <w:pPr>
        <w:spacing w:line="560" w:lineRule="exact"/>
        <w:rPr>
          <w:rFonts w:hint="eastAsia" w:ascii="黑体" w:hAnsi="宋体" w:eastAsia="黑体" w:cs="宋体"/>
          <w:color w:val="auto"/>
          <w:sz w:val="32"/>
          <w:szCs w:val="32"/>
        </w:rPr>
      </w:pPr>
    </w:p>
    <w:p>
      <w:pPr>
        <w:spacing w:line="560" w:lineRule="exact"/>
        <w:rPr>
          <w:rFonts w:hint="eastAsia" w:ascii="黑体" w:hAnsi="宋体" w:eastAsia="黑体" w:cs="宋体"/>
          <w:color w:val="auto"/>
          <w:sz w:val="32"/>
          <w:szCs w:val="32"/>
        </w:rPr>
      </w:pPr>
    </w:p>
    <w:p>
      <w:pPr>
        <w:spacing w:line="560" w:lineRule="exact"/>
        <w:rPr>
          <w:rFonts w:hint="eastAsia" w:ascii="黑体" w:hAnsi="宋体" w:eastAsia="黑体" w:cs="宋体"/>
          <w:color w:val="auto"/>
          <w:sz w:val="32"/>
          <w:szCs w:val="32"/>
        </w:rPr>
      </w:pPr>
    </w:p>
    <w:p>
      <w:pPr>
        <w:spacing w:line="560" w:lineRule="exact"/>
        <w:rPr>
          <w:rFonts w:hint="eastAsia" w:ascii="黑体" w:hAnsi="宋体" w:eastAsia="黑体" w:cs="宋体"/>
          <w:color w:val="auto"/>
          <w:sz w:val="32"/>
          <w:szCs w:val="32"/>
        </w:rPr>
      </w:pPr>
    </w:p>
    <w:p>
      <w:pPr>
        <w:spacing w:line="560" w:lineRule="exact"/>
        <w:rPr>
          <w:rFonts w:hint="eastAsia" w:ascii="黑体" w:hAnsi="宋体" w:eastAsia="黑体" w:cs="宋体"/>
          <w:color w:val="auto"/>
          <w:sz w:val="32"/>
          <w:szCs w:val="32"/>
        </w:rPr>
      </w:pPr>
    </w:p>
    <w:p>
      <w:pPr>
        <w:spacing w:line="560" w:lineRule="exact"/>
        <w:rPr>
          <w:rFonts w:hint="eastAsia" w:ascii="黑体" w:hAnsi="宋体" w:eastAsia="黑体" w:cs="宋体"/>
          <w:color w:val="auto"/>
          <w:sz w:val="32"/>
          <w:szCs w:val="32"/>
        </w:rPr>
      </w:pPr>
    </w:p>
    <w:p>
      <w:pPr>
        <w:spacing w:line="560" w:lineRule="exact"/>
        <w:rPr>
          <w:rFonts w:hint="eastAsia" w:ascii="黑体" w:hAnsi="宋体" w:eastAsia="黑体" w:cs="宋体"/>
          <w:color w:val="auto"/>
          <w:sz w:val="32"/>
          <w:szCs w:val="32"/>
        </w:rPr>
      </w:pPr>
    </w:p>
    <w:p>
      <w:pPr>
        <w:spacing w:line="560" w:lineRule="exact"/>
        <w:rPr>
          <w:rFonts w:hint="eastAsia" w:ascii="黑体" w:hAnsi="宋体" w:eastAsia="黑体" w:cs="宋体"/>
          <w:color w:val="auto"/>
          <w:sz w:val="32"/>
          <w:szCs w:val="32"/>
        </w:rPr>
      </w:pPr>
    </w:p>
    <w:p>
      <w:pPr>
        <w:spacing w:line="560" w:lineRule="exact"/>
        <w:rPr>
          <w:rFonts w:hint="eastAsia" w:ascii="黑体" w:hAnsi="宋体" w:eastAsia="黑体" w:cs="宋体"/>
          <w:color w:val="auto"/>
          <w:sz w:val="32"/>
          <w:szCs w:val="32"/>
        </w:rPr>
      </w:pPr>
    </w:p>
    <w:p>
      <w:pPr>
        <w:spacing w:line="560" w:lineRule="exact"/>
        <w:rPr>
          <w:rFonts w:ascii="黑体" w:hAnsi="宋体" w:eastAsia="黑体" w:cs="宋体"/>
          <w:color w:val="auto"/>
          <w:sz w:val="32"/>
          <w:szCs w:val="32"/>
        </w:rPr>
      </w:pPr>
      <w:r>
        <w:rPr>
          <w:rFonts w:hint="eastAsia" w:ascii="黑体" w:hAnsi="宋体" w:eastAsia="黑体" w:cs="宋体"/>
          <w:color w:val="auto"/>
          <w:sz w:val="32"/>
          <w:szCs w:val="32"/>
        </w:rPr>
        <w:t>附件</w:t>
      </w:r>
      <w:r>
        <w:rPr>
          <w:rFonts w:ascii="黑体" w:hAnsi="宋体" w:eastAsia="黑体" w:cs="宋体"/>
          <w:color w:val="auto"/>
          <w:sz w:val="32"/>
          <w:szCs w:val="32"/>
        </w:rPr>
        <w:t>2</w:t>
      </w:r>
    </w:p>
    <w:p>
      <w:pPr>
        <w:widowControl/>
        <w:ind w:left="93"/>
        <w:jc w:val="center"/>
        <w:rPr>
          <w:rFonts w:ascii="宋体" w:cs="宋体"/>
          <w:color w:val="auto"/>
          <w:sz w:val="24"/>
        </w:rPr>
      </w:pPr>
      <w:r>
        <w:rPr>
          <w:rFonts w:hint="eastAsia" w:ascii="方正小标宋_GBK" w:hAnsi="宋体" w:eastAsia="方正小标宋_GBK" w:cs="宋体"/>
          <w:color w:val="auto"/>
          <w:sz w:val="36"/>
          <w:szCs w:val="36"/>
        </w:rPr>
        <w:t>专项资金绩效评价共性指标表</w:t>
      </w:r>
    </w:p>
    <w:tbl>
      <w:tblPr>
        <w:tblStyle w:val="2"/>
        <w:tblW w:w="9489"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385"/>
        <w:gridCol w:w="364"/>
        <w:gridCol w:w="855"/>
        <w:gridCol w:w="416"/>
        <w:gridCol w:w="2316"/>
        <w:gridCol w:w="4680"/>
        <w:gridCol w:w="47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blHeader/>
        </w:trPr>
        <w:tc>
          <w:tcPr>
            <w:tcW w:w="385" w:type="dxa"/>
            <w:tcBorders>
              <w:bottom w:val="nil"/>
              <w:right w:val="single" w:color="auto" w:sz="4" w:space="0"/>
            </w:tcBorders>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一级</w:t>
            </w:r>
          </w:p>
        </w:tc>
        <w:tc>
          <w:tcPr>
            <w:tcW w:w="364" w:type="dxa"/>
            <w:tcBorders>
              <w:left w:val="nil"/>
              <w:bottom w:val="nil"/>
              <w:right w:val="single" w:color="auto" w:sz="4" w:space="0"/>
            </w:tcBorders>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二级</w:t>
            </w:r>
          </w:p>
        </w:tc>
        <w:tc>
          <w:tcPr>
            <w:tcW w:w="855" w:type="dxa"/>
            <w:vMerge w:val="restart"/>
            <w:tcBorders>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三级指标</w:t>
            </w:r>
          </w:p>
        </w:tc>
        <w:tc>
          <w:tcPr>
            <w:tcW w:w="416" w:type="dxa"/>
            <w:vMerge w:val="restart"/>
            <w:tcBorders>
              <w:left w:val="single" w:color="auto" w:sz="4" w:space="0"/>
              <w:right w:val="single" w:color="auto" w:sz="4" w:space="0"/>
            </w:tcBorders>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分值</w:t>
            </w:r>
          </w:p>
        </w:tc>
        <w:tc>
          <w:tcPr>
            <w:tcW w:w="2316" w:type="dxa"/>
            <w:vMerge w:val="restart"/>
            <w:tcBorders>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指标解释</w:t>
            </w:r>
          </w:p>
        </w:tc>
        <w:tc>
          <w:tcPr>
            <w:tcW w:w="4680" w:type="dxa"/>
            <w:vMerge w:val="restart"/>
            <w:tcBorders>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指标说明</w:t>
            </w:r>
          </w:p>
        </w:tc>
        <w:tc>
          <w:tcPr>
            <w:tcW w:w="473" w:type="dxa"/>
            <w:vMerge w:val="restart"/>
            <w:tcBorders>
              <w:left w:val="single" w:color="auto" w:sz="4" w:space="0"/>
            </w:tcBorders>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得分</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blHeader/>
        </w:trPr>
        <w:tc>
          <w:tcPr>
            <w:tcW w:w="385" w:type="dxa"/>
            <w:tcBorders>
              <w:top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指标</w:t>
            </w:r>
          </w:p>
        </w:tc>
        <w:tc>
          <w:tcPr>
            <w:tcW w:w="36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指标</w:t>
            </w:r>
          </w:p>
        </w:tc>
        <w:tc>
          <w:tcPr>
            <w:tcW w:w="855"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b/>
                <w:bCs/>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b/>
                <w:bCs/>
                <w:color w:val="auto"/>
                <w:sz w:val="20"/>
                <w:szCs w:val="20"/>
              </w:rPr>
            </w:pPr>
          </w:p>
        </w:tc>
        <w:tc>
          <w:tcPr>
            <w:tcW w:w="2316"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b/>
                <w:bCs/>
                <w:color w:val="auto"/>
                <w:sz w:val="20"/>
                <w:szCs w:val="20"/>
              </w:rPr>
            </w:pPr>
          </w:p>
        </w:tc>
        <w:tc>
          <w:tcPr>
            <w:tcW w:w="4680"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b/>
                <w:bCs/>
                <w:color w:val="auto"/>
                <w:sz w:val="20"/>
                <w:szCs w:val="20"/>
              </w:rPr>
            </w:pPr>
          </w:p>
        </w:tc>
        <w:tc>
          <w:tcPr>
            <w:tcW w:w="473" w:type="dxa"/>
            <w:vMerge w:val="continue"/>
            <w:tcBorders>
              <w:left w:val="single" w:color="auto" w:sz="4" w:space="0"/>
              <w:bottom w:val="single" w:color="000000" w:sz="4" w:space="0"/>
            </w:tcBorders>
            <w:noWrap w:val="0"/>
            <w:vAlign w:val="center"/>
          </w:tcPr>
          <w:p>
            <w:pPr>
              <w:widowControl/>
              <w:spacing w:line="240" w:lineRule="exact"/>
              <w:jc w:val="left"/>
              <w:rPr>
                <w:rFonts w:hint="eastAsia" w:ascii="仿宋" w:hAnsi="仿宋" w:eastAsia="仿宋" w:cs="仿宋"/>
                <w:b/>
                <w:bCs/>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restart"/>
            <w:tcBorders>
              <w:top w:val="nil"/>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投入</w:t>
            </w:r>
          </w:p>
        </w:tc>
        <w:tc>
          <w:tcPr>
            <w:tcW w:w="364"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项目立项</w:t>
            </w: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项目立项规范性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项目的申请、设立过程是否符合相关要求，用以反映和考核项目立项的规范情况。</w:t>
            </w: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①项目是否按照规定的程序申请设立；</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②所提交的文件、材料是否符合相关要求；</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③事前是否已经过必要的可行性研究、专家论证、风险评估、集体决策等。</w:t>
            </w: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绩效目标合理性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项目所设定的绩效目标是否依椐充分，是否符合客观实际，用以反映和考核项目绩效目标与项目实施的相符情况。</w:t>
            </w: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①是否符合国家相关法律法规，国民经济发展规划和党委政府决策；</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②是否与项目实施单位或委托单位职责密切相关；</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③项目是否为促进事业发展所必需；</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④项目顸期产出效益和效果是否符合正常的业绩水平。</w:t>
            </w: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绩效指标明确性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依椐绩效目标设定的绩效指标是否清晰、细化、可衡量等，用以反映和考核项目绩效目标的明细化情况。</w:t>
            </w: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①</w:t>
            </w:r>
            <w:r>
              <w:rPr>
                <w:rFonts w:hint="eastAsia" w:ascii="仿宋" w:hAnsi="仿宋" w:eastAsia="仿宋" w:cs="仿宋"/>
                <w:color w:val="auto"/>
                <w:sz w:val="20"/>
                <w:szCs w:val="20"/>
              </w:rPr>
              <w:t>是否将项目绩效目标细化分解为具体的绩效指标；</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②</w:t>
            </w:r>
            <w:r>
              <w:rPr>
                <w:rFonts w:hint="eastAsia" w:ascii="仿宋" w:hAnsi="仿宋" w:eastAsia="仿宋" w:cs="仿宋"/>
                <w:color w:val="auto"/>
                <w:sz w:val="20"/>
                <w:szCs w:val="20"/>
              </w:rPr>
              <w:t>是否通过清晰、可衡量的指标值予以体现；</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③</w:t>
            </w:r>
            <w:r>
              <w:rPr>
                <w:rFonts w:hint="eastAsia" w:ascii="仿宋" w:hAnsi="仿宋" w:eastAsia="仿宋" w:cs="仿宋"/>
                <w:color w:val="auto"/>
                <w:sz w:val="20"/>
                <w:szCs w:val="20"/>
              </w:rPr>
              <w:t>是否与项目年度任务教或计划数相对应；</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④</w:t>
            </w:r>
            <w:r>
              <w:rPr>
                <w:rFonts w:hint="eastAsia" w:ascii="仿宋" w:hAnsi="仿宋" w:eastAsia="仿宋" w:cs="仿宋"/>
                <w:color w:val="auto"/>
                <w:sz w:val="20"/>
                <w:szCs w:val="20"/>
              </w:rPr>
              <w:t>是否与预期确定的项目投资额或资金量相匹配。</w:t>
            </w: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资金落实</w:t>
            </w: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资金到位率</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实际到位资金与计划投入资金的比率，用以反映和考核资金落实情况对项目实施的总体保障程度。</w:t>
            </w: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资金到位率=（实际到位资金/计划投入资金）×100%。</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实际到位资金：一定时期（本年度或项目期）内实际落实到具体项目的资金。</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3</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计划投入资金：一定时期（本年度或项目期）内计划投入到具体项目的资金。</w:t>
            </w: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到位及时率</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及时到位资金与应到位资金的比率，用以反映和考核项目资金落实的及时性程度。</w:t>
            </w: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到位及时率＝（及时到位资金/应到位资金）×100%。</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及时到位资金：截至规定时点实际落实到具体项目的资金。</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3</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764" w:hRule="atLeast"/>
        </w:trPr>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应到位资金：按照合同或项目进度要求截至规定时点应落实到具体项目的资金。</w:t>
            </w: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restart"/>
            <w:tcBorders>
              <w:top w:val="nil"/>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过程</w:t>
            </w:r>
          </w:p>
        </w:tc>
        <w:tc>
          <w:tcPr>
            <w:tcW w:w="364"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业务管理</w:t>
            </w: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管理制度健全性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项目实施单位的业务管理制度是否健全，用以反映和考核业务管理制度对项目顺利实施的保障情况。</w:t>
            </w: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①</w:t>
            </w:r>
            <w:r>
              <w:rPr>
                <w:rFonts w:hint="eastAsia" w:ascii="仿宋" w:hAnsi="仿宋" w:eastAsia="仿宋" w:cs="仿宋"/>
                <w:color w:val="auto"/>
                <w:sz w:val="20"/>
                <w:szCs w:val="20"/>
              </w:rPr>
              <w:t>是否已制定或具有相应的业务管理制度；</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836" w:hRule="atLeast"/>
        </w:trPr>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②</w:t>
            </w:r>
            <w:r>
              <w:rPr>
                <w:rFonts w:hint="eastAsia" w:ascii="仿宋" w:hAnsi="仿宋" w:eastAsia="仿宋" w:cs="仿宋"/>
                <w:color w:val="auto"/>
                <w:sz w:val="20"/>
                <w:szCs w:val="20"/>
              </w:rPr>
              <w:t>业务管理制度是否合法、合规、完整。</w:t>
            </w: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制度执行有效性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3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项目实施是否符合相关业务管理规定，用以反映和考核业务管理制度的有效执行情况。</w:t>
            </w: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①</w:t>
            </w:r>
            <w:r>
              <w:rPr>
                <w:rFonts w:hint="eastAsia" w:ascii="仿宋" w:hAnsi="仿宋" w:eastAsia="仿宋" w:cs="仿宋"/>
                <w:color w:val="auto"/>
                <w:sz w:val="20"/>
                <w:szCs w:val="20"/>
              </w:rPr>
              <w:t>是否遵守相关法律法规和业务管理规定；</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②</w:t>
            </w:r>
            <w:r>
              <w:rPr>
                <w:rFonts w:hint="eastAsia" w:ascii="仿宋" w:hAnsi="仿宋" w:eastAsia="仿宋" w:cs="仿宋"/>
                <w:color w:val="auto"/>
                <w:sz w:val="20"/>
                <w:szCs w:val="20"/>
              </w:rPr>
              <w:t>项目调整及支出调整手续是否完备；</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③项目合同书、验收报告、技术审定等资料是否齐全并及时归档;</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945" w:hRule="atLeast"/>
        </w:trPr>
        <w:tc>
          <w:tcPr>
            <w:tcW w:w="385" w:type="dxa"/>
            <w:vMerge w:val="continue"/>
            <w:tcBorders>
              <w:top w:val="nil"/>
              <w:bottom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④项目实施的人员条件、场地设备，信息支撑等是否落实到位。</w:t>
            </w:r>
          </w:p>
          <w:p>
            <w:pPr>
              <w:widowControl/>
              <w:spacing w:line="240" w:lineRule="exact"/>
              <w:rPr>
                <w:rFonts w:hint="eastAsia" w:ascii="仿宋" w:hAnsi="仿宋" w:eastAsia="仿宋" w:cs="仿宋"/>
                <w:color w:val="auto"/>
                <w:sz w:val="20"/>
                <w:szCs w:val="20"/>
              </w:rPr>
            </w:pP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restart"/>
            <w:tcBorders>
              <w:top w:val="single" w:color="auto" w:sz="4" w:space="0"/>
              <w:bottom w:val="single" w:color="000000" w:sz="4" w:space="0"/>
              <w:right w:val="single" w:color="auto" w:sz="4" w:space="0"/>
            </w:tcBorders>
            <w:noWrap w:val="0"/>
            <w:vAlign w:val="center"/>
          </w:tcPr>
          <w:p>
            <w:pPr>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过程</w:t>
            </w:r>
          </w:p>
        </w:tc>
        <w:tc>
          <w:tcPr>
            <w:tcW w:w="364" w:type="dxa"/>
            <w:vMerge w:val="restart"/>
            <w:tcBorders>
              <w:top w:val="single" w:color="auto" w:sz="4" w:space="0"/>
              <w:left w:val="single" w:color="auto" w:sz="4" w:space="0"/>
              <w:bottom w:val="single" w:color="000000" w:sz="4" w:space="0"/>
              <w:right w:val="single" w:color="auto" w:sz="4" w:space="0"/>
            </w:tcBorders>
            <w:noWrap w:val="0"/>
            <w:vAlign w:val="center"/>
          </w:tcPr>
          <w:p>
            <w:pPr>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业务管理</w:t>
            </w: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项目质量可控性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3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项目实施单位是否为达到项目质量要求而采取了必需的措施，用以反映和考核项目实施单位对项目质量的控制情况。</w:t>
            </w:r>
          </w:p>
        </w:tc>
        <w:tc>
          <w:tcPr>
            <w:tcW w:w="468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73" w:type="dxa"/>
            <w:tcBorders>
              <w:top w:val="single" w:color="auto" w:sz="4" w:space="0"/>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single" w:color="auto" w:sz="4" w:space="0"/>
              <w:left w:val="nil"/>
              <w:bottom w:val="nil"/>
              <w:right w:val="single" w:color="auto" w:sz="4" w:space="0"/>
            </w:tcBorders>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①</w:t>
            </w:r>
            <w:r>
              <w:rPr>
                <w:rFonts w:hint="eastAsia" w:ascii="仿宋" w:hAnsi="仿宋" w:eastAsia="仿宋" w:cs="仿宋"/>
                <w:color w:val="auto"/>
                <w:sz w:val="20"/>
                <w:szCs w:val="20"/>
              </w:rPr>
              <w:t>是否已制定或其有相应的项目质量要求或标准；</w:t>
            </w:r>
          </w:p>
        </w:tc>
        <w:tc>
          <w:tcPr>
            <w:tcW w:w="473" w:type="dxa"/>
            <w:tcBorders>
              <w:top w:val="single" w:color="auto" w:sz="4" w:space="0"/>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②是否采取了相应的项目质量检查、验收等必需的控制措施或手段。</w:t>
            </w: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财务管理</w:t>
            </w: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管理制度健全性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项目实施单位的财务制度是否健全，用以反映和考核财务管理制度对资金规范安全运行的保障情况。</w:t>
            </w: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73" w:type="dxa"/>
            <w:tcBorders>
              <w:top w:val="nil"/>
              <w:left w:val="nil"/>
              <w:bottom w:val="nil"/>
            </w:tcBorders>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pStyle w:val="4"/>
              <w:widowControl/>
              <w:spacing w:line="240" w:lineRule="exact"/>
              <w:ind w:firstLine="0" w:firstLineChars="0"/>
              <w:jc w:val="left"/>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①</w:t>
            </w:r>
            <w:r>
              <w:rPr>
                <w:rFonts w:hint="eastAsia" w:ascii="仿宋" w:hAnsi="仿宋" w:eastAsia="仿宋" w:cs="仿宋"/>
                <w:color w:val="auto"/>
                <w:sz w:val="20"/>
                <w:szCs w:val="20"/>
              </w:rPr>
              <w:t>是否已制定或具有相应的项目资金管理办法；</w:t>
            </w:r>
          </w:p>
        </w:tc>
        <w:tc>
          <w:tcPr>
            <w:tcW w:w="473" w:type="dxa"/>
            <w:tcBorders>
              <w:top w:val="nil"/>
              <w:left w:val="nil"/>
              <w:bottom w:val="nil"/>
            </w:tcBorders>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②</w:t>
            </w:r>
            <w:r>
              <w:rPr>
                <w:rFonts w:hint="eastAsia" w:ascii="仿宋" w:hAnsi="仿宋" w:eastAsia="仿宋" w:cs="仿宋"/>
                <w:color w:val="auto"/>
                <w:sz w:val="20"/>
                <w:szCs w:val="20"/>
              </w:rPr>
              <w:t>项目资金管理办法是否符合相关财务会计制度的规定。</w:t>
            </w: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资金使用合规性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项目资金使用是否符合相关的财务管理制度规定，用以反映和考核项目资金的规范运行情况。</w:t>
            </w: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①是否符合国家财经法规和财务管理以及有关专项资金管理办法的规定；</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②</w:t>
            </w:r>
            <w:r>
              <w:rPr>
                <w:rFonts w:hint="eastAsia" w:ascii="仿宋" w:hAnsi="仿宋" w:eastAsia="仿宋" w:cs="仿宋"/>
                <w:color w:val="auto"/>
                <w:sz w:val="20"/>
                <w:szCs w:val="20"/>
              </w:rPr>
              <w:t>资金的拨付是否有完整的审批程序和手续；</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③</w:t>
            </w:r>
            <w:r>
              <w:rPr>
                <w:rFonts w:hint="eastAsia" w:ascii="仿宋" w:hAnsi="仿宋" w:eastAsia="仿宋" w:cs="仿宋"/>
                <w:color w:val="auto"/>
                <w:sz w:val="20"/>
                <w:szCs w:val="20"/>
              </w:rPr>
              <w:t>项目的重大开支是否经过评估认证；</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④</w:t>
            </w:r>
            <w:r>
              <w:rPr>
                <w:rFonts w:hint="eastAsia" w:ascii="仿宋" w:hAnsi="仿宋" w:eastAsia="仿宋" w:cs="仿宋"/>
                <w:color w:val="auto"/>
                <w:sz w:val="20"/>
                <w:szCs w:val="20"/>
              </w:rPr>
              <w:t>是否符合项目预算批复或合同规定的用途；</w:t>
            </w:r>
          </w:p>
        </w:tc>
        <w:tc>
          <w:tcPr>
            <w:tcW w:w="473" w:type="dxa"/>
            <w:tcBorders>
              <w:top w:val="nil"/>
              <w:left w:val="nil"/>
              <w:bottom w:val="nil"/>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⑤</w:t>
            </w:r>
            <w:r>
              <w:rPr>
                <w:rFonts w:hint="eastAsia" w:ascii="仿宋" w:hAnsi="仿宋" w:eastAsia="仿宋" w:cs="仿宋"/>
                <w:color w:val="auto"/>
                <w:sz w:val="20"/>
                <w:szCs w:val="20"/>
              </w:rPr>
              <w:t>是否存在截留、挤占、挪用、虚列支出等情况。</w:t>
            </w: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财务监控有效性</w:t>
            </w:r>
          </w:p>
        </w:tc>
        <w:tc>
          <w:tcPr>
            <w:tcW w:w="416" w:type="dxa"/>
            <w:vMerge w:val="restart"/>
            <w:tcBorders>
              <w:top w:val="nil"/>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项目实施单位是否为保障资金的安全、规范运行而采取了必要的监控措施，用以反映和考核项目实施单位对资金运行的控制情况。</w:t>
            </w: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73" w:type="dxa"/>
            <w:tcBorders>
              <w:top w:val="nil"/>
              <w:left w:val="nil"/>
              <w:bottom w:val="nil"/>
            </w:tcBorders>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pStyle w:val="4"/>
              <w:widowControl/>
              <w:spacing w:line="240" w:lineRule="exact"/>
              <w:ind w:firstLine="0" w:firstLineChars="0"/>
              <w:jc w:val="left"/>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①</w:t>
            </w:r>
            <w:r>
              <w:rPr>
                <w:rFonts w:hint="eastAsia" w:ascii="仿宋" w:hAnsi="仿宋" w:eastAsia="仿宋" w:cs="仿宋"/>
                <w:color w:val="auto"/>
                <w:sz w:val="20"/>
                <w:szCs w:val="20"/>
              </w:rPr>
              <w:t>是否已制定或具有相应的监控机制；</w:t>
            </w:r>
          </w:p>
        </w:tc>
        <w:tc>
          <w:tcPr>
            <w:tcW w:w="473" w:type="dxa"/>
            <w:tcBorders>
              <w:top w:val="nil"/>
              <w:left w:val="nil"/>
              <w:bottom w:val="nil"/>
            </w:tcBorders>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②</w:t>
            </w:r>
            <w:r>
              <w:rPr>
                <w:rFonts w:hint="eastAsia" w:ascii="仿宋" w:hAnsi="仿宋" w:eastAsia="仿宋" w:cs="仿宋"/>
                <w:color w:val="auto"/>
                <w:sz w:val="20"/>
                <w:szCs w:val="20"/>
              </w:rPr>
              <w:t>是否采取了相应的财务检查等必要的监控措施或手段。</w:t>
            </w: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restart"/>
            <w:tcBorders>
              <w:top w:val="nil"/>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产出</w:t>
            </w:r>
          </w:p>
        </w:tc>
        <w:tc>
          <w:tcPr>
            <w:tcW w:w="364"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项目产出</w:t>
            </w: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实际完成率</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项目实施的实际产出数与计划产出数的比率，用以反映和考核项目产出数量目标的实现程度。</w:t>
            </w: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实际完成率＝（实际产出数/计划产出数）×100%。</w:t>
            </w:r>
          </w:p>
        </w:tc>
        <w:tc>
          <w:tcPr>
            <w:tcW w:w="473" w:type="dxa"/>
            <w:tcBorders>
              <w:top w:val="nil"/>
              <w:left w:val="nil"/>
              <w:bottom w:val="nil"/>
            </w:tcBorders>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实际产出数：一定时期（本年度或项目期）内项目实际产出的产品或提供的服务数。</w:t>
            </w:r>
          </w:p>
        </w:tc>
        <w:tc>
          <w:tcPr>
            <w:tcW w:w="473" w:type="dxa"/>
            <w:tcBorders>
              <w:top w:val="nil"/>
              <w:left w:val="nil"/>
              <w:bottom w:val="nil"/>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707" w:hRule="atLeast"/>
        </w:trPr>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计划产出数：项目绩效目标确定的在一定时期（本年度或项目期）内计划产出的产品或提供的服务数量。</w:t>
            </w: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完成及时率</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项目实际提前完成时间与计划完成时间的比率，用以反映和考核项目产出时效目标的实现程度</w:t>
            </w: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完成及时率[ (计划完成时间-实际完成时间）/计划完成时间] ×100%。</w:t>
            </w:r>
          </w:p>
        </w:tc>
        <w:tc>
          <w:tcPr>
            <w:tcW w:w="473" w:type="dxa"/>
            <w:tcBorders>
              <w:top w:val="nil"/>
              <w:left w:val="nil"/>
              <w:bottom w:val="nil"/>
            </w:tcBorders>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实际完成时间：项目实施单位完成该项目实际所耗用的时间。</w:t>
            </w:r>
          </w:p>
        </w:tc>
        <w:tc>
          <w:tcPr>
            <w:tcW w:w="473" w:type="dxa"/>
            <w:tcBorders>
              <w:top w:val="nil"/>
              <w:left w:val="nil"/>
              <w:bottom w:val="nil"/>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41" w:hRule="atLeast"/>
        </w:trPr>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计划完成时间：桉照项目实施计划或相关规定完成该项目所需的时间。</w:t>
            </w: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质量达标率</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项目完成的质量达标产出数与实际产出数的比率，用以反映和考核项目产出质量目标的实现程度。</w:t>
            </w: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质量达标率＝（质量达标产出数/实际产出数）/100%。</w:t>
            </w:r>
          </w:p>
        </w:tc>
        <w:tc>
          <w:tcPr>
            <w:tcW w:w="473" w:type="dxa"/>
            <w:tcBorders>
              <w:top w:val="nil"/>
              <w:left w:val="nil"/>
              <w:bottom w:val="nil"/>
            </w:tcBorders>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质量达标产出数：一定时期（本年度或项目期）内实际达到既定质量标准的产品或服务数量。</w:t>
            </w:r>
          </w:p>
        </w:tc>
        <w:tc>
          <w:tcPr>
            <w:tcW w:w="473" w:type="dxa"/>
            <w:tcBorders>
              <w:top w:val="nil"/>
              <w:left w:val="nil"/>
              <w:bottom w:val="nil"/>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878" w:hRule="atLeast"/>
        </w:trPr>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既定质量标准是指项目实施单位设立绩效目标时依据计划标准、行业标准、历史标准或其他标准而设定的绩效指标值。</w:t>
            </w: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成本节约率</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完成项目计划工作目标的实际节约成本与计划成本的比率，用以反映和考核项目的成本节约程度。</w:t>
            </w: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成本节约率＝(计划成本-实际成本) /计划成本×100%。</w:t>
            </w:r>
          </w:p>
        </w:tc>
        <w:tc>
          <w:tcPr>
            <w:tcW w:w="473" w:type="dxa"/>
            <w:tcBorders>
              <w:top w:val="nil"/>
              <w:left w:val="nil"/>
              <w:bottom w:val="nil"/>
            </w:tcBorders>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实际成本：项目实施单位如期、保质、保量完成既定工作目标实际所耗费的支出。</w:t>
            </w:r>
          </w:p>
        </w:tc>
        <w:tc>
          <w:tcPr>
            <w:tcW w:w="473" w:type="dxa"/>
            <w:tcBorders>
              <w:top w:val="nil"/>
              <w:left w:val="nil"/>
              <w:bottom w:val="nil"/>
            </w:tcBorders>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765" w:hRule="atLeast"/>
        </w:trPr>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计划成本：项目实施单位为完成工作目标计划安排的支出，一般以项目预算为参考。</w:t>
            </w:r>
          </w:p>
        </w:tc>
        <w:tc>
          <w:tcPr>
            <w:tcW w:w="473" w:type="dxa"/>
            <w:tcBorders>
              <w:top w:val="nil"/>
              <w:left w:val="nil"/>
              <w:bottom w:val="single" w:color="auto" w:sz="4" w:space="0"/>
            </w:tcBorders>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restart"/>
            <w:tcBorders>
              <w:top w:val="nil"/>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效果</w:t>
            </w:r>
          </w:p>
        </w:tc>
        <w:tc>
          <w:tcPr>
            <w:tcW w:w="364"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项目效益</w:t>
            </w:r>
          </w:p>
        </w:tc>
        <w:tc>
          <w:tcPr>
            <w:tcW w:w="8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经济效益</w:t>
            </w:r>
          </w:p>
        </w:tc>
        <w:tc>
          <w:tcPr>
            <w:tcW w:w="416"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2316"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项目实施对经济发展所带来的直接或间接影响情况。</w:t>
            </w:r>
          </w:p>
        </w:tc>
        <w:tc>
          <w:tcPr>
            <w:tcW w:w="4680"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此四项指标为设置项目支出績效评价指标时必须考虑的共性要素，可根据项目实际并结合绩效目标设立情况有选择的进行设置，并将其细化为相应的个性化指标。</w:t>
            </w:r>
          </w:p>
        </w:tc>
        <w:tc>
          <w:tcPr>
            <w:tcW w:w="473" w:type="dxa"/>
            <w:vMerge w:val="restart"/>
            <w:tcBorders>
              <w:top w:val="nil"/>
              <w:lef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24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社会效益</w:t>
            </w:r>
          </w:p>
        </w:tc>
        <w:tc>
          <w:tcPr>
            <w:tcW w:w="416"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2316"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项目实施对社会发展所带来的直接或间接影响情况。</w:t>
            </w:r>
          </w:p>
        </w:tc>
        <w:tc>
          <w:tcPr>
            <w:tcW w:w="4680"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73" w:type="dxa"/>
            <w:vMerge w:val="continue"/>
            <w:tcBorders>
              <w:lef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生态效益</w:t>
            </w:r>
          </w:p>
        </w:tc>
        <w:tc>
          <w:tcPr>
            <w:tcW w:w="416"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2316"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项目实施对生态环境所带来的直接或间接影响情况。</w:t>
            </w:r>
          </w:p>
        </w:tc>
        <w:tc>
          <w:tcPr>
            <w:tcW w:w="4680"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73" w:type="dxa"/>
            <w:vMerge w:val="continue"/>
            <w:tcBorders>
              <w:lef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可持续影响</w:t>
            </w:r>
          </w:p>
        </w:tc>
        <w:tc>
          <w:tcPr>
            <w:tcW w:w="416"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2316" w:type="dxa"/>
            <w:tcBorders>
              <w:top w:val="nil"/>
              <w:left w:val="nil"/>
              <w:bottom w:val="single" w:color="auto" w:sz="4" w:space="0"/>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项目后续运行及成效发挥的可持续影响情况。</w:t>
            </w:r>
          </w:p>
        </w:tc>
        <w:tc>
          <w:tcPr>
            <w:tcW w:w="4680"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473" w:type="dxa"/>
            <w:vMerge w:val="continue"/>
            <w:tcBorders>
              <w:left w:val="single" w:color="auto" w:sz="4" w:space="0"/>
              <w:bottom w:val="single" w:color="000000" w:sz="4" w:space="0"/>
            </w:tcBorders>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385" w:type="dxa"/>
            <w:vMerge w:val="continue"/>
            <w:tcBorders>
              <w:top w:val="nil"/>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364" w:type="dxa"/>
            <w:vMerge w:val="continue"/>
            <w:tcBorders>
              <w:top w:val="nil"/>
              <w:left w:val="single" w:color="auto" w:sz="4" w:space="0"/>
              <w:right w:val="single" w:color="auto" w:sz="4" w:space="0"/>
            </w:tcBorders>
            <w:noWrap w:val="0"/>
            <w:vAlign w:val="center"/>
          </w:tcPr>
          <w:p>
            <w:pPr>
              <w:widowControl/>
              <w:spacing w:line="240" w:lineRule="exact"/>
              <w:jc w:val="left"/>
              <w:rPr>
                <w:rFonts w:hint="eastAsia" w:ascii="仿宋" w:hAnsi="仿宋" w:eastAsia="仿宋" w:cs="仿宋"/>
                <w:color w:val="auto"/>
                <w:sz w:val="20"/>
                <w:szCs w:val="20"/>
              </w:rPr>
            </w:pPr>
          </w:p>
        </w:tc>
        <w:tc>
          <w:tcPr>
            <w:tcW w:w="855" w:type="dxa"/>
            <w:tcBorders>
              <w:top w:val="nil"/>
              <w:left w:val="nil"/>
              <w:right w:val="single" w:color="auto" w:sz="4" w:space="0"/>
            </w:tcBorders>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社会公众或服务对象满意度</w:t>
            </w:r>
          </w:p>
        </w:tc>
        <w:tc>
          <w:tcPr>
            <w:tcW w:w="416" w:type="dxa"/>
            <w:tcBorders>
              <w:top w:val="single" w:color="auto" w:sz="4" w:space="0"/>
              <w:left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2316" w:type="dxa"/>
            <w:tcBorders>
              <w:top w:val="nil"/>
              <w:left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社会公众或服务对象对项目实施效策的满意程度</w:t>
            </w:r>
          </w:p>
        </w:tc>
        <w:tc>
          <w:tcPr>
            <w:tcW w:w="4680" w:type="dxa"/>
            <w:tcBorders>
              <w:top w:val="nil"/>
              <w:left w:val="nil"/>
              <w:right w:val="single" w:color="auto" w:sz="4" w:space="0"/>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社会公众或服务对象是指因该项目实施而受到影响的部门(单位)、群体或个人。一般采取社会调查的方式。</w:t>
            </w:r>
          </w:p>
        </w:tc>
        <w:tc>
          <w:tcPr>
            <w:tcW w:w="473" w:type="dxa"/>
            <w:tcBorders>
              <w:top w:val="nil"/>
              <w:left w:val="nil"/>
            </w:tcBorders>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r>
    </w:tbl>
    <w:p>
      <w:pPr>
        <w:spacing w:line="360" w:lineRule="auto"/>
        <w:ind w:firstLine="760"/>
        <w:rPr>
          <w:rFonts w:ascii="宋体" w:hAnsi="宋体" w:cs="汉仪书宋二S"/>
          <w:color w:val="auto"/>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1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汉仪书宋二S">
    <w:altName w:val="方正书宋_GBK"/>
    <w:panose1 w:val="00000000000000000000"/>
    <w:charset w:val="00"/>
    <w:family w:val="auto"/>
    <w:pitch w:val="default"/>
    <w:sig w:usb0="00000000" w:usb1="00000000" w:usb2="00000000" w:usb3="00000000" w:csb0="00040001" w:csb1="00000000"/>
  </w:font>
  <w:font w:name="黑体">
    <w:altName w:val="方正黑体_GBK"/>
    <w:panose1 w:val="02010609060101010101"/>
    <w:charset w:val="00"/>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BE32FB"/>
    <w:rsid w:val="003E6856"/>
    <w:rsid w:val="004C1C0A"/>
    <w:rsid w:val="00834917"/>
    <w:rsid w:val="2FF9D09C"/>
    <w:rsid w:val="37BE32FB"/>
    <w:rsid w:val="49465A9D"/>
    <w:rsid w:val="57776C0E"/>
    <w:rsid w:val="77DFB71C"/>
    <w:rsid w:val="8DFFF50F"/>
    <w:rsid w:val="8FA9C515"/>
    <w:rsid w:val="9F7DDD8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991</Words>
  <Characters>5651</Characters>
  <Lines>47</Lines>
  <Paragraphs>13</Paragraphs>
  <TotalTime>5.66666666666667</TotalTime>
  <ScaleCrop>false</ScaleCrop>
  <LinksUpToDate>false</LinksUpToDate>
  <CharactersWithSpaces>6629</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2023-06-29T08:34:00Z</dcterms:created>
  <dc:creator>greatwall</dc:creator>
  <cp:lastModifiedBy>greatwall</cp:lastModifiedBy>
  <dcterms:modified xsi:type="dcterms:W3CDTF">2024-10-22T16:31:08Z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4786426CB8FA5160CC6217678C39FD63</vt:lpwstr>
  </property>
</Properties>
</file>