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color w:val="auto"/>
          <w:kern w:val="0"/>
          <w:sz w:val="44"/>
          <w:szCs w:val="22"/>
        </w:rPr>
      </w:pPr>
      <w:bookmarkStart w:id="0" w:name="_GoBack"/>
      <w:bookmarkEnd w:id="0"/>
      <w:r>
        <w:rPr>
          <w:rFonts w:ascii="宋体" w:hAnsi="宋体"/>
          <w:b/>
          <w:color w:val="auto"/>
          <w:kern w:val="0"/>
          <w:sz w:val="44"/>
          <w:szCs w:val="22"/>
        </w:rPr>
        <w:t>2022年</w:t>
      </w:r>
      <w:r>
        <w:rPr>
          <w:rFonts w:hint="eastAsia" w:ascii="宋体" w:hAnsi="宋体"/>
          <w:b/>
          <w:color w:val="auto"/>
          <w:kern w:val="0"/>
          <w:sz w:val="44"/>
          <w:szCs w:val="22"/>
        </w:rPr>
        <w:t>度</w:t>
      </w:r>
      <w:r>
        <w:rPr>
          <w:rFonts w:ascii="宋体" w:hAnsi="宋体"/>
          <w:b/>
          <w:color w:val="auto"/>
          <w:kern w:val="0"/>
          <w:sz w:val="44"/>
          <w:szCs w:val="22"/>
        </w:rPr>
        <w:t>公租房后续管理</w:t>
      </w:r>
      <w:r>
        <w:rPr>
          <w:rFonts w:hint="eastAsia" w:ascii="宋体" w:hAnsi="宋体"/>
          <w:b/>
          <w:color w:val="auto"/>
          <w:kern w:val="0"/>
          <w:sz w:val="44"/>
          <w:szCs w:val="22"/>
        </w:rPr>
        <w:t>专项资金绩效自评报告</w:t>
      </w:r>
    </w:p>
    <w:p>
      <w:pPr>
        <w:rPr>
          <w:rFonts w:hint="eastAsia"/>
          <w:color w:val="auto"/>
        </w:rPr>
      </w:pPr>
    </w:p>
    <w:p>
      <w:pPr>
        <w:ind w:firstLine="722" w:firstLineChars="200"/>
        <w:rPr>
          <w:b/>
          <w:bCs/>
          <w:color w:val="auto"/>
          <w:sz w:val="36"/>
          <w:szCs w:val="36"/>
        </w:rPr>
      </w:pPr>
      <w:r>
        <w:rPr>
          <w:rFonts w:hint="eastAsia"/>
          <w:b/>
          <w:bCs/>
          <w:color w:val="auto"/>
          <w:sz w:val="36"/>
          <w:szCs w:val="36"/>
        </w:rPr>
        <w:t>一、项目基本情况</w:t>
      </w:r>
    </w:p>
    <w:p>
      <w:pPr>
        <w:ind w:firstLine="642" w:firstLineChars="200"/>
        <w:rPr>
          <w:b/>
          <w:bCs/>
          <w:color w:val="auto"/>
          <w:sz w:val="32"/>
          <w:szCs w:val="32"/>
        </w:rPr>
      </w:pPr>
      <w:r>
        <w:rPr>
          <w:rFonts w:hint="eastAsia"/>
          <w:b/>
          <w:bCs/>
          <w:color w:val="auto"/>
          <w:sz w:val="32"/>
          <w:szCs w:val="32"/>
        </w:rPr>
        <w:t>（一）项目概况</w:t>
      </w:r>
    </w:p>
    <w:p>
      <w:pPr>
        <w:spacing w:line="360" w:lineRule="auto"/>
        <w:ind w:firstLine="600" w:firstLineChars="200"/>
        <w:jc w:val="left"/>
        <w:rPr>
          <w:rFonts w:hint="eastAsia" w:ascii="宋体" w:hAnsi="宋体"/>
          <w:color w:val="auto"/>
          <w:kern w:val="0"/>
          <w:sz w:val="30"/>
          <w:szCs w:val="30"/>
        </w:rPr>
      </w:pPr>
      <w:r>
        <w:rPr>
          <w:rFonts w:hint="eastAsia" w:ascii="宋体" w:hAnsi="宋体"/>
          <w:color w:val="auto"/>
          <w:kern w:val="0"/>
          <w:sz w:val="30"/>
          <w:szCs w:val="30"/>
        </w:rPr>
        <w:t>1、项目单位基本情况</w:t>
      </w:r>
    </w:p>
    <w:p>
      <w:pPr>
        <w:spacing w:line="360" w:lineRule="auto"/>
        <w:ind w:firstLine="600" w:firstLineChars="200"/>
        <w:jc w:val="left"/>
        <w:rPr>
          <w:rFonts w:hint="eastAsia" w:ascii="宋体" w:hAnsi="宋体"/>
          <w:color w:val="auto"/>
          <w:kern w:val="0"/>
          <w:sz w:val="30"/>
          <w:szCs w:val="30"/>
        </w:rPr>
      </w:pPr>
      <w:r>
        <w:rPr>
          <w:rFonts w:hint="eastAsia" w:ascii="宋体" w:hAnsi="宋体"/>
          <w:color w:val="auto"/>
          <w:kern w:val="0"/>
          <w:sz w:val="30"/>
          <w:szCs w:val="30"/>
        </w:rPr>
        <w:t>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p>
    <w:p>
      <w:pPr>
        <w:spacing w:line="360" w:lineRule="auto"/>
        <w:ind w:firstLine="600" w:firstLineChars="200"/>
        <w:jc w:val="left"/>
        <w:rPr>
          <w:rFonts w:hint="eastAsia" w:ascii="宋体" w:hAnsi="宋体"/>
          <w:color w:val="auto"/>
          <w:kern w:val="0"/>
          <w:sz w:val="30"/>
          <w:szCs w:val="30"/>
        </w:rPr>
      </w:pPr>
      <w:r>
        <w:rPr>
          <w:rFonts w:ascii="宋体" w:hAnsi="宋体"/>
          <w:color w:val="auto"/>
          <w:kern w:val="0"/>
          <w:sz w:val="30"/>
          <w:szCs w:val="30"/>
        </w:rPr>
        <w:t>2、</w:t>
      </w:r>
      <w:r>
        <w:rPr>
          <w:rFonts w:hint="eastAsia" w:ascii="宋体" w:hAnsi="宋体"/>
          <w:color w:val="auto"/>
          <w:kern w:val="0"/>
          <w:sz w:val="30"/>
          <w:szCs w:val="30"/>
        </w:rPr>
        <w:t>项目的实施依据</w:t>
      </w:r>
    </w:p>
    <w:p>
      <w:pPr>
        <w:spacing w:line="360" w:lineRule="auto"/>
        <w:ind w:firstLine="600" w:firstLineChars="200"/>
        <w:jc w:val="left"/>
        <w:rPr>
          <w:rFonts w:ascii="宋体" w:hAnsi="宋体" w:cs="汉仪书宋二S"/>
          <w:color w:val="auto"/>
          <w:sz w:val="30"/>
          <w:szCs w:val="30"/>
        </w:rPr>
      </w:pPr>
      <w:r>
        <w:rPr>
          <w:rFonts w:ascii="宋体" w:hAnsi="宋体" w:cs="汉仪书宋二S"/>
          <w:color w:val="auto"/>
          <w:sz w:val="30"/>
          <w:szCs w:val="30"/>
        </w:rPr>
        <w:t>公租房后续管理项目根据《关于加强廉租住房管理有关问题的通知》、《关于解决城市低收入家庭住房困难的若干意见》、《关于加强城镇住房保障家庭租赁补贴发放工作的通知》等相关文件立项。</w:t>
      </w:r>
    </w:p>
    <w:p>
      <w:pPr>
        <w:spacing w:line="360" w:lineRule="auto"/>
        <w:ind w:firstLine="600" w:firstLineChars="200"/>
        <w:jc w:val="left"/>
        <w:rPr>
          <w:rFonts w:ascii="宋体" w:hAnsi="宋体" w:cs="汉仪书宋二S"/>
          <w:color w:val="auto"/>
          <w:sz w:val="30"/>
          <w:szCs w:val="30"/>
        </w:rPr>
      </w:pPr>
      <w:r>
        <w:rPr>
          <w:rFonts w:ascii="宋体" w:hAnsi="宋体"/>
          <w:color w:val="auto"/>
          <w:sz w:val="30"/>
          <w:szCs w:val="30"/>
        </w:rPr>
        <w:t>3、</w:t>
      </w:r>
      <w:r>
        <w:rPr>
          <w:rFonts w:hint="eastAsia" w:ascii="宋体" w:hAnsi="宋体"/>
          <w:color w:val="auto"/>
          <w:kern w:val="0"/>
          <w:sz w:val="30"/>
          <w:szCs w:val="30"/>
        </w:rPr>
        <w:t>项目基本性质、用途和主要内容、涉及范围</w:t>
      </w:r>
    </w:p>
    <w:p>
      <w:pPr>
        <w:spacing w:line="360" w:lineRule="auto"/>
        <w:ind w:firstLine="600" w:firstLineChars="200"/>
        <w:rPr>
          <w:rFonts w:hint="eastAsia" w:ascii="宋体" w:hAnsi="宋体" w:cs="汉仪书宋二S"/>
          <w:color w:val="auto"/>
          <w:sz w:val="30"/>
          <w:szCs w:val="30"/>
        </w:rPr>
      </w:pPr>
      <w:r>
        <w:rPr>
          <w:rFonts w:ascii="宋体" w:hAnsi="宋体" w:cs="汉仪书宋二S"/>
          <w:color w:val="auto"/>
          <w:sz w:val="30"/>
          <w:szCs w:val="30"/>
        </w:rPr>
        <w:t>主要用于市本级城南、城东、城北公租房小区维修维护，</w:t>
      </w:r>
      <w:r>
        <w:rPr>
          <w:rFonts w:hint="eastAsia" w:ascii="宋体" w:hAnsi="宋体" w:cs="宋体"/>
          <w:color w:val="auto"/>
          <w:sz w:val="30"/>
          <w:szCs w:val="30"/>
        </w:rPr>
        <w:t>严</w:t>
      </w:r>
      <w:r>
        <w:rPr>
          <w:rFonts w:hint="eastAsia" w:ascii="宋体" w:hAnsi="宋体" w:cs="汉仪书宋二S"/>
          <w:color w:val="auto"/>
          <w:sz w:val="30"/>
          <w:szCs w:val="30"/>
        </w:rPr>
        <w:t>格按照国家规定要求，建筑面积（廉租房50㎡以内，公租住房60㎡以内），有二室一厅和一室一厅两种户型，均配有卧室、厨房、客厅、阳台、卫生间等，且都进行了简单装修，住户们只需带生活用具，就直接可以居住。小区还配备了幼儿园、超市和健身场所等设施，基本可满足住户们的日常生活需求。</w:t>
      </w:r>
    </w:p>
    <w:p>
      <w:pPr>
        <w:spacing w:line="360" w:lineRule="auto"/>
        <w:ind w:firstLine="600" w:firstLineChars="200"/>
        <w:rPr>
          <w:rFonts w:hint="eastAsia" w:ascii="宋体" w:hAnsi="宋体" w:cs="汉仪书宋二S"/>
          <w:color w:val="auto"/>
          <w:sz w:val="30"/>
          <w:szCs w:val="30"/>
        </w:rPr>
      </w:pPr>
      <w:r>
        <w:rPr>
          <w:rFonts w:hint="eastAsia" w:ascii="宋体" w:hAnsi="宋体" w:cs="汉仪书宋二S"/>
          <w:color w:val="auto"/>
          <w:sz w:val="30"/>
          <w:szCs w:val="30"/>
        </w:rPr>
        <w:t>怀化市住房保障服务中心通过政府购买服务的方式，由市采购办公开招投标方式，招入三家物业服务企业，物业服务企业负责小区环境卫生、安全等工作，我中心另请2家监控维修公司、1家电梯维保公司、3家日常维修公司负责负责三个保障性住房小区的房屋维修和设备设施日常维护保养等工作。</w:t>
      </w:r>
    </w:p>
    <w:p>
      <w:pPr>
        <w:spacing w:line="360" w:lineRule="auto"/>
        <w:ind w:firstLine="740"/>
        <w:jc w:val="left"/>
        <w:rPr>
          <w:rFonts w:ascii="宋体" w:hAnsi="宋体"/>
          <w:color w:val="auto"/>
          <w:sz w:val="28"/>
          <w:szCs w:val="28"/>
        </w:rPr>
      </w:pPr>
      <w:r>
        <w:rPr>
          <w:rFonts w:hint="eastAsia" w:ascii="宋体" w:hAnsi="宋体"/>
          <w:b/>
          <w:color w:val="auto"/>
          <w:sz w:val="32"/>
          <w:szCs w:val="32"/>
        </w:rPr>
        <w:t>（</w:t>
      </w:r>
      <w:r>
        <w:rPr>
          <w:rFonts w:hint="eastAsia" w:ascii="宋体" w:hAnsi="宋体"/>
          <w:b/>
          <w:bCs/>
          <w:color w:val="auto"/>
          <w:sz w:val="32"/>
          <w:szCs w:val="32"/>
        </w:rPr>
        <w:t>二）项目绩效目标</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1、切实做好公租房日常维护保养工作，水、电、路、网络故障，24小时有人受理，单户问题1天内解决，单元问题3天内解决，单栋问题7天内解决；</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2、做好年租金补贴对象调查，摸底工作，及时按要求把租赁补贴发放到位；</w:t>
      </w:r>
    </w:p>
    <w:p>
      <w:pPr>
        <w:spacing w:line="360" w:lineRule="auto"/>
        <w:ind w:firstLine="740"/>
        <w:jc w:val="left"/>
        <w:rPr>
          <w:rFonts w:ascii="宋体" w:hAnsi="宋体" w:cs="汉仪书宋二S"/>
          <w:color w:val="auto"/>
          <w:sz w:val="30"/>
          <w:szCs w:val="30"/>
        </w:rPr>
      </w:pPr>
      <w:r>
        <w:rPr>
          <w:rFonts w:ascii="宋体" w:hAnsi="宋体" w:cs="汉仪书宋二S"/>
          <w:color w:val="auto"/>
          <w:sz w:val="30"/>
          <w:szCs w:val="30"/>
        </w:rPr>
        <w:t>3、积极做好公租房租赁资格年审工作，每年进行一次</w:t>
      </w:r>
      <w:r>
        <w:rPr>
          <w:rFonts w:hint="eastAsia" w:ascii="宋体" w:hAnsi="宋体" w:cs="汉仪书宋二S"/>
          <w:color w:val="auto"/>
          <w:sz w:val="30"/>
          <w:szCs w:val="30"/>
        </w:rPr>
        <w:t>。</w:t>
      </w:r>
    </w:p>
    <w:p>
      <w:pPr>
        <w:spacing w:line="360" w:lineRule="auto"/>
        <w:ind w:firstLine="740"/>
        <w:jc w:val="left"/>
        <w:rPr>
          <w:rFonts w:ascii="宋体" w:hAnsi="宋体"/>
          <w:color w:val="auto"/>
          <w:sz w:val="36"/>
          <w:szCs w:val="36"/>
        </w:rPr>
      </w:pPr>
      <w:r>
        <w:rPr>
          <w:rFonts w:hint="eastAsia" w:ascii="宋体" w:hAnsi="宋体"/>
          <w:b/>
          <w:color w:val="auto"/>
          <w:sz w:val="36"/>
          <w:szCs w:val="36"/>
        </w:rPr>
        <w:t>二、绩效评价工作情况</w:t>
      </w:r>
    </w:p>
    <w:p>
      <w:pPr>
        <w:spacing w:line="360" w:lineRule="auto"/>
        <w:ind w:firstLine="740"/>
        <w:jc w:val="left"/>
        <w:rPr>
          <w:rFonts w:ascii="宋体" w:hAnsi="宋体"/>
          <w:color w:val="auto"/>
          <w:sz w:val="30"/>
          <w:szCs w:val="30"/>
        </w:rPr>
      </w:pPr>
      <w:r>
        <w:rPr>
          <w:rFonts w:hint="eastAsia" w:ascii="宋体" w:hAnsi="宋体"/>
          <w:color w:val="auto"/>
          <w:sz w:val="30"/>
          <w:szCs w:val="30"/>
        </w:rPr>
        <w:t>1、工作准备阶段</w:t>
      </w:r>
    </w:p>
    <w:p>
      <w:pPr>
        <w:spacing w:line="360" w:lineRule="auto"/>
        <w:ind w:firstLine="600" w:firstLineChars="200"/>
        <w:rPr>
          <w:rFonts w:ascii="宋体" w:hAnsi="宋体"/>
          <w:color w:val="auto"/>
          <w:sz w:val="30"/>
          <w:szCs w:val="30"/>
        </w:rPr>
      </w:pPr>
      <w:r>
        <w:rPr>
          <w:rFonts w:hint="eastAsia" w:ascii="宋体" w:hAnsi="宋体"/>
          <w:color w:val="auto"/>
          <w:sz w:val="30"/>
          <w:szCs w:val="30"/>
        </w:rPr>
        <w:t>本次绩效自评工作，由我单位财务部门牵头，接到怀化市财政局下发的《怀化市财政局关于开展</w:t>
      </w:r>
      <w:r>
        <w:rPr>
          <w:rFonts w:ascii="宋体" w:hAnsi="宋体"/>
          <w:color w:val="auto"/>
          <w:sz w:val="30"/>
          <w:szCs w:val="30"/>
        </w:rPr>
        <w:t>2022年</w:t>
      </w:r>
      <w:r>
        <w:rPr>
          <w:rFonts w:hint="eastAsia" w:ascii="宋体" w:hAnsi="宋体"/>
          <w:color w:val="auto"/>
          <w:sz w:val="30"/>
          <w:szCs w:val="30"/>
        </w:rPr>
        <w:t>度部门整体支出</w:t>
      </w:r>
      <w:r>
        <w:rPr>
          <w:rFonts w:hint="default" w:ascii="宋体" w:hAnsi="宋体"/>
          <w:color w:val="auto"/>
          <w:sz w:val="30"/>
          <w:szCs w:val="30"/>
        </w:rPr>
        <w:t>与</w:t>
      </w:r>
      <w:r>
        <w:rPr>
          <w:rFonts w:hint="eastAsia" w:ascii="宋体" w:hAnsi="宋体"/>
          <w:color w:val="auto"/>
          <w:sz w:val="30"/>
          <w:szCs w:val="30"/>
        </w:rPr>
        <w:t>专项资金绩效自评工作的通知》后，我单位高度重视，组建由人事财务部牵头的评价小组，并派专人负责对我单位</w:t>
      </w:r>
      <w:r>
        <w:rPr>
          <w:rFonts w:ascii="宋体" w:hAnsi="宋体"/>
          <w:color w:val="auto"/>
          <w:sz w:val="30"/>
          <w:szCs w:val="30"/>
        </w:rPr>
        <w:t>2022年</w:t>
      </w:r>
      <w:r>
        <w:rPr>
          <w:rFonts w:hint="eastAsia" w:ascii="宋体" w:hAnsi="宋体"/>
          <w:color w:val="auto"/>
          <w:sz w:val="30"/>
          <w:szCs w:val="30"/>
        </w:rPr>
        <w:t>度部门整体支出和专项项目支出开展绩效自评工作，为绩效自评工作做了充分准备。</w:t>
      </w:r>
    </w:p>
    <w:p>
      <w:pPr>
        <w:spacing w:line="360" w:lineRule="auto"/>
        <w:ind w:firstLine="740"/>
        <w:jc w:val="left"/>
        <w:rPr>
          <w:rFonts w:hint="eastAsia" w:ascii="宋体" w:hAnsi="宋体"/>
          <w:color w:val="auto"/>
          <w:sz w:val="30"/>
          <w:szCs w:val="30"/>
        </w:rPr>
      </w:pPr>
      <w:r>
        <w:rPr>
          <w:rFonts w:hint="eastAsia" w:ascii="宋体" w:hAnsi="宋体"/>
          <w:color w:val="auto"/>
          <w:sz w:val="30"/>
          <w:szCs w:val="30"/>
        </w:rPr>
        <w:t>2、组织实施</w:t>
      </w:r>
    </w:p>
    <w:p>
      <w:pPr>
        <w:spacing w:line="360" w:lineRule="auto"/>
        <w:ind w:firstLine="600" w:firstLineChars="200"/>
        <w:rPr>
          <w:rFonts w:ascii="宋体" w:hAnsi="宋体"/>
          <w:color w:val="auto"/>
          <w:sz w:val="30"/>
          <w:szCs w:val="30"/>
        </w:rPr>
      </w:pPr>
      <w:r>
        <w:rPr>
          <w:rFonts w:hint="eastAsia" w:ascii="宋体" w:hAnsi="宋体"/>
          <w:color w:val="auto"/>
          <w:sz w:val="30"/>
          <w:szCs w:val="30"/>
        </w:rPr>
        <w:t>评价组织实施情况主要包括查看财政资金申报材料、拨付文件及凭证、对专项资金所涉及项目实施进行跟踪、监督、整改的相关资料，项目质量检查、验收评比等资料；收集核对分析项目产出效益的证明材料，并据获取的相关信息与项目实地调研情况进行对比核实，查看项目实施情况，落实各项绩效指标的完成情况。</w:t>
      </w:r>
    </w:p>
    <w:p>
      <w:pPr>
        <w:spacing w:line="360" w:lineRule="auto"/>
        <w:ind w:firstLine="720"/>
        <w:jc w:val="left"/>
        <w:rPr>
          <w:rFonts w:ascii="宋体" w:hAnsi="宋体"/>
          <w:color w:val="auto"/>
          <w:sz w:val="30"/>
          <w:szCs w:val="30"/>
        </w:rPr>
      </w:pPr>
      <w:r>
        <w:rPr>
          <w:rFonts w:hint="eastAsia" w:ascii="宋体" w:hAnsi="宋体"/>
          <w:color w:val="auto"/>
          <w:sz w:val="30"/>
          <w:szCs w:val="30"/>
        </w:rPr>
        <w:t>3、评价总结阶段</w:t>
      </w:r>
    </w:p>
    <w:p>
      <w:pPr>
        <w:spacing w:line="360" w:lineRule="auto"/>
        <w:ind w:firstLine="720"/>
        <w:rPr>
          <w:rFonts w:ascii="宋体" w:hAnsi="宋体"/>
          <w:color w:val="auto"/>
          <w:sz w:val="30"/>
          <w:szCs w:val="30"/>
        </w:rPr>
      </w:pPr>
      <w:r>
        <w:rPr>
          <w:rFonts w:hint="eastAsia" w:ascii="宋体" w:hAnsi="宋体"/>
          <w:color w:val="auto"/>
          <w:sz w:val="30"/>
          <w:szCs w:val="30"/>
        </w:rPr>
        <w:t>评价小组整理、汇总相关项目资料，对专项资金使用绩效进行全面、综合评价，总结项目绩效及存在的问题，撰写绩效自评报告。</w:t>
      </w:r>
    </w:p>
    <w:p>
      <w:pPr>
        <w:spacing w:line="360" w:lineRule="auto"/>
        <w:ind w:firstLine="720"/>
        <w:jc w:val="left"/>
        <w:rPr>
          <w:rFonts w:ascii="宋体" w:hAnsi="宋体"/>
          <w:color w:val="auto"/>
          <w:sz w:val="36"/>
          <w:szCs w:val="36"/>
        </w:rPr>
      </w:pPr>
      <w:r>
        <w:rPr>
          <w:rFonts w:hint="eastAsia" w:ascii="宋体" w:hAnsi="宋体"/>
          <w:b/>
          <w:color w:val="auto"/>
          <w:sz w:val="36"/>
          <w:szCs w:val="36"/>
        </w:rPr>
        <w:t>三、绩效评价指标分析情况</w:t>
      </w:r>
    </w:p>
    <w:p>
      <w:pPr>
        <w:spacing w:line="360" w:lineRule="auto"/>
        <w:ind w:firstLine="720"/>
        <w:jc w:val="left"/>
        <w:rPr>
          <w:rFonts w:ascii="宋体" w:hAnsi="宋体"/>
          <w:color w:val="auto"/>
          <w:sz w:val="32"/>
          <w:szCs w:val="32"/>
        </w:rPr>
      </w:pPr>
      <w:r>
        <w:rPr>
          <w:rFonts w:hint="eastAsia" w:ascii="宋体" w:hAnsi="宋体"/>
          <w:b/>
          <w:color w:val="auto"/>
          <w:sz w:val="32"/>
          <w:szCs w:val="32"/>
        </w:rPr>
        <w:t>（一）项目资金情况分析</w:t>
      </w:r>
    </w:p>
    <w:p>
      <w:pPr>
        <w:spacing w:line="360" w:lineRule="auto"/>
        <w:ind w:firstLine="720"/>
        <w:jc w:val="left"/>
        <w:rPr>
          <w:rFonts w:ascii="宋体" w:hAnsi="宋体"/>
          <w:color w:val="auto"/>
          <w:sz w:val="30"/>
          <w:szCs w:val="30"/>
        </w:rPr>
      </w:pPr>
      <w:r>
        <w:rPr>
          <w:rFonts w:hint="eastAsia" w:ascii="宋体" w:hAnsi="宋体"/>
          <w:color w:val="auto"/>
          <w:sz w:val="30"/>
          <w:szCs w:val="30"/>
        </w:rPr>
        <w:t>1、项目资金到位情况分析</w:t>
      </w:r>
    </w:p>
    <w:p>
      <w:pPr>
        <w:spacing w:line="360" w:lineRule="auto"/>
        <w:ind w:firstLine="600" w:firstLineChars="200"/>
        <w:jc w:val="left"/>
        <w:rPr>
          <w:rFonts w:ascii="宋体" w:hAnsi="宋体" w:cs="宋体"/>
          <w:color w:val="auto"/>
          <w:sz w:val="30"/>
          <w:szCs w:val="30"/>
        </w:rPr>
      </w:pPr>
      <w:r>
        <w:rPr>
          <w:rFonts w:hint="default" w:ascii="宋体" w:hAnsi="宋体" w:cs="宋体"/>
          <w:color w:val="auto"/>
          <w:sz w:val="30"/>
          <w:szCs w:val="30"/>
        </w:rPr>
        <w:t>公租房后续管理</w:t>
      </w:r>
      <w:r>
        <w:rPr>
          <w:rFonts w:ascii="宋体" w:hAnsi="宋体" w:cs="宋体"/>
          <w:color w:val="auto"/>
          <w:sz w:val="30"/>
          <w:szCs w:val="30"/>
        </w:rPr>
        <w:t>项目原始指标金额</w:t>
      </w:r>
      <w:r>
        <w:rPr>
          <w:rFonts w:hint="default" w:ascii="宋体" w:hAnsi="宋体" w:cs="宋体"/>
          <w:color w:val="auto"/>
          <w:sz w:val="30"/>
          <w:szCs w:val="30"/>
        </w:rPr>
        <w:t>828.22万元，指标下达数为305.79万元，指标减少原因主要为中央补助资金指标减少，</w:t>
      </w:r>
      <w:r>
        <w:rPr>
          <w:rFonts w:ascii="宋体" w:hAnsi="宋体" w:cs="宋体"/>
          <w:color w:val="auto"/>
          <w:sz w:val="30"/>
          <w:szCs w:val="30"/>
        </w:rPr>
        <w:t>实际下拨</w:t>
      </w:r>
      <w:r>
        <w:rPr>
          <w:rFonts w:hint="default" w:ascii="宋体" w:hAnsi="宋体" w:cs="宋体"/>
          <w:color w:val="auto"/>
          <w:sz w:val="30"/>
          <w:szCs w:val="30"/>
        </w:rPr>
        <w:t>305.79</w:t>
      </w:r>
      <w:r>
        <w:rPr>
          <w:rFonts w:ascii="宋体" w:hAnsi="宋体" w:cs="宋体"/>
          <w:color w:val="auto"/>
          <w:sz w:val="30"/>
          <w:szCs w:val="30"/>
        </w:rPr>
        <w:t>万元，资金到位率100%</w:t>
      </w:r>
      <w:r>
        <w:rPr>
          <w:rFonts w:hint="eastAsia" w:ascii="宋体" w:hAnsi="宋体" w:cs="宋体"/>
          <w:color w:val="auto"/>
          <w:sz w:val="30"/>
          <w:szCs w:val="30"/>
        </w:rPr>
        <w:t>；</w:t>
      </w:r>
    </w:p>
    <w:p>
      <w:pPr>
        <w:spacing w:line="360" w:lineRule="auto"/>
        <w:ind w:firstLine="720"/>
        <w:jc w:val="left"/>
        <w:rPr>
          <w:rFonts w:ascii="宋体" w:hAnsi="宋体"/>
          <w:color w:val="auto"/>
          <w:sz w:val="30"/>
          <w:szCs w:val="30"/>
        </w:rPr>
      </w:pPr>
      <w:r>
        <w:rPr>
          <w:rFonts w:hint="eastAsia" w:ascii="宋体" w:hAnsi="宋体"/>
          <w:color w:val="auto"/>
          <w:sz w:val="30"/>
          <w:szCs w:val="30"/>
        </w:rPr>
        <w:t>2、项目资金使用情况分析</w:t>
      </w:r>
    </w:p>
    <w:p>
      <w:pPr>
        <w:spacing w:line="360" w:lineRule="auto"/>
        <w:ind w:firstLine="720"/>
        <w:rPr>
          <w:rFonts w:ascii="宋体" w:hAnsi="宋体"/>
          <w:color w:val="auto"/>
          <w:sz w:val="30"/>
          <w:szCs w:val="30"/>
        </w:rPr>
      </w:pPr>
      <w:r>
        <w:rPr>
          <w:rFonts w:hint="default" w:ascii="宋体" w:hAnsi="宋体" w:cs="宋体"/>
          <w:color w:val="auto"/>
          <w:sz w:val="30"/>
          <w:szCs w:val="30"/>
        </w:rPr>
        <w:t>公租房后续管理</w:t>
      </w:r>
      <w:r>
        <w:rPr>
          <w:rFonts w:ascii="宋体" w:hAnsi="宋体" w:cs="宋体"/>
          <w:color w:val="auto"/>
          <w:sz w:val="30"/>
          <w:szCs w:val="30"/>
        </w:rPr>
        <w:t>项目</w:t>
      </w:r>
      <w:r>
        <w:rPr>
          <w:rFonts w:hint="eastAsia" w:ascii="宋体" w:hAnsi="宋体"/>
          <w:color w:val="auto"/>
          <w:sz w:val="30"/>
          <w:szCs w:val="30"/>
        </w:rPr>
        <w:t>使用专项资金</w:t>
      </w:r>
      <w:r>
        <w:rPr>
          <w:rFonts w:hint="default" w:ascii="宋体" w:hAnsi="宋体"/>
          <w:color w:val="auto"/>
          <w:sz w:val="30"/>
          <w:szCs w:val="30"/>
        </w:rPr>
        <w:t>298.88</w:t>
      </w:r>
      <w:r>
        <w:rPr>
          <w:rFonts w:hint="eastAsia" w:ascii="宋体" w:hAnsi="宋体"/>
          <w:color w:val="auto"/>
          <w:sz w:val="30"/>
          <w:szCs w:val="30"/>
        </w:rPr>
        <w:t>万元，结余资金</w:t>
      </w:r>
      <w:r>
        <w:rPr>
          <w:rFonts w:hint="default" w:ascii="宋体" w:hAnsi="宋体"/>
          <w:color w:val="auto"/>
          <w:sz w:val="30"/>
          <w:szCs w:val="30"/>
        </w:rPr>
        <w:t>6.92</w:t>
      </w:r>
      <w:r>
        <w:rPr>
          <w:rFonts w:hint="eastAsia" w:ascii="宋体" w:hAnsi="宋体"/>
          <w:color w:val="auto"/>
          <w:sz w:val="30"/>
          <w:szCs w:val="30"/>
        </w:rPr>
        <w:t>万元，专项资金使用率</w:t>
      </w:r>
      <w:r>
        <w:rPr>
          <w:rFonts w:hint="default" w:ascii="宋体" w:hAnsi="宋体"/>
          <w:color w:val="auto"/>
          <w:sz w:val="30"/>
          <w:szCs w:val="30"/>
        </w:rPr>
        <w:t>97.74</w:t>
      </w:r>
      <w:r>
        <w:rPr>
          <w:rFonts w:hint="eastAsia" w:ascii="宋体" w:hAnsi="宋体"/>
          <w:color w:val="auto"/>
          <w:sz w:val="30"/>
          <w:szCs w:val="30"/>
        </w:rPr>
        <w:t>％</w:t>
      </w:r>
      <w:r>
        <w:rPr>
          <w:rFonts w:ascii="宋体" w:hAnsi="宋体"/>
          <w:color w:val="auto"/>
          <w:sz w:val="30"/>
          <w:szCs w:val="30"/>
        </w:rPr>
        <w:t>，结合资金均已被财政收回。</w:t>
      </w:r>
    </w:p>
    <w:p>
      <w:pPr>
        <w:spacing w:line="360" w:lineRule="auto"/>
        <w:ind w:firstLine="720"/>
        <w:jc w:val="left"/>
        <w:rPr>
          <w:rFonts w:ascii="宋体" w:hAnsi="宋体"/>
          <w:color w:val="auto"/>
          <w:sz w:val="30"/>
          <w:szCs w:val="30"/>
        </w:rPr>
      </w:pPr>
      <w:r>
        <w:rPr>
          <w:rFonts w:hint="eastAsia" w:ascii="宋体" w:hAnsi="宋体"/>
          <w:color w:val="auto"/>
          <w:sz w:val="30"/>
          <w:szCs w:val="30"/>
        </w:rPr>
        <w:t>3、项目资金管理情况分析</w:t>
      </w:r>
    </w:p>
    <w:p>
      <w:pPr>
        <w:spacing w:line="360" w:lineRule="auto"/>
        <w:ind w:firstLine="600" w:firstLineChars="200"/>
        <w:jc w:val="left"/>
        <w:rPr>
          <w:rFonts w:ascii="宋体" w:hAnsi="宋体"/>
          <w:color w:val="auto"/>
          <w:sz w:val="30"/>
          <w:szCs w:val="30"/>
        </w:rPr>
      </w:pPr>
      <w:r>
        <w:rPr>
          <w:rFonts w:hint="eastAsia" w:ascii="宋体" w:hAnsi="宋体"/>
          <w:color w:val="auto"/>
          <w:sz w:val="30"/>
          <w:szCs w:val="30"/>
        </w:rPr>
        <w:t>为做好专项资金管理，我单位规定了项目申报流程、资金拨付程序等，资金拨付填写报账申请表、专项资金拨付审批表等，并经相关负责领导审核后再拨付资金。专项资金专款专用，未发现截留、挪用、挤占专项资金的情况。</w:t>
      </w:r>
    </w:p>
    <w:p>
      <w:pPr>
        <w:spacing w:line="360" w:lineRule="auto"/>
        <w:ind w:firstLine="700"/>
        <w:rPr>
          <w:rFonts w:ascii="宋体" w:hAnsi="宋体"/>
          <w:color w:val="auto"/>
          <w:sz w:val="32"/>
          <w:szCs w:val="32"/>
        </w:rPr>
      </w:pPr>
      <w:r>
        <w:rPr>
          <w:rFonts w:hint="eastAsia" w:ascii="宋体" w:hAnsi="宋体"/>
          <w:b/>
          <w:color w:val="auto"/>
          <w:sz w:val="32"/>
          <w:szCs w:val="32"/>
        </w:rPr>
        <w:t>（二）项目实施情况分析</w:t>
      </w:r>
    </w:p>
    <w:p>
      <w:pPr>
        <w:spacing w:line="360" w:lineRule="auto"/>
        <w:ind w:firstLine="700"/>
        <w:jc w:val="left"/>
        <w:rPr>
          <w:rFonts w:ascii="宋体" w:hAnsi="宋体"/>
          <w:color w:val="auto"/>
          <w:sz w:val="30"/>
          <w:szCs w:val="30"/>
        </w:rPr>
      </w:pPr>
      <w:r>
        <w:rPr>
          <w:rFonts w:hint="eastAsia" w:ascii="宋体" w:hAnsi="宋体"/>
          <w:color w:val="auto"/>
          <w:sz w:val="30"/>
          <w:szCs w:val="30"/>
        </w:rPr>
        <w:t>1、项目组织情况分析</w:t>
      </w:r>
    </w:p>
    <w:p>
      <w:pPr>
        <w:spacing w:line="360" w:lineRule="auto"/>
        <w:ind w:firstLine="700"/>
        <w:rPr>
          <w:rFonts w:ascii="宋体" w:hAnsi="宋体"/>
          <w:color w:val="auto"/>
          <w:sz w:val="30"/>
          <w:szCs w:val="30"/>
        </w:rPr>
      </w:pPr>
      <w:r>
        <w:rPr>
          <w:rFonts w:hint="eastAsia" w:ascii="宋体" w:hAnsi="宋体"/>
          <w:color w:val="auto"/>
          <w:sz w:val="30"/>
          <w:szCs w:val="30"/>
        </w:rPr>
        <w:t>为了加强对项目实施，单位确定各部门负责人、专职干部与相关部门汇报、沟通和衔接，争取更多资金，切实对项目实行跟踪式服务，从项目的联系洽谈、项目跟进、资金投入等环节实行全程专人负责，确保项目落地投产。</w:t>
      </w:r>
    </w:p>
    <w:p>
      <w:pPr>
        <w:spacing w:line="360" w:lineRule="auto"/>
        <w:ind w:firstLine="700"/>
        <w:jc w:val="left"/>
        <w:rPr>
          <w:rFonts w:ascii="宋体" w:hAnsi="宋体"/>
          <w:color w:val="auto"/>
          <w:sz w:val="30"/>
          <w:szCs w:val="30"/>
        </w:rPr>
      </w:pPr>
      <w:r>
        <w:rPr>
          <w:rFonts w:hint="eastAsia" w:ascii="宋体" w:hAnsi="宋体"/>
          <w:color w:val="auto"/>
          <w:sz w:val="30"/>
          <w:szCs w:val="30"/>
        </w:rPr>
        <w:t>2、项目管理情况分析</w:t>
      </w:r>
    </w:p>
    <w:p>
      <w:pPr>
        <w:spacing w:line="360" w:lineRule="auto"/>
        <w:ind w:firstLine="700"/>
        <w:rPr>
          <w:rFonts w:ascii="宋体" w:hAnsi="宋体"/>
          <w:color w:val="auto"/>
          <w:sz w:val="30"/>
          <w:szCs w:val="30"/>
        </w:rPr>
      </w:pPr>
      <w:r>
        <w:rPr>
          <w:rFonts w:hint="eastAsia" w:ascii="宋体" w:hAnsi="宋体"/>
          <w:color w:val="auto"/>
          <w:sz w:val="30"/>
          <w:szCs w:val="30"/>
        </w:rPr>
        <w:t>为规范、合理、安全、有效使用专项资金，我单位制定了《财务管理制度》、《专项资金管理办法》等相关制度，专项资金的管理和使用，遵循公开、公平、公正和统筹兼顾、突出重点、讲求效益的原则，确保专项资金使用的规范、安全和高效。为规范项目建设管理，我单位切实对项目实行跟踪式服务，从项目资金的下拨、项目跟进、资金投入等环节设置专门科室负责监督和管理，确保项目的实施和建设。</w:t>
      </w:r>
    </w:p>
    <w:p>
      <w:pPr>
        <w:numPr>
          <w:ilvl w:val="0"/>
          <w:numId w:val="1"/>
        </w:numPr>
        <w:spacing w:line="360" w:lineRule="auto"/>
        <w:ind w:firstLine="700"/>
        <w:jc w:val="left"/>
        <w:rPr>
          <w:rFonts w:hint="eastAsia" w:ascii="宋体" w:hAnsi="宋体"/>
          <w:b/>
          <w:color w:val="auto"/>
          <w:sz w:val="32"/>
          <w:szCs w:val="32"/>
        </w:rPr>
      </w:pPr>
      <w:r>
        <w:rPr>
          <w:rFonts w:hint="eastAsia" w:ascii="宋体" w:hAnsi="宋体"/>
          <w:b/>
          <w:color w:val="auto"/>
          <w:sz w:val="32"/>
          <w:szCs w:val="32"/>
        </w:rPr>
        <w:t>项目绩效情况分析</w:t>
      </w:r>
    </w:p>
    <w:p>
      <w:pPr>
        <w:adjustRightInd w:val="0"/>
        <w:snapToGrid w:val="0"/>
        <w:spacing w:line="360" w:lineRule="auto"/>
        <w:ind w:firstLine="600" w:firstLineChars="200"/>
        <w:rPr>
          <w:rFonts w:hint="eastAsia" w:ascii="宋体" w:hAnsi="宋体" w:cs="宋体"/>
          <w:color w:val="auto"/>
          <w:sz w:val="30"/>
          <w:szCs w:val="30"/>
        </w:rPr>
      </w:pPr>
      <w:r>
        <w:rPr>
          <w:rFonts w:hint="eastAsia" w:ascii="宋体" w:hAnsi="宋体" w:cs="宋体"/>
          <w:color w:val="auto"/>
          <w:sz w:val="30"/>
          <w:szCs w:val="30"/>
        </w:rPr>
        <w:t>一是三个公租房小区及配套商铺租金应收租金885.06万元，依政策减免后实际收取租金782.21万元；直管公房及商铺租金87.53万元。二是公租房分配131套，租赁补贴发放846户，共发放金额123.58万元。三是年审工作进展顺利，已完成年审5190 户（不含拆迁过渡安置户），完成入户调查3036户，按规定对不再符合住房保障条件的或查实存在违规行为的89户承租户进行查处，会同城管、社区、公安民警、司法、物业企业一起依法将其清退。四是稳步推进平安小区建设工作，加大安全知识宣传力度，在三个公租房小区内制作安装宣传横幅，利用“安全生产月”、“百日安全竞赛”、“创文迎检”等活动在小区的公共宣传栏张贴了关于防火、防盗、高空抛物、疫情防控和生活物资保供以及如何正确使用水、电、气等生活常识；加强了消防器材的正确认识和使用，组织消防培训3场，消防演练4起，在汛期排查解决安全隐患3处；五是按照市文明办的要求，集中整治小区内悬挂条幅18幅、无障碍坡道改造23处，小区路灯、庭院灯、围墙灯、单元楼梯间灯等修缮共650余/盏/次，监控维修、保养、调整80余次，购买分类垃圾桶40组，按规定配齐了消防器材，共配备干粉灭火器1536个及专用灭火器放置柜799个。</w:t>
      </w:r>
    </w:p>
    <w:p>
      <w:pPr>
        <w:spacing w:line="360" w:lineRule="auto"/>
        <w:ind w:firstLine="640"/>
        <w:jc w:val="left"/>
        <w:rPr>
          <w:rFonts w:ascii="宋体" w:hAnsi="宋体"/>
          <w:color w:val="auto"/>
          <w:sz w:val="36"/>
          <w:szCs w:val="36"/>
        </w:rPr>
      </w:pPr>
      <w:r>
        <w:rPr>
          <w:rFonts w:hint="eastAsia" w:ascii="宋体" w:hAnsi="宋体"/>
          <w:b/>
          <w:color w:val="auto"/>
          <w:sz w:val="36"/>
          <w:szCs w:val="36"/>
        </w:rPr>
        <w:t>四、综合评价情况及评价结论（附相关评分表）</w:t>
      </w:r>
    </w:p>
    <w:p>
      <w:pPr>
        <w:spacing w:line="360" w:lineRule="auto"/>
        <w:ind w:firstLine="640"/>
        <w:rPr>
          <w:rFonts w:ascii="宋体" w:hAnsi="宋体"/>
          <w:color w:val="auto"/>
          <w:sz w:val="30"/>
          <w:szCs w:val="30"/>
        </w:rPr>
      </w:pPr>
      <w:r>
        <w:rPr>
          <w:rFonts w:hint="eastAsia" w:ascii="宋体" w:hAnsi="宋体"/>
          <w:color w:val="auto"/>
          <w:sz w:val="30"/>
          <w:szCs w:val="30"/>
        </w:rPr>
        <w:t>评价组根据指标评分表结合项目特点，设定绩效目标，对收集的资料进行整理、统计、分析、汇总并经反复论证，我们以“项目决策、项目管理、项目产出、项目效益”为一级指标进行了绩效分析，评价综合得分为</w:t>
      </w:r>
      <w:r>
        <w:rPr>
          <w:rFonts w:ascii="宋体" w:hAnsi="宋体"/>
          <w:color w:val="auto"/>
          <w:sz w:val="30"/>
          <w:szCs w:val="30"/>
        </w:rPr>
        <w:t>98.00</w:t>
      </w:r>
      <w:r>
        <w:rPr>
          <w:rFonts w:hint="eastAsia" w:ascii="宋体" w:hAnsi="宋体"/>
          <w:color w:val="auto"/>
          <w:sz w:val="30"/>
          <w:szCs w:val="30"/>
        </w:rPr>
        <w:t>分，评价等级为“优”。</w:t>
      </w:r>
    </w:p>
    <w:p>
      <w:pPr>
        <w:spacing w:line="360" w:lineRule="auto"/>
        <w:ind w:firstLine="640"/>
        <w:jc w:val="left"/>
        <w:rPr>
          <w:rFonts w:ascii="宋体" w:hAnsi="宋体"/>
          <w:color w:val="auto"/>
          <w:sz w:val="36"/>
          <w:szCs w:val="36"/>
        </w:rPr>
      </w:pPr>
      <w:r>
        <w:rPr>
          <w:rFonts w:hint="eastAsia" w:ascii="宋体" w:hAnsi="宋体"/>
          <w:b/>
          <w:color w:val="auto"/>
          <w:sz w:val="36"/>
          <w:szCs w:val="36"/>
        </w:rPr>
        <w:t>五、主要经验及做法、存在的问题和建议</w:t>
      </w:r>
    </w:p>
    <w:p>
      <w:pPr>
        <w:spacing w:line="360" w:lineRule="auto"/>
        <w:ind w:firstLine="700"/>
        <w:rPr>
          <w:rFonts w:hint="eastAsia" w:ascii="宋体" w:hAnsi="宋体"/>
          <w:b/>
          <w:color w:val="auto"/>
          <w:sz w:val="32"/>
          <w:szCs w:val="32"/>
        </w:rPr>
      </w:pPr>
      <w:r>
        <w:rPr>
          <w:rFonts w:hint="eastAsia" w:ascii="宋体" w:hAnsi="宋体"/>
          <w:b/>
          <w:color w:val="auto"/>
          <w:sz w:val="32"/>
          <w:szCs w:val="32"/>
        </w:rPr>
        <w:t>（一）主要经验及做法</w:t>
      </w:r>
    </w:p>
    <w:p>
      <w:pPr>
        <w:spacing w:line="360" w:lineRule="auto"/>
        <w:ind w:firstLine="640"/>
        <w:rPr>
          <w:rFonts w:ascii="宋体" w:hAnsi="宋体"/>
          <w:color w:val="auto"/>
          <w:sz w:val="30"/>
          <w:szCs w:val="30"/>
        </w:rPr>
      </w:pPr>
      <w:r>
        <w:rPr>
          <w:rFonts w:hint="eastAsia" w:ascii="宋体" w:hAnsi="宋体"/>
          <w:color w:val="auto"/>
          <w:sz w:val="30"/>
          <w:szCs w:val="30"/>
        </w:rPr>
        <w:t>坚持目标导向，认真开展绩效自评。每年预算执行结束后，根据年度总体工作进展情况，对我单位整体收支情况进行认真分析，开展整体支出绩效自评和项目支出绩效自评，已实现整体支出绩效和项目支出绩效自评全覆盖。自评结束后，对各项目绩效自评情况及时进行通报，形成创先争优的良好氛围，及时总结管理经验，进一步提升预算绩效管理水平。</w:t>
      </w:r>
    </w:p>
    <w:p>
      <w:pPr>
        <w:spacing w:line="360" w:lineRule="auto"/>
        <w:ind w:firstLine="700"/>
        <w:rPr>
          <w:rFonts w:hint="eastAsia" w:ascii="宋体" w:hAnsi="宋体"/>
          <w:b/>
          <w:color w:val="auto"/>
          <w:sz w:val="32"/>
          <w:szCs w:val="32"/>
        </w:rPr>
      </w:pPr>
      <w:r>
        <w:rPr>
          <w:rFonts w:hint="eastAsia" w:ascii="宋体" w:hAnsi="宋体"/>
          <w:b/>
          <w:color w:val="auto"/>
          <w:sz w:val="32"/>
          <w:szCs w:val="32"/>
        </w:rPr>
        <w:t>（二）存在的问题</w:t>
      </w:r>
    </w:p>
    <w:p>
      <w:pPr>
        <w:spacing w:line="360" w:lineRule="auto"/>
        <w:ind w:firstLine="600" w:firstLineChars="200"/>
        <w:rPr>
          <w:rFonts w:ascii="宋体" w:hAnsi="宋体" w:cs="宋体"/>
          <w:color w:val="auto"/>
          <w:sz w:val="30"/>
          <w:szCs w:val="30"/>
        </w:rPr>
      </w:pPr>
      <w:r>
        <w:rPr>
          <w:rFonts w:hint="eastAsia" w:ascii="宋体" w:hAnsi="宋体" w:cs="宋体"/>
          <w:color w:val="auto"/>
          <w:sz w:val="30"/>
          <w:szCs w:val="30"/>
        </w:rPr>
        <w:t>1、公租房后续管理的工作经费及维修资金紧缺。因租金收取采用“收支两条线”，财政部门采取年前申报预算制，有时中途有不可预计的情况发生及预算外的资金，拨付困难导致维修不及时。</w:t>
      </w:r>
    </w:p>
    <w:p>
      <w:pPr>
        <w:spacing w:line="360" w:lineRule="auto"/>
        <w:ind w:firstLine="600" w:firstLineChars="200"/>
        <w:rPr>
          <w:rFonts w:ascii="宋体" w:hAnsi="宋体" w:cs="宋体"/>
          <w:color w:val="auto"/>
          <w:sz w:val="30"/>
          <w:szCs w:val="30"/>
        </w:rPr>
      </w:pPr>
      <w:r>
        <w:rPr>
          <w:rFonts w:hint="eastAsia" w:ascii="宋体" w:hAnsi="宋体" w:cs="宋体"/>
          <w:color w:val="auto"/>
          <w:sz w:val="30"/>
          <w:szCs w:val="30"/>
        </w:rPr>
        <w:t>2、公租房后续管理协调联动难度大。公租房后续管理涉及住建、民政、公安、乡镇（街道）、市场监管、银行、社区等多个部门，对取消公租房保障资格后，拒不退房承租人的处理，面临执法难、程序多、耗时长、成本高等问题。</w:t>
      </w:r>
    </w:p>
    <w:p>
      <w:pPr>
        <w:spacing w:line="360" w:lineRule="auto"/>
        <w:ind w:firstLine="600" w:firstLineChars="200"/>
        <w:rPr>
          <w:rFonts w:hint="eastAsia" w:ascii="宋体" w:hAnsi="宋体" w:cs="宋体"/>
          <w:color w:val="auto"/>
          <w:sz w:val="30"/>
          <w:szCs w:val="30"/>
        </w:rPr>
      </w:pPr>
      <w:r>
        <w:rPr>
          <w:rFonts w:hint="eastAsia" w:ascii="宋体" w:hAnsi="宋体" w:cs="宋体"/>
          <w:color w:val="auto"/>
          <w:sz w:val="30"/>
          <w:szCs w:val="30"/>
        </w:rPr>
        <w:t>3、公租房保障对象主要为城镇低保、低收入家庭及外来务工人员，在动态管理工作上很难掌握保障对象的实时情况，导致不能及时进行清理清退。</w:t>
      </w:r>
    </w:p>
    <w:p>
      <w:pPr>
        <w:spacing w:line="360" w:lineRule="auto"/>
        <w:ind w:firstLine="620"/>
        <w:jc w:val="left"/>
        <w:rPr>
          <w:rFonts w:hint="eastAsia" w:ascii="宋体" w:hAnsi="宋体"/>
          <w:b/>
          <w:color w:val="auto"/>
          <w:sz w:val="32"/>
          <w:szCs w:val="32"/>
        </w:rPr>
      </w:pPr>
      <w:r>
        <w:rPr>
          <w:rFonts w:hint="eastAsia" w:ascii="宋体" w:hAnsi="宋体"/>
          <w:b/>
          <w:color w:val="auto"/>
          <w:sz w:val="32"/>
          <w:szCs w:val="32"/>
        </w:rPr>
        <w:t>（三）相关建议</w:t>
      </w:r>
    </w:p>
    <w:p>
      <w:pPr>
        <w:spacing w:line="360" w:lineRule="auto"/>
        <w:ind w:firstLine="620"/>
        <w:rPr>
          <w:rFonts w:ascii="宋体" w:hAnsi="宋体"/>
          <w:color w:val="auto"/>
          <w:sz w:val="30"/>
          <w:szCs w:val="30"/>
        </w:rPr>
      </w:pPr>
      <w:r>
        <w:rPr>
          <w:rFonts w:hint="eastAsia" w:ascii="宋体" w:hAnsi="宋体"/>
          <w:color w:val="auto"/>
          <w:sz w:val="30"/>
          <w:szCs w:val="30"/>
        </w:rPr>
        <w:t>1、将绩效管理与绩效评价两者的目标体系充分融合。在充分考虑内外部风险的基础上，围绕预算绩效管理重点和关键点，重塑科学性、规范性、操作性、可靠性强的绩效目标体系，并在目标体系建设过程中有效兼顾定性指标和定量指标、财务指标与非财务指标，对绩效指标进行针对性细化，确保指标体系能够保障实现行政、事业的社会公共服务职能和公益属性。如制定绩效目标的编报流程、职责分工、绩效目标设定范围和标准，涉及采购的符合政府采购要求的编报执行制度，采购资产、实施项目预算进度和达到何种绩效目标等均需明确相应要求，保证预算执行有章可循。</w:t>
      </w:r>
    </w:p>
    <w:p>
      <w:pPr>
        <w:spacing w:line="360" w:lineRule="auto"/>
        <w:ind w:firstLine="620"/>
        <w:rPr>
          <w:rFonts w:ascii="宋体" w:hAnsi="宋体"/>
          <w:color w:val="auto"/>
          <w:sz w:val="30"/>
          <w:szCs w:val="30"/>
        </w:rPr>
      </w:pPr>
      <w:r>
        <w:rPr>
          <w:rFonts w:hint="eastAsia" w:ascii="宋体" w:hAnsi="宋体"/>
          <w:color w:val="auto"/>
          <w:sz w:val="30"/>
          <w:szCs w:val="30"/>
        </w:rPr>
        <w:t>2、引导单位将预算编制、执行过程中的绩效管理信息进行公开，使整个预算绩效目标从编报、申请到执行、反馈的全过程受到公众的监督管理；倒逼部门进一步增强责任意识、规矩意识，真正使“花钱必问效、无效必问责”落到实处；强化绩效管理意识，确保绩效管理的有效实施，实现以公开促规范、推改革、提效能的目标。</w:t>
      </w:r>
    </w:p>
    <w:p>
      <w:pPr>
        <w:spacing w:line="360" w:lineRule="auto"/>
        <w:ind w:firstLine="640"/>
        <w:jc w:val="left"/>
        <w:rPr>
          <w:rFonts w:hint="eastAsia" w:ascii="宋体" w:hAnsi="宋体"/>
          <w:b/>
          <w:color w:val="auto"/>
          <w:sz w:val="36"/>
          <w:szCs w:val="36"/>
        </w:rPr>
      </w:pPr>
      <w:r>
        <w:rPr>
          <w:rFonts w:hint="eastAsia" w:ascii="宋体" w:hAnsi="宋体"/>
          <w:b/>
          <w:color w:val="auto"/>
          <w:sz w:val="36"/>
          <w:szCs w:val="36"/>
        </w:rPr>
        <w:t>六、其他需要说明的问题</w:t>
      </w:r>
    </w:p>
    <w:p>
      <w:pPr>
        <w:spacing w:line="360" w:lineRule="auto"/>
        <w:ind w:firstLine="720"/>
        <w:rPr>
          <w:rFonts w:ascii="宋体" w:hAnsi="宋体"/>
          <w:color w:val="auto"/>
          <w:sz w:val="30"/>
          <w:szCs w:val="30"/>
        </w:rPr>
      </w:pPr>
      <w:r>
        <w:rPr>
          <w:rFonts w:hint="eastAsia" w:ascii="宋体" w:hAnsi="宋体"/>
          <w:color w:val="auto"/>
          <w:sz w:val="30"/>
          <w:szCs w:val="30"/>
        </w:rPr>
        <w:t>无。</w:t>
      </w:r>
    </w:p>
    <w:p>
      <w:pPr>
        <w:adjustRightInd w:val="0"/>
        <w:snapToGrid w:val="0"/>
        <w:spacing w:line="360" w:lineRule="auto"/>
        <w:ind w:firstLine="600" w:firstLineChars="200"/>
        <w:rPr>
          <w:rFonts w:hint="eastAsia" w:ascii="宋体" w:hAnsi="宋体" w:cs="宋体"/>
          <w:color w:val="auto"/>
          <w:sz w:val="30"/>
          <w:szCs w:val="30"/>
        </w:rPr>
      </w:pPr>
    </w:p>
    <w:p>
      <w:pPr>
        <w:adjustRightInd w:val="0"/>
        <w:snapToGrid w:val="0"/>
        <w:spacing w:line="360" w:lineRule="auto"/>
        <w:ind w:firstLine="600" w:firstLineChars="200"/>
        <w:rPr>
          <w:rFonts w:hint="eastAsia" w:ascii="宋体" w:hAnsi="宋体" w:cs="宋体"/>
          <w:color w:val="auto"/>
          <w:sz w:val="30"/>
          <w:szCs w:val="30"/>
        </w:rPr>
      </w:pPr>
    </w:p>
    <w:p>
      <w:pPr>
        <w:adjustRightInd w:val="0"/>
        <w:snapToGrid w:val="0"/>
        <w:spacing w:line="360" w:lineRule="auto"/>
        <w:ind w:firstLine="600" w:firstLineChars="200"/>
        <w:rPr>
          <w:rFonts w:hint="eastAsia" w:ascii="宋体" w:hAnsi="宋体" w:cs="宋体"/>
          <w:color w:val="auto"/>
          <w:sz w:val="30"/>
          <w:szCs w:val="30"/>
        </w:rPr>
      </w:pPr>
    </w:p>
    <w:p>
      <w:pPr>
        <w:adjustRightInd w:val="0"/>
        <w:snapToGrid w:val="0"/>
        <w:spacing w:line="360" w:lineRule="auto"/>
        <w:ind w:firstLine="600" w:firstLineChars="200"/>
        <w:rPr>
          <w:rFonts w:hint="eastAsia" w:ascii="宋体" w:hAnsi="宋体" w:cs="宋体"/>
          <w:color w:val="auto"/>
          <w:sz w:val="30"/>
          <w:szCs w:val="30"/>
        </w:rPr>
      </w:pPr>
    </w:p>
    <w:p>
      <w:pPr>
        <w:adjustRightInd w:val="0"/>
        <w:snapToGrid w:val="0"/>
        <w:spacing w:line="360" w:lineRule="auto"/>
        <w:ind w:firstLine="600" w:firstLineChars="200"/>
        <w:rPr>
          <w:rFonts w:hint="eastAsia" w:ascii="宋体" w:hAnsi="宋体" w:cs="宋体"/>
          <w:color w:val="auto"/>
          <w:sz w:val="30"/>
          <w:szCs w:val="30"/>
        </w:rPr>
      </w:pPr>
    </w:p>
    <w:p>
      <w:pPr>
        <w:adjustRightInd w:val="0"/>
        <w:snapToGrid w:val="0"/>
        <w:spacing w:line="360" w:lineRule="auto"/>
        <w:ind w:firstLine="600" w:firstLineChars="200"/>
        <w:rPr>
          <w:rFonts w:hint="eastAsia" w:ascii="宋体" w:hAnsi="宋体" w:cs="宋体"/>
          <w:color w:val="auto"/>
          <w:sz w:val="30"/>
          <w:szCs w:val="30"/>
        </w:rPr>
      </w:pPr>
    </w:p>
    <w:p>
      <w:pPr>
        <w:adjustRightInd w:val="0"/>
        <w:snapToGrid w:val="0"/>
        <w:spacing w:line="360" w:lineRule="auto"/>
        <w:ind w:firstLine="600" w:firstLineChars="200"/>
        <w:rPr>
          <w:rFonts w:hint="eastAsia" w:ascii="宋体" w:hAnsi="宋体" w:cs="宋体"/>
          <w:color w:val="auto"/>
          <w:sz w:val="30"/>
          <w:szCs w:val="30"/>
        </w:rPr>
      </w:pPr>
    </w:p>
    <w:p>
      <w:pPr>
        <w:adjustRightInd w:val="0"/>
        <w:snapToGrid w:val="0"/>
        <w:spacing w:line="360" w:lineRule="auto"/>
        <w:rPr>
          <w:rFonts w:hint="eastAsia" w:ascii="宋体" w:hAnsi="宋体" w:cs="宋体"/>
          <w:color w:val="auto"/>
          <w:sz w:val="30"/>
          <w:szCs w:val="30"/>
        </w:rPr>
      </w:pPr>
    </w:p>
    <w:p>
      <w:pPr>
        <w:spacing w:line="560" w:lineRule="exact"/>
        <w:rPr>
          <w:rFonts w:ascii="黑体" w:hAnsi="宋体" w:eastAsia="黑体" w:cs="宋体"/>
          <w:color w:val="auto"/>
          <w:sz w:val="32"/>
          <w:szCs w:val="32"/>
        </w:rPr>
      </w:pPr>
      <w:r>
        <w:rPr>
          <w:rFonts w:hint="eastAsia" w:ascii="黑体" w:hAnsi="宋体" w:eastAsia="黑体" w:cs="宋体"/>
          <w:color w:val="auto"/>
          <w:sz w:val="32"/>
          <w:szCs w:val="32"/>
        </w:rPr>
        <w:t>附件</w:t>
      </w:r>
      <w:r>
        <w:rPr>
          <w:rFonts w:ascii="黑体" w:hAnsi="宋体" w:eastAsia="黑体" w:cs="宋体"/>
          <w:color w:val="auto"/>
          <w:sz w:val="32"/>
          <w:szCs w:val="32"/>
        </w:rPr>
        <w:t>1</w:t>
      </w:r>
    </w:p>
    <w:p>
      <w:pPr>
        <w:spacing w:line="560" w:lineRule="exact"/>
        <w:ind w:firstLine="0" w:firstLineChars="0"/>
        <w:jc w:val="center"/>
        <w:rPr>
          <w:rFonts w:hint="eastAsia" w:ascii="黑体" w:hAnsi="宋体" w:eastAsia="黑体" w:cs="宋体"/>
          <w:color w:val="auto"/>
          <w:sz w:val="32"/>
          <w:szCs w:val="32"/>
        </w:rPr>
      </w:pPr>
      <w:r>
        <w:rPr>
          <w:rFonts w:hint="eastAsia" w:ascii="黑体" w:hAnsi="宋体" w:eastAsia="黑体" w:cs="宋体"/>
          <w:color w:val="auto"/>
          <w:sz w:val="32"/>
          <w:szCs w:val="32"/>
        </w:rPr>
        <w:t>专项资金绩效目标自评表</w:t>
      </w:r>
    </w:p>
    <w:tbl>
      <w:tblPr>
        <w:tblStyle w:val="2"/>
        <w:tblW w:w="88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0"/>
        <w:gridCol w:w="1437"/>
        <w:gridCol w:w="1148"/>
        <w:gridCol w:w="1102"/>
        <w:gridCol w:w="1212"/>
        <w:gridCol w:w="1150"/>
        <w:gridCol w:w="189"/>
        <w:gridCol w:w="802"/>
        <w:gridCol w:w="10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3315" w:type="dxa"/>
            <w:gridSpan w:val="3"/>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专项资金名称</w:t>
            </w:r>
          </w:p>
        </w:tc>
        <w:tc>
          <w:tcPr>
            <w:tcW w:w="2314" w:type="dxa"/>
            <w:gridSpan w:val="2"/>
            <w:noWrap/>
            <w:vAlign w:val="center"/>
          </w:tcPr>
          <w:p>
            <w:pPr>
              <w:widowControl/>
              <w:jc w:val="center"/>
              <w:rPr>
                <w:rFonts w:hint="eastAsia" w:ascii="仿宋" w:hAnsi="仿宋" w:eastAsia="仿宋" w:cs="仿宋"/>
                <w:color w:val="auto"/>
                <w:szCs w:val="21"/>
              </w:rPr>
            </w:pPr>
            <w:r>
              <w:rPr>
                <w:rFonts w:hint="default" w:ascii="仿宋" w:hAnsi="仿宋" w:eastAsia="仿宋" w:cs="仿宋"/>
                <w:color w:val="auto"/>
                <w:szCs w:val="21"/>
              </w:rPr>
              <w:t>公租房后续管理</w:t>
            </w:r>
            <w:r>
              <w:rPr>
                <w:rFonts w:ascii="仿宋" w:hAnsi="仿宋" w:eastAsia="仿宋" w:cs="仿宋"/>
                <w:color w:val="auto"/>
                <w:szCs w:val="21"/>
              </w:rPr>
              <w:t>专项</w:t>
            </w:r>
            <w:r>
              <w:rPr>
                <w:rFonts w:hint="eastAsia" w:ascii="仿宋" w:hAnsi="仿宋" w:eastAsia="仿宋" w:cs="仿宋"/>
                <w:color w:val="auto"/>
                <w:szCs w:val="21"/>
              </w:rPr>
              <w:t>经费</w:t>
            </w:r>
          </w:p>
        </w:tc>
        <w:tc>
          <w:tcPr>
            <w:tcW w:w="1150"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负责人</w:t>
            </w:r>
          </w:p>
          <w:p>
            <w:pPr>
              <w:jc w:val="center"/>
              <w:rPr>
                <w:rFonts w:hint="eastAsia" w:ascii="仿宋" w:hAnsi="仿宋" w:eastAsia="仿宋" w:cs="仿宋"/>
                <w:color w:val="auto"/>
                <w:szCs w:val="21"/>
              </w:rPr>
            </w:pPr>
            <w:r>
              <w:rPr>
                <w:rFonts w:hint="eastAsia" w:ascii="仿宋" w:hAnsi="仿宋" w:eastAsia="仿宋" w:cs="仿宋"/>
                <w:color w:val="auto"/>
                <w:szCs w:val="21"/>
              </w:rPr>
              <w:t>及电话</w:t>
            </w:r>
          </w:p>
        </w:tc>
        <w:tc>
          <w:tcPr>
            <w:tcW w:w="2038" w:type="dxa"/>
            <w:gridSpan w:val="3"/>
            <w:noWrap w:val="0"/>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3315" w:type="dxa"/>
            <w:gridSpan w:val="3"/>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市级主管部门</w:t>
            </w:r>
          </w:p>
        </w:tc>
        <w:tc>
          <w:tcPr>
            <w:tcW w:w="5502" w:type="dxa"/>
            <w:gridSpan w:val="6"/>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怀化市住房和城乡建设局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315" w:type="dxa"/>
            <w:gridSpan w:val="3"/>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地方主管部门</w:t>
            </w:r>
          </w:p>
        </w:tc>
        <w:tc>
          <w:tcPr>
            <w:tcW w:w="2314"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怀化市住房和城乡建设局</w:t>
            </w:r>
          </w:p>
        </w:tc>
        <w:tc>
          <w:tcPr>
            <w:tcW w:w="1150"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实施单位</w:t>
            </w:r>
          </w:p>
        </w:tc>
        <w:tc>
          <w:tcPr>
            <w:tcW w:w="2038" w:type="dxa"/>
            <w:gridSpan w:val="3"/>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怀化市住房保障服务中心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315" w:type="dxa"/>
            <w:gridSpan w:val="3"/>
            <w:vMerge w:val="restart"/>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项目资金（万元）</w:t>
            </w:r>
          </w:p>
        </w:tc>
        <w:tc>
          <w:tcPr>
            <w:tcW w:w="1102" w:type="dxa"/>
            <w:noWrap/>
            <w:vAlign w:val="center"/>
          </w:tcPr>
          <w:p>
            <w:pPr>
              <w:widowControl/>
              <w:jc w:val="center"/>
              <w:rPr>
                <w:rFonts w:hint="eastAsia" w:ascii="仿宋" w:hAnsi="仿宋" w:eastAsia="仿宋" w:cs="仿宋"/>
                <w:color w:val="auto"/>
                <w:szCs w:val="21"/>
              </w:rPr>
            </w:pPr>
          </w:p>
        </w:tc>
        <w:tc>
          <w:tcPr>
            <w:tcW w:w="1212"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全年预算数（A）</w:t>
            </w:r>
          </w:p>
        </w:tc>
        <w:tc>
          <w:tcPr>
            <w:tcW w:w="1339"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全年执行数（B）</w:t>
            </w:r>
          </w:p>
        </w:tc>
        <w:tc>
          <w:tcPr>
            <w:tcW w:w="1849"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执行率（B／A）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315" w:type="dxa"/>
            <w:gridSpan w:val="3"/>
            <w:vMerge w:val="continue"/>
            <w:noWrap w:val="0"/>
            <w:vAlign w:val="center"/>
          </w:tcPr>
          <w:p>
            <w:pPr>
              <w:widowControl/>
              <w:jc w:val="center"/>
              <w:rPr>
                <w:rFonts w:hint="eastAsia" w:ascii="仿宋" w:hAnsi="仿宋" w:eastAsia="仿宋" w:cs="仿宋"/>
                <w:color w:val="auto"/>
                <w:szCs w:val="21"/>
              </w:rPr>
            </w:pPr>
          </w:p>
        </w:tc>
        <w:tc>
          <w:tcPr>
            <w:tcW w:w="1102"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年度资金总额</w:t>
            </w:r>
          </w:p>
        </w:tc>
        <w:tc>
          <w:tcPr>
            <w:tcW w:w="1212" w:type="dxa"/>
            <w:noWrap/>
            <w:vAlign w:val="center"/>
          </w:tcPr>
          <w:p>
            <w:pPr>
              <w:widowControl/>
              <w:jc w:val="center"/>
              <w:rPr>
                <w:rFonts w:hint="default" w:ascii="仿宋" w:hAnsi="仿宋" w:eastAsia="仿宋" w:cs="仿宋"/>
                <w:color w:val="auto"/>
                <w:szCs w:val="21"/>
              </w:rPr>
            </w:pPr>
            <w:r>
              <w:rPr>
                <w:rFonts w:hint="default" w:ascii="仿宋" w:hAnsi="仿宋" w:eastAsia="仿宋" w:cs="仿宋"/>
                <w:color w:val="auto"/>
                <w:szCs w:val="21"/>
              </w:rPr>
              <w:t>305.79</w:t>
            </w:r>
          </w:p>
        </w:tc>
        <w:tc>
          <w:tcPr>
            <w:tcW w:w="1339" w:type="dxa"/>
            <w:gridSpan w:val="2"/>
            <w:noWrap/>
            <w:vAlign w:val="center"/>
          </w:tcPr>
          <w:p>
            <w:pPr>
              <w:widowControl/>
              <w:jc w:val="center"/>
              <w:rPr>
                <w:rFonts w:hint="default" w:ascii="仿宋" w:hAnsi="仿宋" w:eastAsia="仿宋" w:cs="仿宋"/>
                <w:color w:val="auto"/>
                <w:szCs w:val="21"/>
              </w:rPr>
            </w:pPr>
            <w:r>
              <w:rPr>
                <w:rFonts w:hint="default" w:ascii="仿宋" w:hAnsi="仿宋" w:eastAsia="仿宋" w:cs="仿宋"/>
                <w:color w:val="auto"/>
                <w:szCs w:val="21"/>
              </w:rPr>
              <w:t>298.88</w:t>
            </w:r>
          </w:p>
        </w:tc>
        <w:tc>
          <w:tcPr>
            <w:tcW w:w="1849" w:type="dxa"/>
            <w:gridSpan w:val="2"/>
            <w:noWrap/>
            <w:vAlign w:val="center"/>
          </w:tcPr>
          <w:p>
            <w:pPr>
              <w:widowControl/>
              <w:jc w:val="center"/>
              <w:rPr>
                <w:rFonts w:hint="eastAsia" w:ascii="仿宋" w:hAnsi="仿宋" w:eastAsia="仿宋" w:cs="仿宋"/>
                <w:color w:val="auto"/>
                <w:szCs w:val="21"/>
              </w:rPr>
            </w:pPr>
            <w:r>
              <w:rPr>
                <w:rFonts w:hint="default" w:ascii="仿宋" w:hAnsi="仿宋" w:eastAsia="仿宋" w:cs="仿宋"/>
                <w:color w:val="auto"/>
                <w:szCs w:val="21"/>
              </w:rPr>
              <w:t>97.74</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315" w:type="dxa"/>
            <w:gridSpan w:val="3"/>
            <w:vMerge w:val="continue"/>
            <w:noWrap w:val="0"/>
            <w:vAlign w:val="center"/>
          </w:tcPr>
          <w:p>
            <w:pPr>
              <w:widowControl/>
              <w:jc w:val="center"/>
              <w:rPr>
                <w:rFonts w:hint="eastAsia" w:ascii="仿宋" w:hAnsi="仿宋" w:eastAsia="仿宋" w:cs="仿宋"/>
                <w:color w:val="auto"/>
                <w:szCs w:val="21"/>
              </w:rPr>
            </w:pPr>
          </w:p>
        </w:tc>
        <w:tc>
          <w:tcPr>
            <w:tcW w:w="1102"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其中：中央补助</w:t>
            </w:r>
          </w:p>
        </w:tc>
        <w:tc>
          <w:tcPr>
            <w:tcW w:w="1212" w:type="dxa"/>
            <w:noWrap/>
            <w:vAlign w:val="center"/>
          </w:tcPr>
          <w:p>
            <w:pPr>
              <w:widowControl/>
              <w:jc w:val="center"/>
              <w:rPr>
                <w:rFonts w:hint="eastAsia" w:ascii="仿宋" w:hAnsi="仿宋" w:eastAsia="仿宋" w:cs="仿宋"/>
                <w:color w:val="auto"/>
                <w:szCs w:val="21"/>
              </w:rPr>
            </w:pPr>
          </w:p>
        </w:tc>
        <w:tc>
          <w:tcPr>
            <w:tcW w:w="1339" w:type="dxa"/>
            <w:gridSpan w:val="2"/>
            <w:noWrap/>
            <w:vAlign w:val="center"/>
          </w:tcPr>
          <w:p>
            <w:pPr>
              <w:widowControl/>
              <w:jc w:val="center"/>
              <w:rPr>
                <w:rFonts w:hint="eastAsia" w:ascii="仿宋" w:hAnsi="仿宋" w:eastAsia="仿宋" w:cs="仿宋"/>
                <w:color w:val="auto"/>
                <w:szCs w:val="21"/>
              </w:rPr>
            </w:pPr>
          </w:p>
        </w:tc>
        <w:tc>
          <w:tcPr>
            <w:tcW w:w="1849" w:type="dxa"/>
            <w:gridSpan w:val="2"/>
            <w:noWrap/>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315" w:type="dxa"/>
            <w:gridSpan w:val="3"/>
            <w:vMerge w:val="continue"/>
            <w:noWrap w:val="0"/>
            <w:vAlign w:val="center"/>
          </w:tcPr>
          <w:p>
            <w:pPr>
              <w:widowControl/>
              <w:jc w:val="center"/>
              <w:rPr>
                <w:rFonts w:hint="eastAsia" w:ascii="仿宋" w:hAnsi="仿宋" w:eastAsia="仿宋" w:cs="仿宋"/>
                <w:color w:val="auto"/>
                <w:szCs w:val="21"/>
              </w:rPr>
            </w:pPr>
          </w:p>
        </w:tc>
        <w:tc>
          <w:tcPr>
            <w:tcW w:w="1102"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省级资金</w:t>
            </w:r>
          </w:p>
        </w:tc>
        <w:tc>
          <w:tcPr>
            <w:tcW w:w="1212" w:type="dxa"/>
            <w:noWrap/>
            <w:vAlign w:val="center"/>
          </w:tcPr>
          <w:p>
            <w:pPr>
              <w:widowControl/>
              <w:jc w:val="center"/>
              <w:rPr>
                <w:rFonts w:hint="eastAsia" w:ascii="仿宋" w:hAnsi="仿宋" w:eastAsia="仿宋" w:cs="仿宋"/>
                <w:color w:val="auto"/>
                <w:szCs w:val="21"/>
              </w:rPr>
            </w:pPr>
          </w:p>
        </w:tc>
        <w:tc>
          <w:tcPr>
            <w:tcW w:w="1339" w:type="dxa"/>
            <w:gridSpan w:val="2"/>
            <w:noWrap/>
            <w:vAlign w:val="center"/>
          </w:tcPr>
          <w:p>
            <w:pPr>
              <w:widowControl/>
              <w:jc w:val="center"/>
              <w:rPr>
                <w:rFonts w:hint="eastAsia" w:ascii="仿宋" w:hAnsi="仿宋" w:eastAsia="仿宋" w:cs="仿宋"/>
                <w:color w:val="auto"/>
                <w:szCs w:val="21"/>
              </w:rPr>
            </w:pPr>
          </w:p>
        </w:tc>
        <w:tc>
          <w:tcPr>
            <w:tcW w:w="1849" w:type="dxa"/>
            <w:gridSpan w:val="2"/>
            <w:noWrap/>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315" w:type="dxa"/>
            <w:gridSpan w:val="3"/>
            <w:vMerge w:val="continue"/>
            <w:noWrap w:val="0"/>
            <w:vAlign w:val="center"/>
          </w:tcPr>
          <w:p>
            <w:pPr>
              <w:widowControl/>
              <w:jc w:val="center"/>
              <w:rPr>
                <w:rFonts w:hint="eastAsia" w:ascii="仿宋" w:hAnsi="仿宋" w:eastAsia="仿宋" w:cs="仿宋"/>
                <w:color w:val="auto"/>
                <w:szCs w:val="21"/>
              </w:rPr>
            </w:pPr>
          </w:p>
        </w:tc>
        <w:tc>
          <w:tcPr>
            <w:tcW w:w="1102"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市级资金</w:t>
            </w:r>
          </w:p>
        </w:tc>
        <w:tc>
          <w:tcPr>
            <w:tcW w:w="1212" w:type="dxa"/>
            <w:noWrap/>
            <w:vAlign w:val="center"/>
          </w:tcPr>
          <w:p>
            <w:pPr>
              <w:widowControl/>
              <w:jc w:val="center"/>
              <w:rPr>
                <w:rFonts w:hint="eastAsia" w:ascii="仿宋" w:hAnsi="仿宋" w:eastAsia="仿宋" w:cs="仿宋"/>
                <w:color w:val="auto"/>
                <w:szCs w:val="21"/>
              </w:rPr>
            </w:pPr>
            <w:r>
              <w:rPr>
                <w:rFonts w:hint="default" w:ascii="仿宋" w:hAnsi="仿宋" w:eastAsia="仿宋" w:cs="仿宋"/>
                <w:color w:val="auto"/>
                <w:szCs w:val="21"/>
              </w:rPr>
              <w:t>305.79</w:t>
            </w:r>
          </w:p>
        </w:tc>
        <w:tc>
          <w:tcPr>
            <w:tcW w:w="1339" w:type="dxa"/>
            <w:gridSpan w:val="2"/>
            <w:noWrap/>
            <w:vAlign w:val="center"/>
          </w:tcPr>
          <w:p>
            <w:pPr>
              <w:widowControl/>
              <w:jc w:val="center"/>
              <w:rPr>
                <w:rFonts w:hint="eastAsia" w:ascii="仿宋" w:hAnsi="仿宋" w:eastAsia="仿宋" w:cs="仿宋"/>
                <w:color w:val="auto"/>
                <w:szCs w:val="21"/>
              </w:rPr>
            </w:pPr>
            <w:r>
              <w:rPr>
                <w:rFonts w:hint="default" w:ascii="仿宋" w:hAnsi="仿宋" w:eastAsia="仿宋" w:cs="仿宋"/>
                <w:color w:val="auto"/>
                <w:szCs w:val="21"/>
              </w:rPr>
              <w:t>298.88</w:t>
            </w:r>
          </w:p>
        </w:tc>
        <w:tc>
          <w:tcPr>
            <w:tcW w:w="1849" w:type="dxa"/>
            <w:gridSpan w:val="2"/>
            <w:noWrap/>
            <w:vAlign w:val="center"/>
          </w:tcPr>
          <w:p>
            <w:pPr>
              <w:widowControl/>
              <w:jc w:val="center"/>
              <w:rPr>
                <w:rFonts w:hint="eastAsia" w:ascii="仿宋" w:hAnsi="仿宋" w:eastAsia="仿宋" w:cs="仿宋"/>
                <w:color w:val="auto"/>
                <w:szCs w:val="21"/>
              </w:rPr>
            </w:pPr>
            <w:r>
              <w:rPr>
                <w:rFonts w:hint="default" w:ascii="仿宋" w:hAnsi="仿宋" w:eastAsia="仿宋" w:cs="仿宋"/>
                <w:color w:val="auto"/>
                <w:szCs w:val="21"/>
              </w:rPr>
              <w:t>97.74</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3315" w:type="dxa"/>
            <w:gridSpan w:val="3"/>
            <w:vMerge w:val="continue"/>
            <w:noWrap w:val="0"/>
            <w:vAlign w:val="center"/>
          </w:tcPr>
          <w:p>
            <w:pPr>
              <w:widowControl/>
              <w:jc w:val="center"/>
              <w:rPr>
                <w:rFonts w:hint="eastAsia" w:ascii="仿宋" w:hAnsi="仿宋" w:eastAsia="仿宋" w:cs="仿宋"/>
                <w:color w:val="auto"/>
                <w:szCs w:val="21"/>
              </w:rPr>
            </w:pPr>
          </w:p>
        </w:tc>
        <w:tc>
          <w:tcPr>
            <w:tcW w:w="1102"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其他资金</w:t>
            </w:r>
          </w:p>
        </w:tc>
        <w:tc>
          <w:tcPr>
            <w:tcW w:w="1212" w:type="dxa"/>
            <w:noWrap/>
            <w:vAlign w:val="center"/>
          </w:tcPr>
          <w:p>
            <w:pPr>
              <w:widowControl/>
              <w:jc w:val="center"/>
              <w:rPr>
                <w:rFonts w:hint="eastAsia" w:ascii="仿宋" w:hAnsi="仿宋" w:eastAsia="仿宋" w:cs="仿宋"/>
                <w:color w:val="auto"/>
                <w:szCs w:val="21"/>
              </w:rPr>
            </w:pPr>
          </w:p>
        </w:tc>
        <w:tc>
          <w:tcPr>
            <w:tcW w:w="1339" w:type="dxa"/>
            <w:gridSpan w:val="2"/>
            <w:noWrap/>
            <w:vAlign w:val="center"/>
          </w:tcPr>
          <w:p>
            <w:pPr>
              <w:widowControl/>
              <w:jc w:val="center"/>
              <w:rPr>
                <w:rFonts w:hint="eastAsia" w:ascii="仿宋" w:hAnsi="仿宋" w:eastAsia="仿宋" w:cs="仿宋"/>
                <w:color w:val="auto"/>
                <w:szCs w:val="21"/>
              </w:rPr>
            </w:pPr>
          </w:p>
        </w:tc>
        <w:tc>
          <w:tcPr>
            <w:tcW w:w="1849" w:type="dxa"/>
            <w:gridSpan w:val="2"/>
            <w:noWrap/>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30" w:type="dxa"/>
            <w:vMerge w:val="restart"/>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年度总体目标</w:t>
            </w:r>
          </w:p>
        </w:tc>
        <w:tc>
          <w:tcPr>
            <w:tcW w:w="4899" w:type="dxa"/>
            <w:gridSpan w:val="4"/>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年初设定目标</w:t>
            </w:r>
          </w:p>
        </w:tc>
        <w:tc>
          <w:tcPr>
            <w:tcW w:w="3188" w:type="dxa"/>
            <w:gridSpan w:val="4"/>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全年实际完成情况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6" w:hRule="atLeast"/>
        </w:trPr>
        <w:tc>
          <w:tcPr>
            <w:tcW w:w="730" w:type="dxa"/>
            <w:vMerge w:val="continue"/>
            <w:noWrap w:val="0"/>
            <w:vAlign w:val="center"/>
          </w:tcPr>
          <w:p>
            <w:pPr>
              <w:widowControl/>
              <w:jc w:val="center"/>
              <w:rPr>
                <w:rFonts w:hint="eastAsia" w:ascii="仿宋" w:hAnsi="仿宋" w:eastAsia="仿宋" w:cs="仿宋"/>
                <w:color w:val="auto"/>
                <w:szCs w:val="21"/>
              </w:rPr>
            </w:pPr>
          </w:p>
        </w:tc>
        <w:tc>
          <w:tcPr>
            <w:tcW w:w="4899" w:type="dxa"/>
            <w:gridSpan w:val="4"/>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切实做好公租房日常维护保养工作，水、电、路、网络故障，24小时有人受理，单户问题1天内解决，单元问题3天内解决，单栋问题7天内解决以及；2、做好年租金补贴对象调查，摸底工作，及时按要求把租赁补贴发放到位；3、积极做好公租房租赁资格年审工作，每年进行一次</w:t>
            </w:r>
          </w:p>
        </w:tc>
        <w:tc>
          <w:tcPr>
            <w:tcW w:w="3188" w:type="dxa"/>
            <w:gridSpan w:val="4"/>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1、公租房分配131套，租赁补贴发放846户，共发放金额123.58万元。2、年审工作进展顺利，已完成年审5190 户（不含拆迁过渡安置户），完成入户调查3036户，按规定对不再符合住房保障条件的或查实存在违规行为的89户承租户进行查处3、加强了消防器材的正确认识和使用，组织消防培训3场，消防演练4起，在汛期排查解决安全隐患3处；5、按照市文明办的要求，集中整治小区内悬挂条幅18幅、无障碍坡道改造23处，小区路灯、庭院灯、围墙灯、单元楼梯间灯等修缮共650余/盏/次，监控维修、保养、调整80余次，购买分类垃圾桶40组，按规定配齐了消防器材，共配备干粉灭火器1536个及专用灭火器放置柜799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30" w:type="dxa"/>
            <w:vMerge w:val="restart"/>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绩  效    指  标</w:t>
            </w:r>
          </w:p>
        </w:tc>
        <w:tc>
          <w:tcPr>
            <w:tcW w:w="1437" w:type="dxa"/>
            <w:vMerge w:val="restart"/>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一级指标</w:t>
            </w:r>
          </w:p>
        </w:tc>
        <w:tc>
          <w:tcPr>
            <w:tcW w:w="1148" w:type="dxa"/>
            <w:vMerge w:val="restart"/>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二级指标</w:t>
            </w:r>
          </w:p>
        </w:tc>
        <w:tc>
          <w:tcPr>
            <w:tcW w:w="2314" w:type="dxa"/>
            <w:gridSpan w:val="2"/>
            <w:vMerge w:val="restart"/>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三级指标</w:t>
            </w:r>
          </w:p>
        </w:tc>
        <w:tc>
          <w:tcPr>
            <w:tcW w:w="1150" w:type="dxa"/>
            <w:vMerge w:val="restart"/>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年度指标值</w:t>
            </w:r>
          </w:p>
        </w:tc>
        <w:tc>
          <w:tcPr>
            <w:tcW w:w="991" w:type="dxa"/>
            <w:gridSpan w:val="2"/>
            <w:vMerge w:val="restart"/>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全年</w:t>
            </w:r>
            <w:r>
              <w:rPr>
                <w:rFonts w:hint="eastAsia" w:ascii="仿宋" w:hAnsi="仿宋" w:eastAsia="仿宋" w:cs="仿宋"/>
                <w:color w:val="auto"/>
                <w:szCs w:val="21"/>
              </w:rPr>
              <w:br w:type="textWrapping"/>
            </w:r>
            <w:r>
              <w:rPr>
                <w:rFonts w:hint="eastAsia" w:ascii="仿宋" w:hAnsi="仿宋" w:eastAsia="仿宋" w:cs="仿宋"/>
                <w:color w:val="auto"/>
                <w:szCs w:val="21"/>
              </w:rPr>
              <w:t>完成值</w:t>
            </w:r>
          </w:p>
        </w:tc>
        <w:tc>
          <w:tcPr>
            <w:tcW w:w="1047" w:type="dxa"/>
            <w:vMerge w:val="restart"/>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未完成原因和</w:t>
            </w:r>
            <w:r>
              <w:rPr>
                <w:rFonts w:hint="eastAsia" w:ascii="仿宋" w:hAnsi="仿宋" w:eastAsia="仿宋" w:cs="仿宋"/>
                <w:color w:val="auto"/>
                <w:szCs w:val="21"/>
              </w:rPr>
              <w:br w:type="textWrapping"/>
            </w:r>
            <w:r>
              <w:rPr>
                <w:rFonts w:hint="eastAsia" w:ascii="仿宋" w:hAnsi="仿宋" w:eastAsia="仿宋" w:cs="仿宋"/>
                <w:color w:val="auto"/>
                <w:szCs w:val="21"/>
              </w:rPr>
              <w:t>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30" w:type="dxa"/>
            <w:vMerge w:val="continue"/>
            <w:noWrap w:val="0"/>
            <w:vAlign w:val="center"/>
          </w:tcPr>
          <w:p>
            <w:pPr>
              <w:widowControl/>
              <w:jc w:val="center"/>
              <w:rPr>
                <w:rFonts w:hint="eastAsia" w:ascii="仿宋" w:hAnsi="仿宋" w:eastAsia="仿宋" w:cs="仿宋"/>
                <w:color w:val="auto"/>
                <w:szCs w:val="21"/>
              </w:rPr>
            </w:pPr>
          </w:p>
        </w:tc>
        <w:tc>
          <w:tcPr>
            <w:tcW w:w="1437" w:type="dxa"/>
            <w:vMerge w:val="continue"/>
            <w:noWrap w:val="0"/>
            <w:vAlign w:val="center"/>
          </w:tcPr>
          <w:p>
            <w:pPr>
              <w:widowControl/>
              <w:jc w:val="center"/>
              <w:rPr>
                <w:rFonts w:hint="eastAsia" w:ascii="仿宋" w:hAnsi="仿宋" w:eastAsia="仿宋" w:cs="仿宋"/>
                <w:color w:val="auto"/>
                <w:szCs w:val="21"/>
              </w:rPr>
            </w:pPr>
          </w:p>
        </w:tc>
        <w:tc>
          <w:tcPr>
            <w:tcW w:w="1148" w:type="dxa"/>
            <w:vMerge w:val="continue"/>
            <w:noWrap w:val="0"/>
            <w:vAlign w:val="center"/>
          </w:tcPr>
          <w:p>
            <w:pPr>
              <w:widowControl/>
              <w:jc w:val="center"/>
              <w:rPr>
                <w:rFonts w:hint="eastAsia" w:ascii="仿宋" w:hAnsi="仿宋" w:eastAsia="仿宋" w:cs="仿宋"/>
                <w:color w:val="auto"/>
                <w:szCs w:val="21"/>
              </w:rPr>
            </w:pPr>
          </w:p>
        </w:tc>
        <w:tc>
          <w:tcPr>
            <w:tcW w:w="2314" w:type="dxa"/>
            <w:gridSpan w:val="2"/>
            <w:vMerge w:val="continue"/>
            <w:noWrap w:val="0"/>
            <w:vAlign w:val="center"/>
          </w:tcPr>
          <w:p>
            <w:pPr>
              <w:widowControl/>
              <w:jc w:val="center"/>
              <w:rPr>
                <w:rFonts w:hint="eastAsia" w:ascii="仿宋" w:hAnsi="仿宋" w:eastAsia="仿宋" w:cs="仿宋"/>
                <w:color w:val="auto"/>
                <w:szCs w:val="21"/>
              </w:rPr>
            </w:pPr>
          </w:p>
        </w:tc>
        <w:tc>
          <w:tcPr>
            <w:tcW w:w="1150" w:type="dxa"/>
            <w:vMerge w:val="continue"/>
            <w:noWrap w:val="0"/>
            <w:vAlign w:val="center"/>
          </w:tcPr>
          <w:p>
            <w:pPr>
              <w:widowControl/>
              <w:jc w:val="center"/>
              <w:rPr>
                <w:rFonts w:hint="eastAsia" w:ascii="仿宋" w:hAnsi="仿宋" w:eastAsia="仿宋" w:cs="仿宋"/>
                <w:color w:val="auto"/>
                <w:szCs w:val="21"/>
              </w:rPr>
            </w:pPr>
          </w:p>
        </w:tc>
        <w:tc>
          <w:tcPr>
            <w:tcW w:w="991" w:type="dxa"/>
            <w:gridSpan w:val="2"/>
            <w:vMerge w:val="continue"/>
            <w:noWrap w:val="0"/>
            <w:vAlign w:val="center"/>
          </w:tcPr>
          <w:p>
            <w:pPr>
              <w:widowControl/>
              <w:jc w:val="center"/>
              <w:rPr>
                <w:rFonts w:hint="eastAsia" w:ascii="仿宋" w:hAnsi="仿宋" w:eastAsia="仿宋" w:cs="仿宋"/>
                <w:color w:val="auto"/>
                <w:szCs w:val="21"/>
              </w:rPr>
            </w:pPr>
          </w:p>
        </w:tc>
        <w:tc>
          <w:tcPr>
            <w:tcW w:w="1047" w:type="dxa"/>
            <w:vMerge w:val="continue"/>
            <w:noWrap w:val="0"/>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30" w:type="dxa"/>
            <w:vMerge w:val="continue"/>
            <w:noWrap w:val="0"/>
            <w:vAlign w:val="center"/>
          </w:tcPr>
          <w:p>
            <w:pPr>
              <w:widowControl/>
              <w:jc w:val="center"/>
              <w:rPr>
                <w:rFonts w:hint="eastAsia" w:ascii="仿宋" w:hAnsi="仿宋" w:eastAsia="仿宋" w:cs="仿宋"/>
                <w:color w:val="auto"/>
                <w:szCs w:val="21"/>
              </w:rPr>
            </w:pPr>
          </w:p>
        </w:tc>
        <w:tc>
          <w:tcPr>
            <w:tcW w:w="1437" w:type="dxa"/>
            <w:vMerge w:val="restart"/>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产出指标</w:t>
            </w:r>
          </w:p>
        </w:tc>
        <w:tc>
          <w:tcPr>
            <w:tcW w:w="1148" w:type="dxa"/>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数量指标</w:t>
            </w:r>
          </w:p>
        </w:tc>
        <w:tc>
          <w:tcPr>
            <w:tcW w:w="2314"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受理维修申请</w:t>
            </w:r>
          </w:p>
        </w:tc>
        <w:tc>
          <w:tcPr>
            <w:tcW w:w="1150"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100%</w:t>
            </w:r>
          </w:p>
        </w:tc>
        <w:tc>
          <w:tcPr>
            <w:tcW w:w="991"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100%</w:t>
            </w:r>
          </w:p>
        </w:tc>
        <w:tc>
          <w:tcPr>
            <w:tcW w:w="1047" w:type="dxa"/>
            <w:noWrap/>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30" w:type="dxa"/>
            <w:vMerge w:val="continue"/>
            <w:noWrap w:val="0"/>
            <w:vAlign w:val="center"/>
          </w:tcPr>
          <w:p>
            <w:pPr>
              <w:widowControl/>
              <w:jc w:val="center"/>
              <w:rPr>
                <w:rFonts w:hint="eastAsia" w:ascii="仿宋" w:hAnsi="仿宋" w:eastAsia="仿宋" w:cs="仿宋"/>
                <w:color w:val="auto"/>
                <w:szCs w:val="21"/>
              </w:rPr>
            </w:pPr>
          </w:p>
        </w:tc>
        <w:tc>
          <w:tcPr>
            <w:tcW w:w="1437" w:type="dxa"/>
            <w:vMerge w:val="continue"/>
            <w:noWrap w:val="0"/>
            <w:vAlign w:val="center"/>
          </w:tcPr>
          <w:p>
            <w:pPr>
              <w:widowControl/>
              <w:jc w:val="center"/>
              <w:rPr>
                <w:rFonts w:hint="eastAsia" w:ascii="仿宋" w:hAnsi="仿宋" w:eastAsia="仿宋" w:cs="仿宋"/>
                <w:color w:val="auto"/>
                <w:szCs w:val="21"/>
              </w:rPr>
            </w:pPr>
          </w:p>
        </w:tc>
        <w:tc>
          <w:tcPr>
            <w:tcW w:w="1148" w:type="dxa"/>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质量指标</w:t>
            </w:r>
          </w:p>
        </w:tc>
        <w:tc>
          <w:tcPr>
            <w:tcW w:w="2314"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质量达标率</w:t>
            </w:r>
          </w:p>
        </w:tc>
        <w:tc>
          <w:tcPr>
            <w:tcW w:w="1150"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100%</w:t>
            </w:r>
          </w:p>
        </w:tc>
        <w:tc>
          <w:tcPr>
            <w:tcW w:w="991"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100%</w:t>
            </w:r>
          </w:p>
        </w:tc>
        <w:tc>
          <w:tcPr>
            <w:tcW w:w="1047" w:type="dxa"/>
            <w:noWrap/>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30" w:type="dxa"/>
            <w:vMerge w:val="continue"/>
            <w:noWrap w:val="0"/>
            <w:vAlign w:val="center"/>
          </w:tcPr>
          <w:p>
            <w:pPr>
              <w:widowControl/>
              <w:jc w:val="center"/>
              <w:rPr>
                <w:rFonts w:hint="eastAsia" w:ascii="仿宋" w:hAnsi="仿宋" w:eastAsia="仿宋" w:cs="仿宋"/>
                <w:color w:val="auto"/>
                <w:szCs w:val="21"/>
              </w:rPr>
            </w:pPr>
          </w:p>
        </w:tc>
        <w:tc>
          <w:tcPr>
            <w:tcW w:w="1437" w:type="dxa"/>
            <w:vMerge w:val="continue"/>
            <w:noWrap w:val="0"/>
            <w:vAlign w:val="center"/>
          </w:tcPr>
          <w:p>
            <w:pPr>
              <w:widowControl/>
              <w:jc w:val="center"/>
              <w:rPr>
                <w:rFonts w:hint="eastAsia" w:ascii="仿宋" w:hAnsi="仿宋" w:eastAsia="仿宋" w:cs="仿宋"/>
                <w:color w:val="auto"/>
                <w:szCs w:val="21"/>
              </w:rPr>
            </w:pPr>
          </w:p>
        </w:tc>
        <w:tc>
          <w:tcPr>
            <w:tcW w:w="1148" w:type="dxa"/>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时效指标</w:t>
            </w:r>
          </w:p>
        </w:tc>
        <w:tc>
          <w:tcPr>
            <w:tcW w:w="2314"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完成及时率</w:t>
            </w:r>
          </w:p>
        </w:tc>
        <w:tc>
          <w:tcPr>
            <w:tcW w:w="1150"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100%</w:t>
            </w:r>
          </w:p>
        </w:tc>
        <w:tc>
          <w:tcPr>
            <w:tcW w:w="991"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100%</w:t>
            </w:r>
          </w:p>
        </w:tc>
        <w:tc>
          <w:tcPr>
            <w:tcW w:w="1047" w:type="dxa"/>
            <w:noWrap/>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30" w:type="dxa"/>
            <w:vMerge w:val="continue"/>
            <w:noWrap w:val="0"/>
            <w:vAlign w:val="center"/>
          </w:tcPr>
          <w:p>
            <w:pPr>
              <w:widowControl/>
              <w:jc w:val="center"/>
              <w:rPr>
                <w:rFonts w:hint="eastAsia" w:ascii="仿宋" w:hAnsi="仿宋" w:eastAsia="仿宋" w:cs="仿宋"/>
                <w:color w:val="auto"/>
                <w:szCs w:val="21"/>
              </w:rPr>
            </w:pPr>
          </w:p>
        </w:tc>
        <w:tc>
          <w:tcPr>
            <w:tcW w:w="1437" w:type="dxa"/>
            <w:vMerge w:val="restart"/>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效益指标</w:t>
            </w:r>
          </w:p>
        </w:tc>
        <w:tc>
          <w:tcPr>
            <w:tcW w:w="1148" w:type="dxa"/>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经济效益  指标</w:t>
            </w:r>
          </w:p>
        </w:tc>
        <w:tc>
          <w:tcPr>
            <w:tcW w:w="2314"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直接或间接带来经济效益</w:t>
            </w:r>
          </w:p>
        </w:tc>
        <w:tc>
          <w:tcPr>
            <w:tcW w:w="1150"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效果明显</w:t>
            </w:r>
          </w:p>
        </w:tc>
        <w:tc>
          <w:tcPr>
            <w:tcW w:w="991"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效果明显</w:t>
            </w:r>
          </w:p>
        </w:tc>
        <w:tc>
          <w:tcPr>
            <w:tcW w:w="1047" w:type="dxa"/>
            <w:noWrap/>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30" w:type="dxa"/>
            <w:vMerge w:val="continue"/>
            <w:noWrap w:val="0"/>
            <w:vAlign w:val="center"/>
          </w:tcPr>
          <w:p>
            <w:pPr>
              <w:widowControl/>
              <w:jc w:val="center"/>
              <w:rPr>
                <w:rFonts w:hint="eastAsia" w:ascii="仿宋" w:hAnsi="仿宋" w:eastAsia="仿宋" w:cs="仿宋"/>
                <w:color w:val="auto"/>
                <w:szCs w:val="21"/>
              </w:rPr>
            </w:pPr>
          </w:p>
        </w:tc>
        <w:tc>
          <w:tcPr>
            <w:tcW w:w="1437" w:type="dxa"/>
            <w:vMerge w:val="continue"/>
            <w:noWrap w:val="0"/>
            <w:vAlign w:val="center"/>
          </w:tcPr>
          <w:p>
            <w:pPr>
              <w:widowControl/>
              <w:jc w:val="center"/>
              <w:rPr>
                <w:rFonts w:hint="eastAsia" w:ascii="仿宋" w:hAnsi="仿宋" w:eastAsia="仿宋" w:cs="仿宋"/>
                <w:color w:val="auto"/>
                <w:szCs w:val="21"/>
              </w:rPr>
            </w:pPr>
          </w:p>
        </w:tc>
        <w:tc>
          <w:tcPr>
            <w:tcW w:w="1148" w:type="dxa"/>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社会效益  指标</w:t>
            </w:r>
          </w:p>
        </w:tc>
        <w:tc>
          <w:tcPr>
            <w:tcW w:w="2314"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直接或间接带来社会效益</w:t>
            </w:r>
          </w:p>
        </w:tc>
        <w:tc>
          <w:tcPr>
            <w:tcW w:w="1150"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效果明显</w:t>
            </w:r>
          </w:p>
        </w:tc>
        <w:tc>
          <w:tcPr>
            <w:tcW w:w="991"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效果明显</w:t>
            </w:r>
          </w:p>
        </w:tc>
        <w:tc>
          <w:tcPr>
            <w:tcW w:w="1047" w:type="dxa"/>
            <w:noWrap/>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730" w:type="dxa"/>
            <w:vMerge w:val="continue"/>
            <w:noWrap w:val="0"/>
            <w:vAlign w:val="center"/>
          </w:tcPr>
          <w:p>
            <w:pPr>
              <w:widowControl/>
              <w:jc w:val="center"/>
              <w:rPr>
                <w:rFonts w:hint="eastAsia" w:ascii="仿宋" w:hAnsi="仿宋" w:eastAsia="仿宋" w:cs="仿宋"/>
                <w:color w:val="auto"/>
                <w:szCs w:val="21"/>
              </w:rPr>
            </w:pPr>
          </w:p>
        </w:tc>
        <w:tc>
          <w:tcPr>
            <w:tcW w:w="1437" w:type="dxa"/>
            <w:vMerge w:val="continue"/>
            <w:noWrap w:val="0"/>
            <w:vAlign w:val="center"/>
          </w:tcPr>
          <w:p>
            <w:pPr>
              <w:widowControl/>
              <w:jc w:val="center"/>
              <w:rPr>
                <w:rFonts w:hint="eastAsia" w:ascii="仿宋" w:hAnsi="仿宋" w:eastAsia="仿宋" w:cs="仿宋"/>
                <w:color w:val="auto"/>
                <w:szCs w:val="21"/>
              </w:rPr>
            </w:pPr>
          </w:p>
        </w:tc>
        <w:tc>
          <w:tcPr>
            <w:tcW w:w="1148" w:type="dxa"/>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可持续影响指标</w:t>
            </w:r>
          </w:p>
        </w:tc>
        <w:tc>
          <w:tcPr>
            <w:tcW w:w="2314"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项目实施对人环境、自然环境所带来可持续影响</w:t>
            </w:r>
          </w:p>
        </w:tc>
        <w:tc>
          <w:tcPr>
            <w:tcW w:w="1150"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具有可持续性</w:t>
            </w:r>
          </w:p>
        </w:tc>
        <w:tc>
          <w:tcPr>
            <w:tcW w:w="991"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具有可持续性</w:t>
            </w:r>
          </w:p>
        </w:tc>
        <w:tc>
          <w:tcPr>
            <w:tcW w:w="1047" w:type="dxa"/>
            <w:noWrap/>
            <w:vAlign w:val="center"/>
          </w:tcPr>
          <w:p>
            <w:pPr>
              <w:widowControl/>
              <w:jc w:val="center"/>
              <w:rPr>
                <w:rFonts w:hint="eastAsia"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730" w:type="dxa"/>
            <w:vMerge w:val="continue"/>
            <w:noWrap w:val="0"/>
            <w:vAlign w:val="center"/>
          </w:tcPr>
          <w:p>
            <w:pPr>
              <w:widowControl/>
              <w:jc w:val="center"/>
              <w:rPr>
                <w:rFonts w:hint="eastAsia" w:ascii="仿宋" w:hAnsi="仿宋" w:eastAsia="仿宋" w:cs="仿宋"/>
                <w:color w:val="auto"/>
                <w:szCs w:val="21"/>
              </w:rPr>
            </w:pPr>
          </w:p>
        </w:tc>
        <w:tc>
          <w:tcPr>
            <w:tcW w:w="1437" w:type="dxa"/>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满意度指标</w:t>
            </w:r>
          </w:p>
        </w:tc>
        <w:tc>
          <w:tcPr>
            <w:tcW w:w="1148" w:type="dxa"/>
            <w:noWrap w:val="0"/>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服务对象满意度指标</w:t>
            </w:r>
          </w:p>
        </w:tc>
        <w:tc>
          <w:tcPr>
            <w:tcW w:w="2314"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采取回访方式</w:t>
            </w:r>
          </w:p>
        </w:tc>
        <w:tc>
          <w:tcPr>
            <w:tcW w:w="1150" w:type="dxa"/>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100%</w:t>
            </w:r>
          </w:p>
        </w:tc>
        <w:tc>
          <w:tcPr>
            <w:tcW w:w="991" w:type="dxa"/>
            <w:gridSpan w:val="2"/>
            <w:noWrap/>
            <w:vAlign w:val="center"/>
          </w:tcPr>
          <w:p>
            <w:pPr>
              <w:widowControl/>
              <w:jc w:val="center"/>
              <w:rPr>
                <w:rFonts w:hint="eastAsia" w:ascii="仿宋" w:hAnsi="仿宋" w:eastAsia="仿宋" w:cs="仿宋"/>
                <w:color w:val="auto"/>
                <w:szCs w:val="21"/>
              </w:rPr>
            </w:pPr>
            <w:r>
              <w:rPr>
                <w:rFonts w:hint="eastAsia" w:ascii="仿宋" w:hAnsi="仿宋" w:eastAsia="仿宋" w:cs="仿宋"/>
                <w:color w:val="auto"/>
                <w:szCs w:val="21"/>
              </w:rPr>
              <w:t>95%</w:t>
            </w:r>
          </w:p>
        </w:tc>
        <w:tc>
          <w:tcPr>
            <w:tcW w:w="1047" w:type="dxa"/>
            <w:noWrap/>
            <w:vAlign w:val="center"/>
          </w:tcPr>
          <w:p>
            <w:pPr>
              <w:widowControl/>
              <w:jc w:val="center"/>
              <w:rPr>
                <w:rFonts w:hint="eastAsia" w:ascii="仿宋" w:hAnsi="仿宋" w:eastAsia="仿宋" w:cs="仿宋"/>
                <w:color w:val="auto"/>
                <w:szCs w:val="21"/>
              </w:rPr>
            </w:pPr>
          </w:p>
        </w:tc>
      </w:tr>
    </w:tbl>
    <w:p>
      <w:pPr>
        <w:adjustRightInd w:val="0"/>
        <w:snapToGrid w:val="0"/>
        <w:spacing w:line="360" w:lineRule="auto"/>
        <w:ind w:firstLine="600" w:firstLineChars="200"/>
        <w:rPr>
          <w:rFonts w:hint="eastAsia" w:ascii="宋体" w:hAnsi="宋体" w:cs="宋体"/>
          <w:color w:val="auto"/>
          <w:sz w:val="30"/>
          <w:szCs w:val="30"/>
        </w:rPr>
      </w:pPr>
    </w:p>
    <w:p>
      <w:pPr>
        <w:spacing w:line="360" w:lineRule="auto"/>
        <w:ind w:firstLine="720"/>
        <w:rPr>
          <w:rFonts w:ascii="宋体" w:hAnsi="宋体"/>
          <w:color w:val="auto"/>
          <w:sz w:val="30"/>
          <w:szCs w:val="30"/>
        </w:rPr>
      </w:pPr>
    </w:p>
    <w:p>
      <w:pPr>
        <w:spacing w:line="360" w:lineRule="auto"/>
        <w:ind w:firstLine="720"/>
        <w:rPr>
          <w:rFonts w:ascii="宋体" w:hAnsi="宋体"/>
          <w:color w:val="auto"/>
          <w:sz w:val="30"/>
          <w:szCs w:val="30"/>
        </w:rPr>
      </w:pPr>
    </w:p>
    <w:p>
      <w:pPr>
        <w:spacing w:line="360" w:lineRule="auto"/>
        <w:ind w:firstLine="720"/>
        <w:rPr>
          <w:rFonts w:ascii="宋体" w:hAnsi="宋体"/>
          <w:color w:val="auto"/>
          <w:sz w:val="30"/>
          <w:szCs w:val="30"/>
        </w:rPr>
      </w:pPr>
    </w:p>
    <w:p>
      <w:pPr>
        <w:spacing w:line="360" w:lineRule="auto"/>
        <w:ind w:firstLine="720"/>
        <w:rPr>
          <w:rFonts w:ascii="宋体" w:hAnsi="宋体"/>
          <w:color w:val="auto"/>
          <w:sz w:val="30"/>
          <w:szCs w:val="30"/>
        </w:rPr>
      </w:pPr>
    </w:p>
    <w:p>
      <w:pPr>
        <w:spacing w:line="360" w:lineRule="auto"/>
        <w:ind w:firstLine="720"/>
        <w:rPr>
          <w:rFonts w:ascii="宋体" w:hAnsi="宋体"/>
          <w:color w:val="auto"/>
          <w:sz w:val="30"/>
          <w:szCs w:val="30"/>
        </w:rPr>
      </w:pPr>
    </w:p>
    <w:p>
      <w:pPr>
        <w:spacing w:line="360" w:lineRule="auto"/>
        <w:ind w:firstLine="720"/>
        <w:rPr>
          <w:rFonts w:ascii="宋体" w:hAnsi="宋体"/>
          <w:color w:val="auto"/>
          <w:sz w:val="30"/>
          <w:szCs w:val="30"/>
        </w:rPr>
      </w:pPr>
    </w:p>
    <w:p>
      <w:pPr>
        <w:spacing w:line="360" w:lineRule="auto"/>
        <w:ind w:firstLine="720"/>
        <w:rPr>
          <w:rFonts w:ascii="宋体" w:hAnsi="宋体"/>
          <w:color w:val="auto"/>
          <w:sz w:val="30"/>
          <w:szCs w:val="30"/>
        </w:rPr>
      </w:pPr>
    </w:p>
    <w:p>
      <w:pPr>
        <w:spacing w:line="360" w:lineRule="auto"/>
        <w:ind w:firstLine="720"/>
        <w:rPr>
          <w:rFonts w:ascii="宋体" w:hAnsi="宋体"/>
          <w:color w:val="auto"/>
          <w:sz w:val="30"/>
          <w:szCs w:val="30"/>
        </w:rPr>
      </w:pPr>
    </w:p>
    <w:p>
      <w:pPr>
        <w:spacing w:line="360" w:lineRule="auto"/>
        <w:rPr>
          <w:rFonts w:ascii="宋体" w:hAnsi="宋体"/>
          <w:color w:val="auto"/>
          <w:sz w:val="30"/>
          <w:szCs w:val="30"/>
        </w:rPr>
      </w:pPr>
    </w:p>
    <w:p>
      <w:pPr>
        <w:spacing w:line="360" w:lineRule="auto"/>
        <w:rPr>
          <w:rFonts w:ascii="宋体" w:hAnsi="宋体"/>
          <w:color w:val="auto"/>
          <w:sz w:val="30"/>
          <w:szCs w:val="30"/>
        </w:rPr>
      </w:pPr>
    </w:p>
    <w:p>
      <w:pPr>
        <w:spacing w:line="360" w:lineRule="auto"/>
        <w:rPr>
          <w:rFonts w:ascii="宋体" w:hAnsi="宋体"/>
          <w:color w:val="auto"/>
          <w:sz w:val="30"/>
          <w:szCs w:val="30"/>
        </w:rPr>
      </w:pPr>
    </w:p>
    <w:p>
      <w:pPr>
        <w:spacing w:line="360" w:lineRule="auto"/>
        <w:rPr>
          <w:rFonts w:ascii="宋体" w:hAnsi="宋体"/>
          <w:color w:val="auto"/>
          <w:sz w:val="30"/>
          <w:szCs w:val="30"/>
        </w:rPr>
      </w:pPr>
    </w:p>
    <w:p>
      <w:pPr>
        <w:spacing w:line="560" w:lineRule="exact"/>
        <w:rPr>
          <w:rFonts w:ascii="黑体" w:hAnsi="宋体" w:eastAsia="黑体" w:cs="宋体"/>
          <w:color w:val="auto"/>
          <w:sz w:val="32"/>
          <w:szCs w:val="32"/>
        </w:rPr>
      </w:pPr>
      <w:r>
        <w:rPr>
          <w:rFonts w:hint="eastAsia" w:ascii="黑体" w:hAnsi="宋体" w:eastAsia="黑体" w:cs="宋体"/>
          <w:color w:val="auto"/>
          <w:sz w:val="32"/>
          <w:szCs w:val="32"/>
        </w:rPr>
        <w:t>附件</w:t>
      </w:r>
      <w:r>
        <w:rPr>
          <w:rFonts w:ascii="黑体" w:hAnsi="宋体" w:eastAsia="黑体" w:cs="宋体"/>
          <w:color w:val="auto"/>
          <w:sz w:val="32"/>
          <w:szCs w:val="32"/>
        </w:rPr>
        <w:t>2</w:t>
      </w:r>
    </w:p>
    <w:p>
      <w:pPr>
        <w:widowControl/>
        <w:ind w:left="93"/>
        <w:jc w:val="center"/>
        <w:rPr>
          <w:rFonts w:ascii="宋体" w:hAnsi="宋体"/>
          <w:color w:val="auto"/>
          <w:sz w:val="30"/>
          <w:szCs w:val="30"/>
        </w:rPr>
      </w:pPr>
      <w:r>
        <w:rPr>
          <w:rFonts w:hint="eastAsia" w:ascii="方正小标宋_GBK" w:hAnsi="宋体" w:eastAsia="方正小标宋_GBK" w:cs="宋体"/>
          <w:color w:val="auto"/>
          <w:sz w:val="36"/>
          <w:szCs w:val="36"/>
        </w:rPr>
        <w:t>专项资金绩效评价共性指标表</w:t>
      </w:r>
    </w:p>
    <w:tbl>
      <w:tblPr>
        <w:tblStyle w:val="2"/>
        <w:tblW w:w="86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
        <w:gridCol w:w="331"/>
        <w:gridCol w:w="783"/>
        <w:gridCol w:w="379"/>
        <w:gridCol w:w="2125"/>
        <w:gridCol w:w="4296"/>
        <w:gridCol w:w="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blHeader/>
        </w:trPr>
        <w:tc>
          <w:tcPr>
            <w:tcW w:w="351" w:type="dxa"/>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一级</w:t>
            </w:r>
          </w:p>
        </w:tc>
        <w:tc>
          <w:tcPr>
            <w:tcW w:w="331" w:type="dxa"/>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二级</w:t>
            </w:r>
          </w:p>
        </w:tc>
        <w:tc>
          <w:tcPr>
            <w:tcW w:w="783" w:type="dxa"/>
            <w:vMerge w:val="restart"/>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三级指标</w:t>
            </w:r>
          </w:p>
        </w:tc>
        <w:tc>
          <w:tcPr>
            <w:tcW w:w="379" w:type="dxa"/>
            <w:vMerge w:val="restart"/>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分值</w:t>
            </w:r>
          </w:p>
        </w:tc>
        <w:tc>
          <w:tcPr>
            <w:tcW w:w="2125" w:type="dxa"/>
            <w:vMerge w:val="restart"/>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指标解释</w:t>
            </w:r>
          </w:p>
        </w:tc>
        <w:tc>
          <w:tcPr>
            <w:tcW w:w="4296" w:type="dxa"/>
            <w:vMerge w:val="restart"/>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指标说明</w:t>
            </w:r>
          </w:p>
        </w:tc>
        <w:tc>
          <w:tcPr>
            <w:tcW w:w="432" w:type="dxa"/>
            <w:vMerge w:val="restart"/>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blHeader/>
        </w:trPr>
        <w:tc>
          <w:tcPr>
            <w:tcW w:w="351" w:type="dxa"/>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指标</w:t>
            </w:r>
          </w:p>
        </w:tc>
        <w:tc>
          <w:tcPr>
            <w:tcW w:w="331" w:type="dxa"/>
            <w:noWrap w:val="0"/>
            <w:vAlign w:val="center"/>
          </w:tcPr>
          <w:p>
            <w:pPr>
              <w:widowControl/>
              <w:spacing w:line="240" w:lineRule="exact"/>
              <w:jc w:val="center"/>
              <w:rPr>
                <w:rFonts w:hint="eastAsia" w:ascii="仿宋" w:hAnsi="仿宋" w:eastAsia="仿宋" w:cs="仿宋"/>
                <w:b/>
                <w:bCs/>
                <w:color w:val="auto"/>
                <w:sz w:val="20"/>
                <w:szCs w:val="20"/>
              </w:rPr>
            </w:pPr>
            <w:r>
              <w:rPr>
                <w:rFonts w:hint="eastAsia" w:ascii="仿宋" w:hAnsi="仿宋" w:eastAsia="仿宋" w:cs="仿宋"/>
                <w:b/>
                <w:bCs/>
                <w:color w:val="auto"/>
                <w:sz w:val="20"/>
                <w:szCs w:val="20"/>
              </w:rPr>
              <w:t>指标</w:t>
            </w:r>
          </w:p>
        </w:tc>
        <w:tc>
          <w:tcPr>
            <w:tcW w:w="783" w:type="dxa"/>
            <w:vMerge w:val="continue"/>
            <w:noWrap w:val="0"/>
            <w:vAlign w:val="center"/>
          </w:tcPr>
          <w:p>
            <w:pPr>
              <w:widowControl/>
              <w:spacing w:line="240" w:lineRule="exact"/>
              <w:jc w:val="left"/>
              <w:rPr>
                <w:rFonts w:hint="eastAsia" w:ascii="仿宋" w:hAnsi="仿宋" w:eastAsia="仿宋" w:cs="仿宋"/>
                <w:b/>
                <w:bCs/>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b/>
                <w:bCs/>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b/>
                <w:bCs/>
                <w:color w:val="auto"/>
                <w:sz w:val="20"/>
                <w:szCs w:val="20"/>
              </w:rPr>
            </w:pPr>
          </w:p>
        </w:tc>
        <w:tc>
          <w:tcPr>
            <w:tcW w:w="4296" w:type="dxa"/>
            <w:vMerge w:val="continue"/>
            <w:noWrap w:val="0"/>
            <w:vAlign w:val="center"/>
          </w:tcPr>
          <w:p>
            <w:pPr>
              <w:widowControl/>
              <w:spacing w:line="240" w:lineRule="exact"/>
              <w:jc w:val="left"/>
              <w:rPr>
                <w:rFonts w:hint="eastAsia" w:ascii="仿宋" w:hAnsi="仿宋" w:eastAsia="仿宋" w:cs="仿宋"/>
                <w:b/>
                <w:bCs/>
                <w:color w:val="auto"/>
                <w:sz w:val="20"/>
                <w:szCs w:val="20"/>
              </w:rPr>
            </w:pPr>
          </w:p>
        </w:tc>
        <w:tc>
          <w:tcPr>
            <w:tcW w:w="432" w:type="dxa"/>
            <w:vMerge w:val="continue"/>
            <w:noWrap w:val="0"/>
            <w:vAlign w:val="center"/>
          </w:tcPr>
          <w:p>
            <w:pPr>
              <w:widowControl/>
              <w:spacing w:line="240" w:lineRule="exact"/>
              <w:jc w:val="left"/>
              <w:rPr>
                <w:rFonts w:hint="eastAsia" w:ascii="仿宋" w:hAnsi="仿宋" w:eastAsia="仿宋" w:cs="仿宋"/>
                <w:b/>
                <w:bCs/>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投入</w:t>
            </w:r>
          </w:p>
        </w:tc>
        <w:tc>
          <w:tcPr>
            <w:tcW w:w="331"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项目立项</w:t>
            </w: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项目立项规范性</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项目的申请、设立过程是否符合相关要求，用以反映和考核项目立项的规范情况。</w:t>
            </w: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①项目是否按照规定的程序申请设立；</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②所提交的文件、材料是否符合相关要求；</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③事前是否已经过必要的可行性研究、专家论证、风险评估、集体决策等。</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绩效目标合理性</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项目所设定的绩效目标是否依椐充分，是否符合客观实际，用以反映和考核项目绩效目标与项目实施的相符情况。</w:t>
            </w: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①是否符合国家相关法律法规，国民经济发展规划和党委政府决策；</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②是否与项目实施单位或委托单位职责密切相关；</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③项目是否为促进事业发展所必需；</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④项目顸期产出效益和效果是否符合正常的业绩水平。</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绩效指标明确性</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4</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依椐绩效目标设定的绩效指标是否清晰、细化、可衡量等，用以反映和考核项目绩效目标的明细化情况。</w:t>
            </w: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是否将项目绩效目标细化分解为具体的绩效指标；</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是否通过清晰、可衡量的指标值予以体现；</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③</w:t>
            </w:r>
            <w:r>
              <w:rPr>
                <w:rFonts w:hint="eastAsia" w:ascii="仿宋" w:hAnsi="仿宋" w:eastAsia="仿宋" w:cs="仿宋"/>
                <w:color w:val="auto"/>
                <w:sz w:val="20"/>
                <w:szCs w:val="20"/>
              </w:rPr>
              <w:t>是否与项目年度任务教或计划数相对应；</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④</w:t>
            </w:r>
            <w:r>
              <w:rPr>
                <w:rFonts w:hint="eastAsia" w:ascii="仿宋" w:hAnsi="仿宋" w:eastAsia="仿宋" w:cs="仿宋"/>
                <w:color w:val="auto"/>
                <w:sz w:val="20"/>
                <w:szCs w:val="20"/>
              </w:rPr>
              <w:t>是否与预期确定的项目投资额或资金量相匹配。</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资金落实</w:t>
            </w: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资金到位率</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实际到位资金与计划投入资金的比率，用以反映和考核资金落实情况对项目实施的总体保障程度。</w:t>
            </w: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资金到位率=（实际到位资金/计划投入资金）×100%。</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实际到位资金：一定时期（本年度或项目期）内实际落实到具体项目的资金。</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计划投入资金：一定时期（本年度或项目期）内计划投入到具体项目的资金。</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到位及时率</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3</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及时到位资金与应到位资金的比率，用以反映和考核项目资金落实的及时性程度。</w:t>
            </w: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到位及时率＝（及时到位资金/应到位资金）×100%。</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及时到位资金：截至规定时点实际落实到具体项目的资金。</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应到位资金：按照合同或项目进度要求截至规定时点应落实到具体项目的资金。</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过程</w:t>
            </w:r>
          </w:p>
        </w:tc>
        <w:tc>
          <w:tcPr>
            <w:tcW w:w="331" w:type="dxa"/>
            <w:vMerge w:val="restart"/>
            <w:noWrap w:val="0"/>
            <w:vAlign w:val="center"/>
          </w:tcPr>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业务管理</w:t>
            </w: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p>
            <w:pPr>
              <w:widowControl/>
              <w:spacing w:line="240" w:lineRule="exact"/>
              <w:jc w:val="center"/>
              <w:rPr>
                <w:rFonts w:hint="eastAsia" w:ascii="仿宋" w:hAnsi="仿宋" w:eastAsia="仿宋" w:cs="仿宋"/>
                <w:color w:val="auto"/>
                <w:sz w:val="20"/>
                <w:szCs w:val="20"/>
              </w:rPr>
            </w:pP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管理制度健全性</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项目实施单位的业务管理制度是否健全，用以反映和考核业务管理制度对项目顺利实施的保障情况。</w:t>
            </w: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是否已制定或具有相应的业务管理制度；</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业务管理制度是否合法、合规、完整。</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制度执行有效性</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项目实施是否符合相关业务管理规定，用以反映和考核业务管理制度的有效执行情况。</w:t>
            </w: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是否遵守相关法律法规和业务管理规定；</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项目调整及支出调整手续是否完备；</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③项目合同书、验收报告、技术审定等资料是否齐全并及时归档;</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④项目实施的人员条件、场地设备，信息支撑等是否落实到位。</w:t>
            </w:r>
          </w:p>
          <w:p>
            <w:pPr>
              <w:widowControl/>
              <w:spacing w:line="240" w:lineRule="exact"/>
              <w:rPr>
                <w:rFonts w:hint="eastAsia" w:ascii="仿宋" w:hAnsi="仿宋" w:eastAsia="仿宋" w:cs="仿宋"/>
                <w:color w:val="auto"/>
                <w:sz w:val="20"/>
                <w:szCs w:val="20"/>
              </w:rPr>
            </w:pP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restart"/>
            <w:noWrap w:val="0"/>
            <w:vAlign w:val="center"/>
          </w:tcPr>
          <w:p>
            <w:pPr>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过程</w:t>
            </w:r>
          </w:p>
        </w:tc>
        <w:tc>
          <w:tcPr>
            <w:tcW w:w="331" w:type="dxa"/>
            <w:vMerge w:val="restart"/>
            <w:noWrap w:val="0"/>
            <w:vAlign w:val="center"/>
          </w:tcPr>
          <w:p>
            <w:pPr>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业务管理</w:t>
            </w: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项目质量可控性</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项目实施单位是否为达到项目质量要求而采取了必需的措施，用以反映和考核项目实施单位对项目质量的控制情况。</w:t>
            </w: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是否已制定或其有相应的项目质量要求或标准；</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②是否采取了相应的项目质量检查、验收等必需的控制措施或手段。</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财务管理</w:t>
            </w: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管理制度健全性</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项目实施单位的财务制度是否健全，用以反映和考核财务管理制度对资金规范安全运行的保障情况。</w:t>
            </w:r>
          </w:p>
        </w:tc>
        <w:tc>
          <w:tcPr>
            <w:tcW w:w="4296" w:type="dxa"/>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jc w:val="lef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是否已制定或具有相应的项目资金管理办法；</w:t>
            </w:r>
          </w:p>
        </w:tc>
        <w:tc>
          <w:tcPr>
            <w:tcW w:w="432" w:type="dxa"/>
            <w:vMerge w:val="continue"/>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项目资金管理办法是否符合相关财务会计制度的规定。</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资金使用合规性</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项目资金使用是否符合相关的财务管理制度规定，用以反映和考核项目资金的规范运行情况。</w:t>
            </w: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①是否符合国家财经法规和财务管理以及有关专项资金管理办法的规定；</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资金的拨付是否有完整的审批程序和手续；</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③</w:t>
            </w:r>
            <w:r>
              <w:rPr>
                <w:rFonts w:hint="eastAsia" w:ascii="仿宋" w:hAnsi="仿宋" w:eastAsia="仿宋" w:cs="仿宋"/>
                <w:color w:val="auto"/>
                <w:sz w:val="20"/>
                <w:szCs w:val="20"/>
              </w:rPr>
              <w:t>项目的重大开支是否经过评估认证；</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④</w:t>
            </w:r>
            <w:r>
              <w:rPr>
                <w:rFonts w:hint="eastAsia" w:ascii="仿宋" w:hAnsi="仿宋" w:eastAsia="仿宋" w:cs="仿宋"/>
                <w:color w:val="auto"/>
                <w:sz w:val="20"/>
                <w:szCs w:val="20"/>
              </w:rPr>
              <w:t>是否符合项目预算批复或合同规定的用途；</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⑤</w:t>
            </w:r>
            <w:r>
              <w:rPr>
                <w:rFonts w:hint="eastAsia" w:ascii="仿宋" w:hAnsi="仿宋" w:eastAsia="仿宋" w:cs="仿宋"/>
                <w:color w:val="auto"/>
                <w:sz w:val="20"/>
                <w:szCs w:val="20"/>
              </w:rPr>
              <w:t>是否存在截留、挤占、挪用、虚列支出等情况。</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财务监控有效性</w:t>
            </w:r>
          </w:p>
        </w:tc>
        <w:tc>
          <w:tcPr>
            <w:tcW w:w="379" w:type="dxa"/>
            <w:vMerge w:val="restart"/>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125" w:type="dxa"/>
            <w:vMerge w:val="restart"/>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项目实施单位是否为保障资金的安全、规范运行而采取了必要的监控措施，用以反映和考核项目实施单位对资金运行的控制情况。</w:t>
            </w:r>
          </w:p>
        </w:tc>
        <w:tc>
          <w:tcPr>
            <w:tcW w:w="4296" w:type="dxa"/>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评价要点：</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jc w:val="left"/>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①</w:t>
            </w:r>
            <w:r>
              <w:rPr>
                <w:rFonts w:hint="eastAsia" w:ascii="仿宋" w:hAnsi="仿宋" w:eastAsia="仿宋" w:cs="仿宋"/>
                <w:color w:val="auto"/>
                <w:sz w:val="20"/>
                <w:szCs w:val="20"/>
              </w:rPr>
              <w:t>是否已制定或具有相应的监控机制；</w:t>
            </w:r>
          </w:p>
        </w:tc>
        <w:tc>
          <w:tcPr>
            <w:tcW w:w="432" w:type="dxa"/>
            <w:vMerge w:val="continue"/>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pStyle w:val="4"/>
              <w:widowControl/>
              <w:spacing w:line="240" w:lineRule="exact"/>
              <w:ind w:firstLine="0" w:firstLineChars="0"/>
              <w:rPr>
                <w:rFonts w:hint="eastAsia" w:ascii="仿宋" w:hAnsi="仿宋" w:eastAsia="仿宋" w:cs="仿宋"/>
                <w:color w:val="auto"/>
                <w:sz w:val="20"/>
                <w:szCs w:val="20"/>
              </w:rPr>
            </w:pPr>
            <w:r>
              <w:rPr>
                <w:rFonts w:hint="eastAsia" w:ascii="汉仪书宋二S" w:hAnsi="汉仪书宋二S" w:eastAsia="汉仪书宋二S" w:cs="汉仪书宋二S"/>
                <w:color w:val="auto"/>
                <w:sz w:val="20"/>
                <w:szCs w:val="20"/>
              </w:rPr>
              <w:t>②</w:t>
            </w:r>
            <w:r>
              <w:rPr>
                <w:rFonts w:hint="eastAsia" w:ascii="仿宋" w:hAnsi="仿宋" w:eastAsia="仿宋" w:cs="仿宋"/>
                <w:color w:val="auto"/>
                <w:sz w:val="20"/>
                <w:szCs w:val="20"/>
              </w:rPr>
              <w:t>是否采取了相应的财务检查等必要的监控措施或手段。</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351"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产出</w:t>
            </w:r>
          </w:p>
        </w:tc>
        <w:tc>
          <w:tcPr>
            <w:tcW w:w="331"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项目产出</w:t>
            </w: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实际完成率</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项目实施的实际产出数与计划产出数的比率，用以反映和考核项目产出数量目标的实现程度。</w:t>
            </w:r>
          </w:p>
        </w:tc>
        <w:tc>
          <w:tcPr>
            <w:tcW w:w="4296" w:type="dxa"/>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实际完成率＝（实际产出数/计划产出数）×100%。</w:t>
            </w:r>
          </w:p>
        </w:tc>
        <w:tc>
          <w:tcPr>
            <w:tcW w:w="432" w:type="dxa"/>
            <w:vMerge w:val="restart"/>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实际产出数：一定时期（本年度或项目期）内项目实际产出的产品或提供的服务数。</w:t>
            </w:r>
          </w:p>
        </w:tc>
        <w:tc>
          <w:tcPr>
            <w:tcW w:w="432" w:type="dxa"/>
            <w:vMerge w:val="continue"/>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计划产出数：项目绩效目标确定的在一定时期（本年度或项目期）内计划产出的产品或提供的服务数量。</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完成及时率</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项目实际提前完成时间与计划完成时间的比率，用以反映和考核项目产出时效目标的实现程度</w:t>
            </w:r>
          </w:p>
        </w:tc>
        <w:tc>
          <w:tcPr>
            <w:tcW w:w="4296" w:type="dxa"/>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完成及时率[ (计划完成时间-实际完成时间）/计划完成时间] ×100%。</w:t>
            </w:r>
          </w:p>
        </w:tc>
        <w:tc>
          <w:tcPr>
            <w:tcW w:w="432" w:type="dxa"/>
            <w:vMerge w:val="restart"/>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实际完成时间：项目实施单位完成该项目实际所耗用的时间。</w:t>
            </w:r>
          </w:p>
        </w:tc>
        <w:tc>
          <w:tcPr>
            <w:tcW w:w="432" w:type="dxa"/>
            <w:vMerge w:val="continue"/>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计划完成时间：桉照项目实施计划或相关规定完成该项目所需的时间。</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质量达标率</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项目完成的质量达标产出数与实际产出数的比率，用以反映和考核项目产出质量目标的实现程度。</w:t>
            </w:r>
          </w:p>
        </w:tc>
        <w:tc>
          <w:tcPr>
            <w:tcW w:w="4296" w:type="dxa"/>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质量达标率＝（质量达标产出数/实际产出数）/100%。</w:t>
            </w:r>
          </w:p>
        </w:tc>
        <w:tc>
          <w:tcPr>
            <w:tcW w:w="432" w:type="dxa"/>
            <w:vMerge w:val="restart"/>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质量达标产出数：一定时期（本年度或项目期）内实际达到既定质量标准的产品或服务数量。</w:t>
            </w:r>
          </w:p>
        </w:tc>
        <w:tc>
          <w:tcPr>
            <w:tcW w:w="432" w:type="dxa"/>
            <w:vMerge w:val="continue"/>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既定质量标准是指项目实施单位设立绩效目标时依据计划标准、行业标准、历史标准或其他标准而设定的绩效指标值。</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成本节约率</w:t>
            </w:r>
          </w:p>
        </w:tc>
        <w:tc>
          <w:tcPr>
            <w:tcW w:w="379"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5</w:t>
            </w:r>
          </w:p>
        </w:tc>
        <w:tc>
          <w:tcPr>
            <w:tcW w:w="2125"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完成项目计划工作目标的实际节约成本与计划成本的比率，用以反映和考核项目的成本节约程度。</w:t>
            </w:r>
          </w:p>
        </w:tc>
        <w:tc>
          <w:tcPr>
            <w:tcW w:w="4296" w:type="dxa"/>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成本节约率＝(计划成本-实际成本) /计划成本×100%。</w:t>
            </w:r>
          </w:p>
        </w:tc>
        <w:tc>
          <w:tcPr>
            <w:tcW w:w="432" w:type="dxa"/>
            <w:vMerge w:val="restart"/>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jc w:val="left"/>
              <w:rPr>
                <w:rFonts w:hint="eastAsia" w:ascii="仿宋" w:hAnsi="仿宋" w:eastAsia="仿宋" w:cs="仿宋"/>
                <w:color w:val="auto"/>
                <w:sz w:val="20"/>
                <w:szCs w:val="20"/>
              </w:rPr>
            </w:pPr>
            <w:r>
              <w:rPr>
                <w:rFonts w:hint="eastAsia" w:ascii="仿宋" w:hAnsi="仿宋" w:eastAsia="仿宋" w:cs="仿宋"/>
                <w:color w:val="auto"/>
                <w:sz w:val="20"/>
                <w:szCs w:val="20"/>
              </w:rPr>
              <w:t>实际成本：项目实施单位如期、保质、保量完成既定工作目标实际所耗费的支出。</w:t>
            </w:r>
          </w:p>
        </w:tc>
        <w:tc>
          <w:tcPr>
            <w:tcW w:w="432" w:type="dxa"/>
            <w:vMerge w:val="continue"/>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79"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2125"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计划成本：项目实施单位为完成工作目标计划安排的支出，一般以项目预算为参考。</w:t>
            </w:r>
          </w:p>
        </w:tc>
        <w:tc>
          <w:tcPr>
            <w:tcW w:w="432" w:type="dxa"/>
            <w:vMerge w:val="continue"/>
            <w:noWrap w:val="0"/>
            <w:vAlign w:val="center"/>
          </w:tcPr>
          <w:p>
            <w:pPr>
              <w:widowControl/>
              <w:spacing w:line="240" w:lineRule="exac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351"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效果</w:t>
            </w:r>
          </w:p>
        </w:tc>
        <w:tc>
          <w:tcPr>
            <w:tcW w:w="331" w:type="dxa"/>
            <w:vMerge w:val="restart"/>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项目效益</w:t>
            </w:r>
          </w:p>
        </w:tc>
        <w:tc>
          <w:tcPr>
            <w:tcW w:w="783" w:type="dxa"/>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经济效益</w:t>
            </w:r>
          </w:p>
        </w:tc>
        <w:tc>
          <w:tcPr>
            <w:tcW w:w="379"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125"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项目实施对经济发展所带来的直接或间接影响情况。</w:t>
            </w:r>
          </w:p>
        </w:tc>
        <w:tc>
          <w:tcPr>
            <w:tcW w:w="4296"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此四项指标为设置项目支出績效评价指标时必须考虑的共性要素，可根据项目实际并结合绩效目标设立情况有选择的进行设置，并将其细化为相应的个性化指标。</w:t>
            </w:r>
          </w:p>
        </w:tc>
        <w:tc>
          <w:tcPr>
            <w:tcW w:w="432" w:type="dxa"/>
            <w:vMerge w:val="restart"/>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社会效益</w:t>
            </w:r>
          </w:p>
        </w:tc>
        <w:tc>
          <w:tcPr>
            <w:tcW w:w="379"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125"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项目实施对社会发展所带来的直接或间接影响情况。</w:t>
            </w:r>
          </w:p>
        </w:tc>
        <w:tc>
          <w:tcPr>
            <w:tcW w:w="4296"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32" w:type="dxa"/>
            <w:vMerge w:val="continue"/>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生态效益</w:t>
            </w:r>
          </w:p>
        </w:tc>
        <w:tc>
          <w:tcPr>
            <w:tcW w:w="379"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125"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项目实施对生态环境所带来的直接或间接影响情况。</w:t>
            </w:r>
          </w:p>
        </w:tc>
        <w:tc>
          <w:tcPr>
            <w:tcW w:w="4296"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32" w:type="dxa"/>
            <w:vMerge w:val="continue"/>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可持续影响</w:t>
            </w:r>
          </w:p>
        </w:tc>
        <w:tc>
          <w:tcPr>
            <w:tcW w:w="379"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125"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项目后续运行及成效发挥的可持续影响情况。</w:t>
            </w:r>
          </w:p>
        </w:tc>
        <w:tc>
          <w:tcPr>
            <w:tcW w:w="4296"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432" w:type="dxa"/>
            <w:vMerge w:val="continue"/>
            <w:noWrap w:val="0"/>
            <w:vAlign w:val="center"/>
          </w:tcPr>
          <w:p>
            <w:pPr>
              <w:widowControl/>
              <w:spacing w:line="240" w:lineRule="exact"/>
              <w:jc w:val="left"/>
              <w:rPr>
                <w:rFonts w:hint="eastAsia" w:ascii="仿宋" w:hAnsi="仿宋" w:eastAsia="仿宋" w:cs="仿宋"/>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35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331" w:type="dxa"/>
            <w:vMerge w:val="continue"/>
            <w:noWrap w:val="0"/>
            <w:vAlign w:val="center"/>
          </w:tcPr>
          <w:p>
            <w:pPr>
              <w:widowControl/>
              <w:spacing w:line="240" w:lineRule="exact"/>
              <w:jc w:val="left"/>
              <w:rPr>
                <w:rFonts w:hint="eastAsia" w:ascii="仿宋" w:hAnsi="仿宋" w:eastAsia="仿宋" w:cs="仿宋"/>
                <w:color w:val="auto"/>
                <w:sz w:val="20"/>
                <w:szCs w:val="20"/>
              </w:rPr>
            </w:pPr>
          </w:p>
        </w:tc>
        <w:tc>
          <w:tcPr>
            <w:tcW w:w="783" w:type="dxa"/>
            <w:noWrap w:val="0"/>
            <w:vAlign w:val="center"/>
          </w:tcPr>
          <w:p>
            <w:pPr>
              <w:widowControl/>
              <w:spacing w:line="240" w:lineRule="exact"/>
              <w:jc w:val="center"/>
              <w:rPr>
                <w:rFonts w:hint="eastAsia" w:ascii="仿宋" w:hAnsi="仿宋" w:eastAsia="仿宋" w:cs="仿宋"/>
                <w:color w:val="auto"/>
                <w:sz w:val="20"/>
                <w:szCs w:val="20"/>
              </w:rPr>
            </w:pPr>
            <w:r>
              <w:rPr>
                <w:rFonts w:hint="eastAsia" w:ascii="仿宋" w:hAnsi="仿宋" w:eastAsia="仿宋" w:cs="仿宋"/>
                <w:color w:val="auto"/>
                <w:sz w:val="20"/>
                <w:szCs w:val="20"/>
              </w:rPr>
              <w:t>社会公众或服务对象满意度</w:t>
            </w:r>
          </w:p>
        </w:tc>
        <w:tc>
          <w:tcPr>
            <w:tcW w:w="379"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c>
          <w:tcPr>
            <w:tcW w:w="2125"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社会公众或服务对象对项目实施效策的满意程度</w:t>
            </w:r>
          </w:p>
        </w:tc>
        <w:tc>
          <w:tcPr>
            <w:tcW w:w="4296"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社会公众或服务对象是指因该项目实施而受到影响的部门(单位)、群体或个人。一般采取社会调查的方式。</w:t>
            </w:r>
          </w:p>
        </w:tc>
        <w:tc>
          <w:tcPr>
            <w:tcW w:w="432" w:type="dxa"/>
            <w:noWrap w:val="0"/>
            <w:vAlign w:val="center"/>
          </w:tcPr>
          <w:p>
            <w:pPr>
              <w:widowControl/>
              <w:spacing w:line="240" w:lineRule="exact"/>
              <w:rPr>
                <w:rFonts w:hint="eastAsia" w:ascii="仿宋" w:hAnsi="仿宋" w:eastAsia="仿宋" w:cs="仿宋"/>
                <w:color w:val="auto"/>
                <w:sz w:val="20"/>
                <w:szCs w:val="20"/>
              </w:rPr>
            </w:pPr>
            <w:r>
              <w:rPr>
                <w:rFonts w:hint="eastAsia" w:ascii="仿宋" w:hAnsi="仿宋" w:eastAsia="仿宋" w:cs="仿宋"/>
                <w:color w:val="auto"/>
                <w:sz w:val="20"/>
                <w:szCs w:val="20"/>
              </w:rPr>
              <w:t>6</w:t>
            </w:r>
          </w:p>
        </w:tc>
      </w:tr>
    </w:tbl>
    <w:p>
      <w:pPr>
        <w:spacing w:line="360" w:lineRule="auto"/>
        <w:rPr>
          <w:rFonts w:ascii="宋体" w:hAnsi="宋体"/>
          <w:color w:val="auto"/>
          <w:sz w:val="30"/>
          <w:szCs w:val="30"/>
        </w:rPr>
      </w:pPr>
    </w:p>
    <w:p>
      <w:pPr>
        <w:spacing w:line="360" w:lineRule="auto"/>
        <w:ind w:firstLine="740"/>
        <w:jc w:val="left"/>
        <w:rPr>
          <w:rFonts w:ascii="宋体" w:hAnsi="宋体" w:cs="汉仪书宋二S"/>
          <w:color w:val="auto"/>
          <w:sz w:val="30"/>
          <w:szCs w:val="30"/>
        </w:rPr>
      </w:pPr>
    </w:p>
    <w:p>
      <w:pPr>
        <w:spacing w:line="360" w:lineRule="auto"/>
        <w:ind w:firstLine="600" w:firstLineChars="200"/>
        <w:rPr>
          <w:rFonts w:hint="eastAsia" w:ascii="宋体" w:hAnsi="宋体" w:cs="汉仪书宋二S"/>
          <w:color w:val="auto"/>
          <w:sz w:val="30"/>
          <w:szCs w:val="30"/>
        </w:rPr>
      </w:pPr>
    </w:p>
    <w:p>
      <w:pPr>
        <w:spacing w:line="360" w:lineRule="auto"/>
        <w:ind w:firstLine="600" w:firstLineChars="200"/>
        <w:jc w:val="left"/>
        <w:rPr>
          <w:rFonts w:hint="eastAsia" w:ascii="宋体" w:hAnsi="宋体" w:cs="汉仪书宋二S"/>
          <w:color w:val="auto"/>
          <w:sz w:val="30"/>
          <w:szCs w:val="30"/>
        </w:rPr>
      </w:pPr>
    </w:p>
    <w:p>
      <w:pPr>
        <w:spacing w:line="360" w:lineRule="auto"/>
        <w:ind w:firstLine="760"/>
        <w:jc w:val="left"/>
        <w:rPr>
          <w:rFonts w:hint="eastAsia" w:ascii="宋体" w:hAnsi="宋体"/>
          <w:color w:val="auto"/>
          <w:kern w:val="0"/>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1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汉仪书宋二S">
    <w:altName w:val="方正书宋_GBK"/>
    <w:panose1 w:val="00000000000000000000"/>
    <w:charset w:val="00"/>
    <w:family w:val="auto"/>
    <w:pitch w:val="default"/>
    <w:sig w:usb0="00000000" w:usb1="00000000" w:usb2="00000000" w:usb3="00000000" w:csb0="00040001" w:csb1="00000000"/>
  </w:font>
  <w:font w:name="黑体">
    <w:altName w:val="方正黑体_GBK"/>
    <w:panose1 w:val="02010609060101010101"/>
    <w:charset w:val="00"/>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E67E5"/>
    <w:multiLevelType w:val="singleLevel"/>
    <w:tmpl w:val="5FFE67E5"/>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BFF7E7D"/>
    <w:rsid w:val="001E23DF"/>
    <w:rsid w:val="00FF4C23"/>
    <w:rsid w:val="17DAE6D9"/>
    <w:rsid w:val="2BF5E403"/>
    <w:rsid w:val="31DF1FCE"/>
    <w:rsid w:val="567EAEF3"/>
    <w:rsid w:val="6FB7FC02"/>
    <w:rsid w:val="77DE1188"/>
    <w:rsid w:val="7ADF7538"/>
    <w:rsid w:val="7EED342B"/>
    <w:rsid w:val="BB5F2F23"/>
    <w:rsid w:val="D35CBD1F"/>
    <w:rsid w:val="FBFF7E7D"/>
    <w:rsid w:val="FEFBB153"/>
    <w:rsid w:val="FF7FDB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1069</Words>
  <Characters>6098</Characters>
  <Lines>50</Lines>
  <Paragraphs>14</Paragraphs>
  <TotalTime>0</TotalTime>
  <ScaleCrop>false</ScaleCrop>
  <LinksUpToDate>false</LinksUpToDate>
  <CharactersWithSpaces>7153</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2023-06-30T08:36:00Z</dcterms:created>
  <dc:creator>greatwall</dc:creator>
  <cp:lastModifiedBy>greatwall</cp:lastModifiedBy>
  <dcterms:modified xsi:type="dcterms:W3CDTF">2024-10-22T16:30:08Z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BB642EC0D24668E790621767E82D83F7</vt:lpwstr>
  </property>
</Properties>
</file>