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40" w:lineRule="exact"/>
      </w:pPr>
      <w:r>
        <w:rPr>
          <w:rFonts w:hint="eastAsia" w:ascii="宋体" w:hAnsi="宋体"/>
          <w:b/>
          <w:color w:val="000000"/>
          <w:sz w:val="48"/>
        </w:rPr>
        <w:t>202</w:t>
      </w:r>
      <w:r>
        <w:rPr>
          <w:rFonts w:ascii="宋体" w:hAnsi="宋体"/>
          <w:b/>
          <w:color w:val="000000"/>
          <w:sz w:val="48"/>
        </w:rPr>
        <w:t>2</w:t>
      </w:r>
      <w:r>
        <w:rPr>
          <w:rFonts w:hint="eastAsia" w:ascii="宋体" w:hAnsi="宋体"/>
          <w:b/>
          <w:color w:val="000000"/>
          <w:sz w:val="48"/>
        </w:rPr>
        <w:t>年度怀化市</w:t>
      </w:r>
      <w:r>
        <w:rPr>
          <w:rFonts w:ascii="宋体" w:hAnsi="宋体"/>
          <w:b/>
          <w:color w:val="000000"/>
          <w:sz w:val="48"/>
        </w:rPr>
        <w:t>住房保障服务中心</w:t>
      </w:r>
      <w:r>
        <w:rPr>
          <w:rFonts w:hint="eastAsia" w:ascii="宋体" w:hAnsi="宋体"/>
          <w:b/>
          <w:color w:val="000000"/>
          <w:sz w:val="48"/>
        </w:rPr>
        <w:t>部门</w:t>
      </w:r>
    </w:p>
    <w:p>
      <w:pPr>
        <w:spacing w:line="900" w:lineRule="exact"/>
        <w:jc w:val="center"/>
      </w:pPr>
      <w:r>
        <w:rPr>
          <w:rFonts w:hint="eastAsia" w:ascii="宋体" w:hAnsi="宋体"/>
          <w:b/>
          <w:color w:val="000000"/>
          <w:sz w:val="46"/>
        </w:rPr>
        <w:t>整体支出绩效自评报告</w:t>
      </w:r>
    </w:p>
    <w:p>
      <w:pPr>
        <w:spacing w:line="360" w:lineRule="auto"/>
        <w:ind w:firstLine="723" w:firstLineChars="200"/>
        <w:jc w:val="left"/>
        <w:rPr>
          <w:rFonts w:ascii="宋体" w:hAnsi="宋体" w:cstheme="minorEastAsia"/>
          <w:b/>
          <w:bCs/>
          <w:sz w:val="36"/>
          <w:szCs w:val="36"/>
        </w:rPr>
      </w:pPr>
      <w:r>
        <w:rPr>
          <w:rFonts w:hint="eastAsia" w:ascii="宋体" w:hAnsi="宋体" w:cstheme="minorEastAsia"/>
          <w:b/>
          <w:bCs/>
          <w:color w:val="000000"/>
          <w:sz w:val="36"/>
          <w:szCs w:val="36"/>
        </w:rPr>
        <w:t>一、部门概况</w:t>
      </w:r>
    </w:p>
    <w:p>
      <w:pPr>
        <w:spacing w:line="360" w:lineRule="auto"/>
        <w:ind w:firstLine="643" w:firstLineChars="200"/>
        <w:jc w:val="left"/>
        <w:rPr>
          <w:rFonts w:ascii="宋体" w:hAnsi="宋体" w:cstheme="minorEastAsia"/>
          <w:b/>
          <w:bCs/>
          <w:sz w:val="32"/>
          <w:szCs w:val="32"/>
        </w:rPr>
      </w:pPr>
      <w:r>
        <w:rPr>
          <w:rFonts w:hint="eastAsia" w:ascii="宋体" w:hAnsi="宋体" w:cstheme="minorEastAsia"/>
          <w:b/>
          <w:bCs/>
          <w:color w:val="000000"/>
          <w:sz w:val="32"/>
          <w:szCs w:val="32"/>
        </w:rPr>
        <w:t>（一）部门基本情况</w:t>
      </w:r>
    </w:p>
    <w:p>
      <w:pPr>
        <w:spacing w:line="360" w:lineRule="auto"/>
        <w:ind w:firstLine="600" w:firstLineChars="200"/>
        <w:jc w:val="left"/>
        <w:rPr>
          <w:rFonts w:ascii="宋体" w:hAnsi="宋体" w:cstheme="minorEastAsia"/>
          <w:sz w:val="30"/>
          <w:szCs w:val="30"/>
        </w:rPr>
      </w:pPr>
      <w:r>
        <w:rPr>
          <w:rFonts w:hint="eastAsia" w:ascii="宋体" w:hAnsi="宋体" w:cstheme="minorEastAsia"/>
          <w:color w:val="000000"/>
          <w:sz w:val="30"/>
          <w:szCs w:val="30"/>
        </w:rPr>
        <w:t>1、在职人员情况</w:t>
      </w:r>
    </w:p>
    <w:p>
      <w:pPr>
        <w:spacing w:line="360" w:lineRule="auto"/>
        <w:ind w:firstLine="600" w:firstLineChars="200"/>
        <w:rPr>
          <w:rFonts w:ascii="宋体" w:hAnsi="宋体" w:cstheme="minorEastAsia"/>
          <w:sz w:val="30"/>
          <w:szCs w:val="30"/>
        </w:rPr>
      </w:pPr>
      <w:r>
        <w:rPr>
          <w:rFonts w:hint="eastAsia" w:ascii="宋体" w:hAnsi="宋体" w:cstheme="minorEastAsia"/>
          <w:color w:val="000000"/>
          <w:sz w:val="30"/>
          <w:szCs w:val="30"/>
        </w:rPr>
        <w:t>我单位</w:t>
      </w:r>
      <w:r>
        <w:rPr>
          <w:rFonts w:hint="eastAsia" w:ascii="宋体" w:hAnsi="宋体" w:cstheme="minorEastAsia"/>
          <w:color w:val="auto"/>
          <w:sz w:val="30"/>
          <w:szCs w:val="30"/>
        </w:rPr>
        <w:t>2022年人员编制数</w:t>
      </w:r>
      <w:r>
        <w:rPr>
          <w:rFonts w:hint="default" w:ascii="宋体" w:hAnsi="宋体" w:cstheme="minorEastAsia"/>
          <w:color w:val="auto"/>
          <w:sz w:val="30"/>
          <w:szCs w:val="30"/>
        </w:rPr>
        <w:t>66</w:t>
      </w:r>
      <w:r>
        <w:rPr>
          <w:rFonts w:hint="eastAsia" w:ascii="宋体" w:hAnsi="宋体" w:cstheme="minorEastAsia"/>
          <w:color w:val="auto"/>
          <w:sz w:val="30"/>
          <w:szCs w:val="30"/>
        </w:rPr>
        <w:t>人，其中在职人员</w:t>
      </w:r>
      <w:r>
        <w:rPr>
          <w:rFonts w:hint="default" w:ascii="宋体" w:hAnsi="宋体" w:cstheme="minorEastAsia"/>
          <w:color w:val="auto"/>
          <w:sz w:val="30"/>
          <w:szCs w:val="30"/>
        </w:rPr>
        <w:t>58</w:t>
      </w:r>
      <w:r>
        <w:rPr>
          <w:rFonts w:hint="eastAsia" w:ascii="宋体" w:hAnsi="宋体" w:cstheme="minorEastAsia"/>
          <w:color w:val="auto"/>
          <w:sz w:val="30"/>
          <w:szCs w:val="30"/>
        </w:rPr>
        <w:t>人，</w:t>
      </w:r>
      <w:r>
        <w:rPr>
          <w:rFonts w:hint="eastAsia" w:ascii="宋体" w:hAnsi="宋体" w:cstheme="minorEastAsia"/>
          <w:color w:val="000000"/>
          <w:sz w:val="30"/>
          <w:szCs w:val="30"/>
        </w:rPr>
        <w:t>均属于财政全额拨款的事业编。</w:t>
      </w:r>
    </w:p>
    <w:p>
      <w:pPr>
        <w:spacing w:line="360" w:lineRule="auto"/>
        <w:ind w:firstLine="600" w:firstLineChars="200"/>
        <w:jc w:val="left"/>
        <w:rPr>
          <w:rFonts w:ascii="宋体" w:hAnsi="宋体" w:cstheme="minorEastAsia"/>
          <w:sz w:val="30"/>
          <w:szCs w:val="30"/>
        </w:rPr>
      </w:pPr>
      <w:r>
        <w:rPr>
          <w:rFonts w:hint="eastAsia" w:ascii="宋体" w:hAnsi="宋体" w:cstheme="minorEastAsia"/>
          <w:color w:val="000000"/>
          <w:sz w:val="30"/>
          <w:szCs w:val="30"/>
        </w:rPr>
        <w:t>2、机构设置</w:t>
      </w:r>
    </w:p>
    <w:p>
      <w:pPr>
        <w:spacing w:line="360" w:lineRule="auto"/>
        <w:ind w:firstLine="600" w:firstLineChars="200"/>
        <w:jc w:val="left"/>
        <w:rPr>
          <w:rFonts w:ascii="宋体" w:hAnsi="宋体" w:cstheme="minorEastAsia"/>
          <w:color w:val="000000"/>
          <w:sz w:val="30"/>
          <w:szCs w:val="30"/>
        </w:rPr>
      </w:pPr>
      <w:r>
        <w:rPr>
          <w:rFonts w:hint="eastAsia" w:ascii="宋体" w:hAnsi="宋体" w:cstheme="minorEastAsia"/>
          <w:color w:val="000000"/>
          <w:sz w:val="30"/>
          <w:szCs w:val="30"/>
        </w:rPr>
        <w:t>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pPr>
        <w:spacing w:line="360" w:lineRule="auto"/>
        <w:ind w:firstLine="600" w:firstLineChars="200"/>
        <w:jc w:val="left"/>
        <w:rPr>
          <w:rFonts w:ascii="宋体" w:hAnsi="宋体" w:cstheme="minorEastAsia"/>
          <w:color w:val="000000"/>
          <w:sz w:val="30"/>
          <w:szCs w:val="30"/>
        </w:rPr>
      </w:pPr>
      <w:r>
        <w:rPr>
          <w:rFonts w:hint="eastAsia" w:ascii="宋体" w:hAnsi="宋体" w:cstheme="minorEastAsia"/>
          <w:color w:val="000000"/>
          <w:sz w:val="30"/>
          <w:szCs w:val="30"/>
        </w:rPr>
        <w:t>3、部门职能</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（1）负责全市物业专项维修资金业务指导工作;承担市城区物业专项维修资金归集、管理、拨付等事务性职责。</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（2）承担全市保障性住房后续管理和其他房屋租赁管理的业务指导，市本级保障性住房租赁管理服务和其他房屋租赁备案的相关服务。</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（3）承担市本级白蚁防治业务指导、实施白蚁防治科学研究及新技术推广等职责。</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（4）为全市住房保障、房地产市场监管、物业管理、保障性住房租赁管理、其他房屋租赁管理、白蚁防治管理等相关政策拟订提供服务。</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（5）协助维护住建领域信息化管理系统，住建领域信息的收集、统计、分析、报告、发布等职责。</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（6）承担市住房和城乡建设局交办的其他工作。</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2022年住建局交办工作有：廉租住房货币补贴和实物配租给付、房屋安全鉴定、物业专项维修资金支付审批、申请公租房审核。</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4、年度主要工作任务</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（1）做好物业专项维修资金管理服务工作。</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（2）抓好房屋租赁和公租房管理后续服务工作。</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（3）抓好白蚁防治工作。</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（4）其他工作任务等。</w:t>
      </w:r>
    </w:p>
    <w:p>
      <w:pPr>
        <w:spacing w:line="360" w:lineRule="auto"/>
        <w:ind w:firstLine="643" w:firstLineChars="200"/>
        <w:rPr>
          <w:rFonts w:ascii="宋体" w:hAnsi="宋体" w:cstheme="minorEastAsia"/>
          <w:b/>
          <w:bCs/>
          <w:color w:val="auto"/>
          <w:sz w:val="32"/>
          <w:szCs w:val="32"/>
        </w:rPr>
      </w:pPr>
      <w:r>
        <w:rPr>
          <w:rFonts w:hint="eastAsia" w:ascii="宋体" w:hAnsi="宋体" w:cstheme="minorEastAsia"/>
          <w:b/>
          <w:bCs/>
          <w:color w:val="auto"/>
          <w:sz w:val="32"/>
          <w:szCs w:val="32"/>
        </w:rPr>
        <w:t>（二）部门整体支出情况</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1、</w:t>
      </w:r>
      <w:r>
        <w:rPr>
          <w:rFonts w:hint="eastAsia" w:ascii="宋体" w:hAnsi="宋体" w:cstheme="minorEastAsia"/>
          <w:color w:val="auto"/>
          <w:sz w:val="30"/>
          <w:szCs w:val="30"/>
        </w:rPr>
        <w:t>收入预算，2022年年初预算数1123.29万元，其中，一般公共预算拨款1003.29万元，其他收入120万元。纳入财政专户管理的非税收入拨款120万元。收入较去年减少51.57万元，主要原因是相关职能有所减少，运行成本降低。</w:t>
      </w:r>
    </w:p>
    <w:p>
      <w:pPr>
        <w:spacing w:after="60"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2、</w:t>
      </w:r>
      <w:r>
        <w:rPr>
          <w:rFonts w:hint="eastAsia" w:ascii="宋体" w:hAnsi="宋体" w:cstheme="minorEastAsia"/>
          <w:color w:val="auto"/>
          <w:sz w:val="30"/>
          <w:szCs w:val="30"/>
        </w:rPr>
        <w:t>支出预算，2022年年初预算数1123.29万元，其中，基本支出723.79万元、项目支出399.50万元。基本支出较去年增加258.63万元，项目较去年减少310.2万元，基本支出增加的主要原因是机构改革，人员支出全部纳入财政全额保障；项目支出减少主要原因是2022年减少了住房保障业务专项工作经费的预算支出。</w:t>
      </w:r>
      <w:r>
        <w:rPr>
          <w:rFonts w:ascii="宋体" w:hAnsi="宋体" w:cstheme="minorEastAsia"/>
          <w:color w:val="auto"/>
          <w:sz w:val="30"/>
          <w:szCs w:val="30"/>
        </w:rPr>
        <w:t xml:space="preserve"> </w:t>
      </w:r>
    </w:p>
    <w:p>
      <w:pPr>
        <w:spacing w:after="60"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3、</w:t>
      </w:r>
      <w:r>
        <w:rPr>
          <w:rFonts w:hint="eastAsia" w:ascii="宋体" w:hAnsi="宋体" w:cstheme="minorEastAsia"/>
          <w:color w:val="auto"/>
          <w:sz w:val="30"/>
          <w:szCs w:val="30"/>
        </w:rPr>
        <w:t>支出决算，2022年支出决算数1604.49万元，其中：基本支出874.18万元、项目支出730.31万元。按经济分类支出合计1604.49万元，其中工资福利支出912.85万元、商品和服务支出510.24万元、对个人和家庭的补助170.29万元、资本性支出11.12万元。</w:t>
      </w:r>
    </w:p>
    <w:p>
      <w:pPr>
        <w:spacing w:line="360" w:lineRule="auto"/>
        <w:ind w:firstLine="723" w:firstLineChars="200"/>
        <w:jc w:val="left"/>
        <w:rPr>
          <w:rFonts w:ascii="宋体" w:hAnsi="宋体" w:cstheme="minorEastAsia"/>
          <w:color w:val="auto"/>
          <w:sz w:val="36"/>
          <w:szCs w:val="36"/>
        </w:rPr>
      </w:pPr>
      <w:r>
        <w:rPr>
          <w:rFonts w:hint="eastAsia" w:ascii="宋体" w:hAnsi="宋体" w:cstheme="minorEastAsia"/>
          <w:b/>
          <w:color w:val="auto"/>
          <w:sz w:val="36"/>
          <w:szCs w:val="36"/>
        </w:rPr>
        <w:t>二、部门整体支出管理及使用情况</w:t>
      </w:r>
    </w:p>
    <w:p>
      <w:pPr>
        <w:spacing w:line="360" w:lineRule="auto"/>
        <w:ind w:firstLine="643" w:firstLineChars="200"/>
        <w:jc w:val="left"/>
        <w:rPr>
          <w:rFonts w:ascii="宋体" w:hAnsi="宋体" w:cstheme="minorEastAsia"/>
          <w:color w:val="auto"/>
          <w:sz w:val="32"/>
          <w:szCs w:val="32"/>
        </w:rPr>
      </w:pPr>
      <w:r>
        <w:rPr>
          <w:rFonts w:hint="eastAsia" w:ascii="宋体" w:hAnsi="宋体" w:cstheme="minorEastAsia"/>
          <w:b/>
          <w:color w:val="auto"/>
          <w:sz w:val="32"/>
          <w:szCs w:val="32"/>
        </w:rPr>
        <w:t>（一）基本支出</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1</w:t>
      </w:r>
      <w:r>
        <w:rPr>
          <w:rFonts w:ascii="宋体" w:hAnsi="宋体" w:cstheme="minorEastAsia"/>
          <w:color w:val="auto"/>
          <w:sz w:val="30"/>
          <w:szCs w:val="30"/>
        </w:rPr>
        <w:t>、</w:t>
      </w:r>
      <w:r>
        <w:rPr>
          <w:rFonts w:hint="eastAsia" w:ascii="宋体" w:hAnsi="宋体" w:cstheme="minorEastAsia"/>
          <w:color w:val="auto"/>
          <w:sz w:val="30"/>
          <w:szCs w:val="30"/>
        </w:rPr>
        <w:t>基本支出使用情况</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怀化市住房保障服务中心2022年基本支出874.18万元，其中：人员经费762.64万元，人员经费主要包括基本工资、津贴补贴、奖金、绩效工资、机关事业单位基本养老保险缴费、职业年金缴费、其他社会保障缴费、离休费、退休费、生活补助、住房公积金、其他对个人和家庭的补助支出；日常公用经费111.54万元，公用经费主要包括办公费、印刷费、咨询费、手续费、水费、电费、物业管理费、差旅费、维修（护）费、会议费、培训费、公务接待费、劳务费、委托业务费、工会经费、公务用车运行维护费、其他交通费用、税金及附加费用、其他商品和服务支出、办公设备购置、专用设备购置、其他资本性支出。</w:t>
      </w:r>
    </w:p>
    <w:p>
      <w:pPr>
        <w:spacing w:line="360" w:lineRule="auto"/>
        <w:ind w:firstLine="600" w:firstLineChars="200"/>
        <w:jc w:val="left"/>
        <w:rPr>
          <w:rFonts w:ascii="宋体" w:hAnsi="宋体" w:cstheme="minorEastAsia"/>
          <w:color w:val="auto"/>
          <w:sz w:val="30"/>
          <w:szCs w:val="30"/>
        </w:rPr>
      </w:pPr>
      <w:r>
        <w:rPr>
          <w:rFonts w:ascii="宋体" w:hAnsi="宋体" w:cstheme="minorEastAsia"/>
          <w:color w:val="auto"/>
          <w:sz w:val="30"/>
          <w:szCs w:val="30"/>
        </w:rPr>
        <w:t>2、</w:t>
      </w:r>
      <w:r>
        <w:rPr>
          <w:rFonts w:hint="eastAsia" w:ascii="宋体" w:hAnsi="宋体" w:cstheme="minorEastAsia"/>
          <w:color w:val="auto"/>
          <w:sz w:val="30"/>
          <w:szCs w:val="30"/>
        </w:rPr>
        <w:t>“三公经费”支出使用和管理情况</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pict>
          <v:shape id="_x0000_s1026" o:spid="_x0000_s1026" o:spt="202" type="#_x0000_t202" style="position:absolute;left:0pt;margin-left:261pt;margin-top:769pt;height:14pt;width:60pt;mso-position-horizontal-relative:page;z-index:251659264;mso-width-relative:page;mso-height-relative:page;" filled="f" stroked="f" coordsize="21600,21600" o:gfxdata="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n6hatgAAAANAQAADwAAAAAAAAABACAA&#10;AAA4AAAAZHJzL2Rvd25yZXYueG1sUEsBAhQAFAAAAAgAh07iQPPGuj++AQAAUAMAAA4AAAAAAAAA&#10;AQAgAAAAPQEAAGRycy9lMm9Eb2MueG1sUEsFBgAAAAAGAAYAWQEAAG0FAAAAAA==&#10;">
            <v:path/>
            <v:fill on="f" focussize="0,0"/>
            <v:stroke on="f" weight="0.5pt" joinstyle="miter"/>
            <v:imagedata o:title=""/>
            <o:lock v:ext="edit"/>
            <v:textbox inset="2pt,0mm,2pt,0mm">
              <w:txbxContent>
                <w:p>
                  <w:pPr>
                    <w:spacing w:line="320" w:lineRule="exact"/>
                    <w:jc w:val="center"/>
                  </w:pPr>
                  <w:r>
                    <w:rPr>
                      <w:rFonts w:hint="eastAsia" w:ascii="Arial" w:hAnsi="Arial" w:eastAsia="Arial"/>
                      <w:b/>
                      <w:color w:val="000000"/>
                      <w:sz w:val="14"/>
                    </w:rPr>
                    <w:t>4</w:t>
                  </w:r>
                </w:p>
              </w:txbxContent>
            </v:textbox>
          </v:shape>
        </w:pict>
      </w:r>
      <w:r>
        <w:rPr>
          <w:rFonts w:hint="eastAsia" w:ascii="宋体" w:hAnsi="宋体" w:cstheme="minorEastAsia"/>
          <w:color w:val="auto"/>
          <w:sz w:val="30"/>
          <w:szCs w:val="30"/>
        </w:rPr>
        <w:t>2022年度“三公”经费预算为5.36万元，支出决算为3.04万元，完成预算的56.72%，决算数小于预算数的主要原因是认真贯彻落实中央“八项规定”和厉行节约要求，进一步从严控制“三公”经费支出，全年实际支出比预算节约。</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3、</w:t>
      </w:r>
      <w:r>
        <w:rPr>
          <w:rFonts w:hint="eastAsia" w:ascii="宋体" w:hAnsi="宋体" w:cstheme="minorEastAsia"/>
          <w:color w:val="auto"/>
          <w:sz w:val="30"/>
          <w:szCs w:val="30"/>
        </w:rPr>
        <w:t>“三公”经费支出决算具体情况说明</w:t>
      </w:r>
    </w:p>
    <w:p>
      <w:pPr>
        <w:spacing w:line="360" w:lineRule="auto"/>
        <w:ind w:firstLine="600" w:firstLineChars="200"/>
        <w:rPr>
          <w:rFonts w:ascii="宋体" w:hAnsi="宋体" w:cstheme="minorEastAsia"/>
          <w:color w:val="auto"/>
          <w:sz w:val="28"/>
          <w:szCs w:val="28"/>
        </w:rPr>
      </w:pPr>
      <w:r>
        <w:rPr>
          <w:rFonts w:hint="eastAsia" w:ascii="宋体" w:hAnsi="宋体" w:cstheme="minorEastAsia"/>
          <w:color w:val="auto"/>
          <w:sz w:val="30"/>
          <w:szCs w:val="30"/>
        </w:rPr>
        <w:t>2022年度“三公”经费支出决算中，因公出国（境）支出决算0万元；公务用车购置及运行维护费支出决算3.04万元，占100%，公务接待费支出决算0万元。</w:t>
      </w:r>
    </w:p>
    <w:p>
      <w:pPr>
        <w:spacing w:line="360" w:lineRule="auto"/>
        <w:ind w:firstLine="643" w:firstLineChars="200"/>
        <w:jc w:val="left"/>
        <w:rPr>
          <w:rFonts w:ascii="宋体" w:hAnsi="宋体" w:cstheme="minorEastAsia"/>
          <w:b/>
          <w:bCs/>
          <w:color w:val="auto"/>
          <w:sz w:val="32"/>
          <w:szCs w:val="32"/>
        </w:rPr>
      </w:pPr>
      <w:r>
        <w:rPr>
          <w:rFonts w:hint="eastAsia" w:ascii="宋体" w:hAnsi="宋体" w:cstheme="minorEastAsia"/>
          <w:b/>
          <w:bCs/>
          <w:color w:val="auto"/>
          <w:sz w:val="32"/>
          <w:szCs w:val="32"/>
        </w:rPr>
        <w:t>（二）专项支出</w:t>
      </w:r>
    </w:p>
    <w:p>
      <w:pPr>
        <w:spacing w:line="360" w:lineRule="auto"/>
        <w:ind w:firstLine="600" w:firstLineChars="200"/>
        <w:jc w:val="left"/>
        <w:rPr>
          <w:rFonts w:hint="default" w:ascii="宋体" w:hAnsi="宋体" w:cstheme="minorEastAsia"/>
          <w:color w:val="auto"/>
          <w:sz w:val="30"/>
          <w:szCs w:val="30"/>
        </w:rPr>
      </w:pPr>
      <w:r>
        <w:rPr>
          <w:rFonts w:hint="eastAsia" w:ascii="宋体" w:hAnsi="宋体" w:cstheme="minorEastAsia"/>
          <w:color w:val="auto"/>
          <w:sz w:val="30"/>
          <w:szCs w:val="30"/>
        </w:rPr>
        <w:t>2022年年初预算数为399.5万元，是指单位为完成特定行政工作任务或事业发展目标而发生的支出，包括有关事业发展专项、专项业务费、基本建设支出等。其中：白蚁防治服务支出163.2万元，主要用于市本级城区房屋建筑及园林绿化树木白蚁预防和灭治用药水和施工劳务费；物业专项维修资金审计问题整改专项工作经费50万元，主要用于物业维修资金系统升级改造、维修资金审计问题整改等方面；公房维修专项经费66.3万元，</w:t>
      </w:r>
      <w:r>
        <w:rPr>
          <w:rFonts w:ascii="宋体" w:hAnsi="宋体" w:cs="汉仪书宋二S"/>
          <w:color w:val="auto"/>
          <w:sz w:val="30"/>
          <w:szCs w:val="30"/>
        </w:rPr>
        <w:t>主要用于</w:t>
      </w:r>
      <w:r>
        <w:rPr>
          <w:rFonts w:hint="eastAsia" w:ascii="宋体" w:hAnsi="宋体" w:cstheme="minorEastAsia"/>
          <w:color w:val="auto"/>
          <w:sz w:val="30"/>
          <w:szCs w:val="30"/>
        </w:rPr>
        <w:t>我单位修建于80-90年代老旧公房的维修维护等方面；住保业务专项工作经费100万元，主要弥补我单位管理市本级保障性住房相关工作正常运转所需经费。</w:t>
      </w:r>
      <w:r>
        <w:rPr>
          <w:rFonts w:hint="default" w:ascii="宋体" w:hAnsi="宋体" w:cstheme="minorEastAsia"/>
          <w:color w:val="auto"/>
          <w:sz w:val="30"/>
          <w:szCs w:val="30"/>
        </w:rPr>
        <w:t>另有未纳入本部门预算，由综合规划科室直接拨款、中央直达资金用于公租房后续管理的专项经费305.79万元，</w:t>
      </w:r>
      <w:r>
        <w:rPr>
          <w:rFonts w:ascii="宋体" w:hAnsi="宋体" w:cs="汉仪书宋二S"/>
          <w:color w:val="auto"/>
          <w:sz w:val="30"/>
          <w:szCs w:val="30"/>
        </w:rPr>
        <w:t>主要用于</w:t>
      </w:r>
      <w:r>
        <w:rPr>
          <w:rFonts w:hint="eastAsia" w:ascii="宋体" w:hAnsi="宋体" w:cs="汉仪书宋二S"/>
          <w:color w:val="auto"/>
          <w:sz w:val="30"/>
          <w:szCs w:val="30"/>
        </w:rPr>
        <w:t>市本级城南、城东、城北公租房小区</w:t>
      </w:r>
      <w:r>
        <w:rPr>
          <w:rFonts w:hint="default" w:ascii="宋体" w:hAnsi="宋体" w:cs="汉仪书宋二S"/>
          <w:color w:val="auto"/>
          <w:sz w:val="30"/>
          <w:szCs w:val="30"/>
        </w:rPr>
        <w:t>日常维护、工作经费、租赁补贴发放以及财政物业补差。</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1、项目资金实际使用情况</w:t>
      </w:r>
    </w:p>
    <w:p>
      <w:pPr>
        <w:spacing w:line="360" w:lineRule="auto"/>
        <w:ind w:firstLine="600" w:firstLineChars="200"/>
        <w:rPr>
          <w:rFonts w:ascii="宋体" w:hAnsi="宋体"/>
          <w:color w:val="auto"/>
          <w:sz w:val="30"/>
          <w:szCs w:val="30"/>
        </w:rPr>
      </w:pPr>
      <w:r>
        <w:rPr>
          <w:rFonts w:ascii="宋体" w:hAnsi="宋体"/>
          <w:color w:val="auto"/>
          <w:sz w:val="30"/>
          <w:szCs w:val="30"/>
        </w:rPr>
        <w:t>2022年</w:t>
      </w:r>
      <w:r>
        <w:rPr>
          <w:rFonts w:hint="eastAsia" w:ascii="宋体" w:hAnsi="宋体"/>
          <w:color w:val="auto"/>
          <w:sz w:val="30"/>
          <w:szCs w:val="30"/>
        </w:rPr>
        <w:t>度</w:t>
      </w:r>
      <w:r>
        <w:rPr>
          <w:rFonts w:ascii="宋体" w:hAnsi="宋体"/>
          <w:color w:val="auto"/>
          <w:sz w:val="30"/>
          <w:szCs w:val="30"/>
        </w:rPr>
        <w:t>白蚁防治</w:t>
      </w:r>
      <w:r>
        <w:rPr>
          <w:rFonts w:hint="eastAsia" w:ascii="宋体" w:hAnsi="宋体"/>
          <w:color w:val="auto"/>
          <w:sz w:val="30"/>
          <w:szCs w:val="30"/>
        </w:rPr>
        <w:t>项目使用专项资金</w:t>
      </w:r>
      <w:r>
        <w:rPr>
          <w:rFonts w:ascii="宋体" w:hAnsi="宋体"/>
          <w:color w:val="auto"/>
          <w:sz w:val="30"/>
          <w:szCs w:val="30"/>
        </w:rPr>
        <w:t>120.44</w:t>
      </w:r>
      <w:r>
        <w:rPr>
          <w:rFonts w:hint="eastAsia" w:ascii="宋体" w:hAnsi="宋体"/>
          <w:color w:val="auto"/>
          <w:sz w:val="30"/>
          <w:szCs w:val="30"/>
        </w:rPr>
        <w:t>万元，结余资金</w:t>
      </w:r>
      <w:r>
        <w:rPr>
          <w:rFonts w:ascii="宋体" w:hAnsi="宋体"/>
          <w:color w:val="auto"/>
          <w:sz w:val="30"/>
          <w:szCs w:val="30"/>
        </w:rPr>
        <w:t>42.76</w:t>
      </w:r>
      <w:r>
        <w:rPr>
          <w:rFonts w:hint="eastAsia" w:ascii="宋体" w:hAnsi="宋体"/>
          <w:color w:val="auto"/>
          <w:sz w:val="30"/>
          <w:szCs w:val="30"/>
        </w:rPr>
        <w:t>万元，专项资金使用率</w:t>
      </w:r>
      <w:r>
        <w:rPr>
          <w:rFonts w:ascii="宋体" w:hAnsi="宋体"/>
          <w:color w:val="auto"/>
          <w:sz w:val="30"/>
          <w:szCs w:val="30"/>
        </w:rPr>
        <w:t>73.80</w:t>
      </w:r>
      <w:r>
        <w:rPr>
          <w:rFonts w:hint="eastAsia" w:ascii="宋体" w:hAnsi="宋体"/>
          <w:color w:val="auto"/>
          <w:sz w:val="30"/>
          <w:szCs w:val="30"/>
        </w:rPr>
        <w:t>％</w:t>
      </w:r>
      <w:r>
        <w:rPr>
          <w:rFonts w:ascii="宋体" w:hAnsi="宋体"/>
          <w:color w:val="auto"/>
          <w:sz w:val="30"/>
          <w:szCs w:val="30"/>
        </w:rPr>
        <w:t>；</w:t>
      </w:r>
      <w:r>
        <w:rPr>
          <w:rFonts w:hint="eastAsia" w:ascii="宋体" w:hAnsi="宋体" w:cstheme="minorEastAsia"/>
          <w:color w:val="auto"/>
          <w:sz w:val="30"/>
          <w:szCs w:val="30"/>
        </w:rPr>
        <w:t>维修资金</w:t>
      </w:r>
      <w:r>
        <w:rPr>
          <w:rFonts w:ascii="宋体" w:hAnsi="宋体" w:cstheme="minorEastAsia"/>
          <w:color w:val="auto"/>
          <w:sz w:val="30"/>
          <w:szCs w:val="30"/>
        </w:rPr>
        <w:t>项目</w:t>
      </w:r>
      <w:r>
        <w:rPr>
          <w:rFonts w:hint="eastAsia" w:ascii="宋体" w:hAnsi="宋体"/>
          <w:color w:val="auto"/>
          <w:sz w:val="30"/>
          <w:szCs w:val="30"/>
        </w:rPr>
        <w:t>使用专项资金</w:t>
      </w:r>
      <w:r>
        <w:rPr>
          <w:rFonts w:ascii="宋体" w:hAnsi="宋体"/>
          <w:color w:val="auto"/>
          <w:sz w:val="30"/>
          <w:szCs w:val="30"/>
        </w:rPr>
        <w:t>44.25</w:t>
      </w:r>
      <w:r>
        <w:rPr>
          <w:rFonts w:hint="eastAsia" w:ascii="宋体" w:hAnsi="宋体"/>
          <w:color w:val="auto"/>
          <w:sz w:val="30"/>
          <w:szCs w:val="30"/>
        </w:rPr>
        <w:t>万元，结余资金</w:t>
      </w:r>
      <w:r>
        <w:rPr>
          <w:rFonts w:ascii="宋体" w:hAnsi="宋体"/>
          <w:color w:val="auto"/>
          <w:sz w:val="30"/>
          <w:szCs w:val="30"/>
        </w:rPr>
        <w:t>5.75</w:t>
      </w:r>
      <w:r>
        <w:rPr>
          <w:rFonts w:hint="eastAsia" w:ascii="宋体" w:hAnsi="宋体"/>
          <w:color w:val="auto"/>
          <w:sz w:val="30"/>
          <w:szCs w:val="30"/>
        </w:rPr>
        <w:t>万元，专项资金使用率</w:t>
      </w:r>
      <w:r>
        <w:rPr>
          <w:rFonts w:ascii="宋体" w:hAnsi="宋体"/>
          <w:color w:val="auto"/>
          <w:sz w:val="30"/>
          <w:szCs w:val="30"/>
        </w:rPr>
        <w:t>88.50</w:t>
      </w:r>
      <w:r>
        <w:rPr>
          <w:rFonts w:hint="eastAsia" w:ascii="宋体" w:hAnsi="宋体"/>
          <w:color w:val="auto"/>
          <w:sz w:val="30"/>
          <w:szCs w:val="30"/>
        </w:rPr>
        <w:t>％</w:t>
      </w:r>
      <w:r>
        <w:rPr>
          <w:rFonts w:ascii="宋体" w:hAnsi="宋体"/>
          <w:color w:val="auto"/>
          <w:sz w:val="30"/>
          <w:szCs w:val="30"/>
        </w:rPr>
        <w:t>；</w:t>
      </w:r>
      <w:r>
        <w:rPr>
          <w:rFonts w:hint="eastAsia" w:ascii="宋体" w:hAnsi="宋体" w:cstheme="minorEastAsia"/>
          <w:color w:val="auto"/>
          <w:sz w:val="30"/>
          <w:szCs w:val="30"/>
        </w:rPr>
        <w:t>公房维修</w:t>
      </w:r>
      <w:r>
        <w:rPr>
          <w:rFonts w:ascii="宋体" w:hAnsi="宋体" w:cstheme="minorEastAsia"/>
          <w:color w:val="auto"/>
          <w:sz w:val="30"/>
          <w:szCs w:val="30"/>
        </w:rPr>
        <w:t>项目</w:t>
      </w:r>
      <w:r>
        <w:rPr>
          <w:rFonts w:hint="eastAsia" w:ascii="宋体" w:hAnsi="宋体"/>
          <w:color w:val="auto"/>
          <w:sz w:val="30"/>
          <w:szCs w:val="30"/>
        </w:rPr>
        <w:t>使用专项资金</w:t>
      </w:r>
      <w:r>
        <w:rPr>
          <w:rFonts w:ascii="宋体" w:hAnsi="宋体"/>
          <w:color w:val="auto"/>
          <w:sz w:val="30"/>
          <w:szCs w:val="30"/>
        </w:rPr>
        <w:t>15.68</w:t>
      </w:r>
      <w:r>
        <w:rPr>
          <w:rFonts w:hint="eastAsia" w:ascii="宋体" w:hAnsi="宋体"/>
          <w:color w:val="auto"/>
          <w:sz w:val="30"/>
          <w:szCs w:val="30"/>
        </w:rPr>
        <w:t>万元，结余资金</w:t>
      </w:r>
      <w:r>
        <w:rPr>
          <w:rFonts w:ascii="宋体" w:hAnsi="宋体"/>
          <w:color w:val="auto"/>
          <w:sz w:val="30"/>
          <w:szCs w:val="30"/>
        </w:rPr>
        <w:t>50.62</w:t>
      </w:r>
      <w:r>
        <w:rPr>
          <w:rFonts w:hint="eastAsia" w:ascii="宋体" w:hAnsi="宋体"/>
          <w:color w:val="auto"/>
          <w:sz w:val="30"/>
          <w:szCs w:val="30"/>
        </w:rPr>
        <w:t>万元，专项资金使用率</w:t>
      </w:r>
      <w:r>
        <w:rPr>
          <w:rFonts w:ascii="宋体" w:hAnsi="宋体"/>
          <w:color w:val="auto"/>
          <w:sz w:val="30"/>
          <w:szCs w:val="30"/>
        </w:rPr>
        <w:t>23.64</w:t>
      </w:r>
      <w:r>
        <w:rPr>
          <w:rFonts w:hint="eastAsia" w:ascii="宋体" w:hAnsi="宋体"/>
          <w:color w:val="auto"/>
          <w:sz w:val="30"/>
          <w:szCs w:val="30"/>
        </w:rPr>
        <w:t>％</w:t>
      </w:r>
      <w:r>
        <w:rPr>
          <w:rFonts w:ascii="宋体" w:hAnsi="宋体"/>
          <w:color w:val="auto"/>
          <w:sz w:val="30"/>
          <w:szCs w:val="30"/>
        </w:rPr>
        <w:t>。廉租房后续管理使用专项资金</w:t>
      </w:r>
      <w:r>
        <w:rPr>
          <w:rFonts w:hint="default" w:ascii="宋体" w:hAnsi="宋体"/>
          <w:color w:val="auto"/>
          <w:sz w:val="30"/>
          <w:szCs w:val="30"/>
        </w:rPr>
        <w:t>298.88万元，结余资金6.92万元，专项资金使用率97.74%。公房维修专项资金结余11.57万元结转至2023年用于工程款支付，其余结余</w:t>
      </w:r>
      <w:r>
        <w:rPr>
          <w:rFonts w:ascii="宋体" w:hAnsi="宋体"/>
          <w:color w:val="auto"/>
          <w:sz w:val="30"/>
          <w:szCs w:val="30"/>
        </w:rPr>
        <w:t>资金均已被财政收回。</w:t>
      </w:r>
    </w:p>
    <w:p>
      <w:pPr>
        <w:numPr>
          <w:ilvl w:val="0"/>
          <w:numId w:val="1"/>
        </w:num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专项资金管理情况分析</w:t>
      </w:r>
    </w:p>
    <w:p>
      <w:pPr>
        <w:spacing w:line="360" w:lineRule="auto"/>
        <w:ind w:left="180" w:firstLine="600" w:firstLineChars="200"/>
        <w:rPr>
          <w:rFonts w:ascii="宋体" w:hAnsi="宋体" w:cstheme="minorEastAsia"/>
          <w:color w:val="auto"/>
          <w:sz w:val="30"/>
          <w:szCs w:val="30"/>
        </w:rPr>
      </w:pPr>
      <w:r>
        <w:rPr>
          <w:rFonts w:hint="eastAsia" w:ascii="宋体" w:hAnsi="宋体" w:cstheme="minorEastAsia"/>
          <w:color w:val="auto"/>
          <w:sz w:val="30"/>
          <w:szCs w:val="30"/>
        </w:rPr>
        <w:t>对中央、省级保障性安居工程专项资金使用，严格执行“专款专用”，并根据市财政局的要求，按项目进度及时拨付资金，达到资金使用目的。</w:t>
      </w:r>
    </w:p>
    <w:p>
      <w:pPr>
        <w:spacing w:line="360" w:lineRule="auto"/>
        <w:ind w:left="180" w:firstLine="600" w:firstLineChars="200"/>
        <w:rPr>
          <w:rFonts w:ascii="宋体" w:hAnsi="宋体" w:cstheme="minorEastAsia"/>
          <w:color w:val="auto"/>
          <w:sz w:val="30"/>
          <w:szCs w:val="30"/>
        </w:rPr>
      </w:pPr>
      <w:r>
        <w:rPr>
          <w:rFonts w:hint="eastAsia" w:ascii="宋体" w:hAnsi="宋体" w:cstheme="minorEastAsia"/>
          <w:color w:val="auto"/>
          <w:sz w:val="30"/>
          <w:szCs w:val="30"/>
        </w:rPr>
        <w:t>严格按照省、市有关文件要求，认真对照2022年部门整体支出绩效评价指标，对前期工作进行了全方位自查和自评打分，进一步规范了财政资金预算执行管理，强化了部门责任意识，提高了财政资金使用效益。</w:t>
      </w:r>
    </w:p>
    <w:p>
      <w:pPr>
        <w:spacing w:line="360" w:lineRule="auto"/>
        <w:ind w:firstLine="723" w:firstLineChars="200"/>
        <w:jc w:val="left"/>
        <w:rPr>
          <w:rFonts w:ascii="宋体" w:hAnsi="宋体" w:cstheme="minorEastAsia"/>
          <w:color w:val="auto"/>
          <w:sz w:val="36"/>
          <w:szCs w:val="36"/>
        </w:rPr>
      </w:pPr>
      <w:r>
        <w:rPr>
          <w:rFonts w:hint="eastAsia" w:ascii="宋体" w:hAnsi="宋体" w:cstheme="minorEastAsia"/>
          <w:b/>
          <w:color w:val="auto"/>
          <w:sz w:val="36"/>
          <w:szCs w:val="36"/>
        </w:rPr>
        <w:t>三、部门专项组织实施情况</w:t>
      </w:r>
    </w:p>
    <w:p>
      <w:pPr>
        <w:spacing w:line="360" w:lineRule="auto"/>
        <w:ind w:firstLine="643" w:firstLineChars="200"/>
        <w:jc w:val="left"/>
        <w:rPr>
          <w:rFonts w:ascii="宋体" w:hAnsi="宋体" w:cstheme="minorEastAsia"/>
          <w:b/>
          <w:bCs/>
          <w:color w:val="auto"/>
          <w:sz w:val="32"/>
          <w:szCs w:val="32"/>
        </w:rPr>
      </w:pPr>
      <w:r>
        <w:rPr>
          <w:rFonts w:hint="eastAsia" w:ascii="宋体" w:hAnsi="宋体" w:cstheme="minorEastAsia"/>
          <w:b/>
          <w:bCs/>
          <w:color w:val="auto"/>
          <w:sz w:val="32"/>
          <w:szCs w:val="32"/>
        </w:rPr>
        <w:t>（一）项目组织情况分析</w:t>
      </w:r>
    </w:p>
    <w:p>
      <w:pPr>
        <w:spacing w:line="360" w:lineRule="auto"/>
        <w:ind w:firstLine="640" w:firstLineChars="200"/>
        <w:jc w:val="left"/>
        <w:rPr>
          <w:rFonts w:hint="eastAsia" w:ascii="宋体" w:hAnsi="宋体" w:cstheme="minorEastAsia"/>
          <w:b w:val="0"/>
          <w:bCs w:val="0"/>
          <w:color w:val="auto"/>
          <w:sz w:val="32"/>
          <w:szCs w:val="32"/>
        </w:rPr>
      </w:pPr>
      <w:r>
        <w:rPr>
          <w:rFonts w:hint="eastAsia" w:ascii="宋体" w:hAnsi="宋体" w:cstheme="minorEastAsia"/>
          <w:b w:val="0"/>
          <w:bCs w:val="0"/>
          <w:color w:val="auto"/>
          <w:sz w:val="32"/>
          <w:szCs w:val="32"/>
        </w:rPr>
        <w:t>1、公租房后续管理组织情况：通过政府购买服务的方式，采取公开招投标方式确定物业服务企业，负责小区环境卫生、安全等工作高效运作；选择三家有资质专门从事物业房屋维修的公司签订了房屋维修合同，确保房屋维修和设备设施日常维护保养及时快捷、售后有保障。</w:t>
      </w:r>
    </w:p>
    <w:p>
      <w:pPr>
        <w:spacing w:line="360" w:lineRule="auto"/>
        <w:ind w:firstLine="640" w:firstLineChars="200"/>
        <w:jc w:val="left"/>
        <w:rPr>
          <w:rFonts w:hint="eastAsia" w:ascii="宋体" w:hAnsi="宋体" w:cstheme="minorEastAsia"/>
          <w:b w:val="0"/>
          <w:bCs w:val="0"/>
          <w:color w:val="auto"/>
          <w:sz w:val="32"/>
          <w:szCs w:val="32"/>
        </w:rPr>
      </w:pPr>
      <w:r>
        <w:rPr>
          <w:rFonts w:hint="eastAsia" w:ascii="宋体" w:hAnsi="宋体" w:cstheme="minorEastAsia"/>
          <w:b w:val="0"/>
          <w:bCs w:val="0"/>
          <w:color w:val="auto"/>
          <w:sz w:val="32"/>
          <w:szCs w:val="32"/>
        </w:rPr>
        <w:t>2、低收入人群租赁补贴发放工作：特定类群体公交公司、环卫工人、街道社区低收入人群等与相关职能单位联审资格认定，确定发放对象，在怀化日报、边城晚报等报纸公示发放名单接受社会监督。</w:t>
      </w:r>
    </w:p>
    <w:p>
      <w:pPr>
        <w:spacing w:line="360" w:lineRule="auto"/>
        <w:ind w:firstLine="640" w:firstLineChars="200"/>
        <w:jc w:val="left"/>
        <w:rPr>
          <w:rFonts w:hint="eastAsia" w:ascii="宋体" w:hAnsi="宋体" w:cstheme="minorEastAsia"/>
          <w:b w:val="0"/>
          <w:bCs w:val="0"/>
          <w:color w:val="auto"/>
          <w:sz w:val="32"/>
          <w:szCs w:val="32"/>
        </w:rPr>
      </w:pPr>
      <w:r>
        <w:rPr>
          <w:rFonts w:hint="eastAsia" w:ascii="宋体" w:hAnsi="宋体" w:cstheme="minorEastAsia"/>
          <w:b w:val="0"/>
          <w:bCs w:val="0"/>
          <w:color w:val="auto"/>
          <w:sz w:val="32"/>
          <w:szCs w:val="32"/>
        </w:rPr>
        <w:t>3、白蚁防治专项工作：白蚁防治药水、施工劳务费采购全部履行政府采购程序，确保公平公正。</w:t>
      </w:r>
    </w:p>
    <w:p>
      <w:pPr>
        <w:spacing w:line="360" w:lineRule="auto"/>
        <w:ind w:firstLine="643" w:firstLineChars="200"/>
        <w:jc w:val="left"/>
        <w:rPr>
          <w:rFonts w:ascii="宋体" w:hAnsi="宋体" w:cstheme="minorEastAsia"/>
          <w:b/>
          <w:bCs/>
          <w:color w:val="auto"/>
          <w:sz w:val="32"/>
          <w:szCs w:val="32"/>
        </w:rPr>
      </w:pPr>
      <w:r>
        <w:rPr>
          <w:rFonts w:hint="eastAsia" w:ascii="宋体" w:hAnsi="宋体" w:cstheme="minorEastAsia"/>
          <w:b/>
          <w:bCs/>
          <w:color w:val="auto"/>
          <w:sz w:val="32"/>
          <w:szCs w:val="32"/>
        </w:rPr>
        <w:t>（二）项目管理情况</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项目资金管理情况。一是财政管理制度健全。严格按照中央下达的专项资金管理办法，完善项目科目，加强资金监督，做到按进度付款。二是资金拨付手续完整。各项资金全部实现国库集中支付、专款专用、不存在支出依据不合规、虚列项目支出、截留、挤占、挪用和超标准支出等现象，使项目资金的运用得到了合理的控制，项目得到了切实的保障。三是会计信息质量真实。严格执行《会计法》等财经法规，严格按照相关会计制度办理会计业务，进行会计核算，并做好会计纪录，真实的反映项目资金管理情况，并接受市级财政、审计部门及上级主管部门的检查、监督。</w:t>
      </w:r>
    </w:p>
    <w:p>
      <w:pPr>
        <w:spacing w:line="360" w:lineRule="auto"/>
        <w:ind w:firstLine="723" w:firstLineChars="200"/>
        <w:rPr>
          <w:rFonts w:ascii="宋体" w:hAnsi="宋体" w:cstheme="minorEastAsia"/>
          <w:color w:val="auto"/>
          <w:sz w:val="36"/>
          <w:szCs w:val="36"/>
        </w:rPr>
      </w:pPr>
      <w:r>
        <w:rPr>
          <w:rFonts w:hint="eastAsia" w:ascii="宋体" w:hAnsi="宋体" w:cstheme="minorEastAsia"/>
          <w:b/>
          <w:color w:val="auto"/>
          <w:sz w:val="36"/>
          <w:szCs w:val="36"/>
        </w:rPr>
        <w:t>四、资产管理情况</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反映部门资产的配置、管理、处置等综合情况。包括制度建设、管理措施、配置处置的程序等。</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2022年本单位资产总计为829.45万元，其中流动资产为215.25万元，固定资产为503.16万元。</w:t>
      </w:r>
    </w:p>
    <w:p>
      <w:pPr>
        <w:spacing w:line="360" w:lineRule="auto"/>
        <w:ind w:firstLine="600" w:firstLineChars="200"/>
        <w:jc w:val="left"/>
        <w:rPr>
          <w:rFonts w:ascii="宋体" w:hAnsi="宋体" w:cstheme="minorEastAsia"/>
          <w:color w:val="auto"/>
          <w:sz w:val="30"/>
          <w:szCs w:val="30"/>
        </w:rPr>
      </w:pPr>
      <w:r>
        <w:rPr>
          <w:rFonts w:ascii="宋体" w:hAnsi="宋体" w:cstheme="minorEastAsia"/>
          <w:color w:val="auto"/>
          <w:sz w:val="30"/>
          <w:szCs w:val="30"/>
        </w:rPr>
        <w:t>1、</w:t>
      </w:r>
      <w:r>
        <w:rPr>
          <w:rFonts w:hint="eastAsia" w:ascii="宋体" w:hAnsi="宋体" w:cstheme="minorEastAsia"/>
          <w:color w:val="auto"/>
          <w:sz w:val="30"/>
          <w:szCs w:val="30"/>
        </w:rPr>
        <w:t>制度建设。本单位制定了财产购置和管理制度、公共设施及卫生管理制度，以及财务管理制度等多项财务制度。</w:t>
      </w:r>
    </w:p>
    <w:p>
      <w:pPr>
        <w:spacing w:line="360" w:lineRule="auto"/>
        <w:ind w:firstLine="600" w:firstLineChars="200"/>
        <w:jc w:val="left"/>
        <w:rPr>
          <w:rFonts w:ascii="宋体" w:hAnsi="宋体" w:cstheme="minorEastAsia"/>
          <w:color w:val="auto"/>
          <w:sz w:val="30"/>
          <w:szCs w:val="30"/>
        </w:rPr>
      </w:pPr>
      <w:r>
        <w:rPr>
          <w:rFonts w:ascii="宋体" w:hAnsi="宋体" w:cstheme="minorEastAsia"/>
          <w:color w:val="auto"/>
          <w:sz w:val="30"/>
          <w:szCs w:val="30"/>
        </w:rPr>
        <w:t>2、</w:t>
      </w:r>
      <w:r>
        <w:rPr>
          <w:rFonts w:hint="eastAsia" w:ascii="宋体" w:hAnsi="宋体" w:cstheme="minorEastAsia"/>
          <w:color w:val="auto"/>
          <w:sz w:val="30"/>
          <w:szCs w:val="30"/>
        </w:rPr>
        <w:t>对所有财产由办公室统一管理，建立台账，各部室及分支机构使用人为第一责任人，工作人员如有工作变动需及时办理移交手续。建立资产保管制度，对保管不善导致被盗或丢失的由责任人全额赔偿。</w:t>
      </w:r>
    </w:p>
    <w:p>
      <w:pPr>
        <w:spacing w:line="360" w:lineRule="auto"/>
        <w:ind w:firstLine="600" w:firstLineChars="200"/>
        <w:jc w:val="left"/>
        <w:rPr>
          <w:rFonts w:ascii="宋体" w:hAnsi="宋体" w:cstheme="minorEastAsia"/>
          <w:color w:val="auto"/>
          <w:sz w:val="30"/>
          <w:szCs w:val="30"/>
        </w:rPr>
      </w:pPr>
      <w:r>
        <w:rPr>
          <w:rFonts w:ascii="宋体" w:hAnsi="宋体" w:cstheme="minorEastAsia"/>
          <w:color w:val="auto"/>
          <w:sz w:val="30"/>
          <w:szCs w:val="30"/>
        </w:rPr>
        <w:t>3、</w:t>
      </w:r>
      <w:r>
        <w:rPr>
          <w:rFonts w:hint="eastAsia" w:ascii="宋体" w:hAnsi="宋体" w:cstheme="minorEastAsia"/>
          <w:color w:val="auto"/>
          <w:sz w:val="30"/>
          <w:szCs w:val="30"/>
        </w:rPr>
        <w:t>建立资产配置处理评价制度。如果单位需要配置和处置超过千元以上的资产提请单位领导研究，报单位领导审批后进行配置和处理。</w:t>
      </w:r>
    </w:p>
    <w:p>
      <w:pPr>
        <w:spacing w:line="360" w:lineRule="auto"/>
        <w:ind w:firstLine="723" w:firstLineChars="200"/>
        <w:jc w:val="left"/>
        <w:rPr>
          <w:rFonts w:ascii="宋体" w:hAnsi="宋体" w:cstheme="minorEastAsia"/>
          <w:color w:val="auto"/>
          <w:sz w:val="36"/>
          <w:szCs w:val="36"/>
        </w:rPr>
      </w:pPr>
      <w:r>
        <w:rPr>
          <w:rFonts w:hint="eastAsia" w:ascii="宋体" w:hAnsi="宋体" w:cstheme="minorEastAsia"/>
          <w:b/>
          <w:color w:val="auto"/>
          <w:sz w:val="36"/>
          <w:szCs w:val="36"/>
        </w:rPr>
        <w:t>五、部门整体支出绩效情况</w:t>
      </w:r>
    </w:p>
    <w:p>
      <w:pPr>
        <w:adjustRightInd w:val="0"/>
        <w:snapToGrid w:val="0"/>
        <w:spacing w:line="360" w:lineRule="auto"/>
        <w:ind w:firstLine="643" w:firstLineChars="200"/>
        <w:rPr>
          <w:rFonts w:ascii="宋体" w:hAnsi="宋体" w:cstheme="minorEastAsia"/>
          <w:b/>
          <w:bCs/>
          <w:color w:val="auto"/>
          <w:sz w:val="32"/>
          <w:szCs w:val="32"/>
        </w:rPr>
      </w:pPr>
      <w:r>
        <w:rPr>
          <w:rFonts w:hint="eastAsia" w:ascii="宋体" w:hAnsi="宋体" w:cstheme="minorEastAsia"/>
          <w:b/>
          <w:bCs/>
          <w:color w:val="auto"/>
          <w:sz w:val="32"/>
          <w:szCs w:val="32"/>
        </w:rPr>
        <w:t>（一）主要业务工作完成情况</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1、物业专项维修资金管理方面。2022年，物业专项维修资金缴存1.1亿元，审批使用755万元；历年累计缴存18.1亿元, 累计审批使用6675万元。强化内部管理，规范岗位职责，进一步完善办理流程，重新整理规范了《物业专项维修资金内部财务管理制度》、《会计岗位职责》、《出纳岗位职责》、《物业专项维修资金业务办理细则》，积极探索“维修资金增值收益+购买电梯保险服务”创新思路，不断提升便民惠民服务水平和质量，促进社区基层治理体系和治理能力现代化发展。</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2、公租房管理方面。一是三个公租房小区及配套商铺租金应收租金885.06万元，依政策减免后实际收取租金782.21万元；直管公房及商铺租金87.53万元。二是公租房分配131套，租赁补贴发放846户，共发放金额123.58万元。三是年审工作进展顺利，已完成年审5190 户（不含拆迁过渡安置户），完成入户调查3036户，按规定对不再符合住房保障条件的或查实存在违规行为的89户承租户进行查处，会同城管、社区、公安民警、司法、物业企业一起依法将其清退。四是稳步推进平安小区建设工作，加大安全知识宣传力度，在三个公租房小区内制作安装宣传横幅，利用“安全生产月”、“百日安全竞赛”、“创文迎检”等活动在小区的公共宣传栏张贴了关于防火、防盗、高空抛物、疫情防控和生活物资保供以及如何正确使用水、电、气等生活常识；加强了消防器材的正确认识和使用，组织消防培训3场，消防演练4起，在汛期排查解决安全隐患3处；五是按照市文明办的要求，集中整治小区内悬挂条幅18幅、无障碍坡道改造23处，小区路灯、庭院灯、围墙灯、单元楼梯间灯等修缮共650余/盏/次，监控维修、保养、调整80余次，购买分类垃圾桶40组，按规定配齐了消防器材，共配备干粉灭火器1536个及专用灭火器放置柜799个。</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3、白蚁防治工作方面。一是白蚁防治工作持续开展。完成白蚁防治业务受理面积97.6万㎡，回访复查面积540万㎡，预防面积202万㎡，树木灭治1927棵，房屋灭治面积1604㎡，白蚁防治回访率98%。二是加强制度管理，提高服务效率。为全面推进白蚁防治服务行业健康发展，按标准化建设要求，做到以规范促发展，以质量谋生存。不断优化窗口服务，简化办事流程，认真贯彻落实“一件事一次办”要求，实现了便民利民的目的。三是强化施工安全管理。对施工、车辆、药库和质量管理制度进行了完善，并责任到人，做到了安全生产零事故、防治技术零失误、优质服务零投诉的目标。四是完善档案管理，提高档案质量，完善了各类基础台账记录，做到资料完整并及时归档入库，归档率100%。</w:t>
      </w:r>
    </w:p>
    <w:p>
      <w:pPr>
        <w:spacing w:line="360" w:lineRule="auto"/>
        <w:ind w:firstLine="643" w:firstLineChars="200"/>
        <w:jc w:val="left"/>
        <w:rPr>
          <w:rFonts w:ascii="宋体" w:hAnsi="宋体" w:cstheme="minorEastAsia"/>
          <w:b/>
          <w:bCs/>
          <w:color w:val="auto"/>
          <w:sz w:val="32"/>
          <w:szCs w:val="32"/>
        </w:rPr>
      </w:pPr>
      <w:r>
        <w:rPr>
          <w:rFonts w:hint="eastAsia" w:ascii="宋体" w:hAnsi="宋体" w:cstheme="minorEastAsia"/>
          <w:b/>
          <w:bCs/>
          <w:color w:val="auto"/>
          <w:sz w:val="32"/>
          <w:szCs w:val="32"/>
        </w:rPr>
        <w:t>（二）履职尽责，服务中心工作情况</w:t>
      </w:r>
    </w:p>
    <w:p>
      <w:pPr>
        <w:adjustRightInd w:val="0"/>
        <w:snapToGrid w:val="0"/>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1、全员参与疫情防控工作。按照市委市政府统一部署，2022年3月份和下半年两次新冠肺炎疫情期间，我中心作为市派第十九工作组下沉工作人员48人到城中街道天星坪社区，按要求成立了7个工作组，负责整个社区15个核酸检测点的现场秩序维护、12个网格卡点的值班值守、辖区居民物资保供、居家隔离人员包保等疫情防控工作，另作为市本级公租房管理单位，负责组织调度城东、城南、城北三个公租房小区的疫情防控工作。期间，我中心主要负责人作为天星坪社区联合党支部第一书记，充分发挥基层党组织政治引领作用和党员先锋模范作用，全面落实联防联控措施，严格落实市、区疫情防控指挥部工作要求，党员干部冲锋在前，下沉社区和公租房小区全体工作人员昼夜奋战，一直坚守抗疫一线，疫情防控工作开展井井有条，为辖区居民守住了安全健康的最后一道防线，真正实现了“联防联控无死角，群防群治全覆盖”，保障了辖区疫情防控工作的顺利开展。</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2、努力做好乡村振兴工作。根据年度工作安排，我中心驻新晃县禾滩镇洛溪村乡村振兴工作队和村两委对全村农户进行了全覆盖走访，镇政府明确要求“一对一”结对帮扶，经常性政策宣讲，及时了解掌握脱贫户148户510人家庭收入情况。2022年8月份，通过走访核查出3户11人存在实际困难，为防止其出现返贫致贫的情况，已将这3户11人纳入监测户进行帮扶。着眼帮扶对象“两不愁、三保障（和安全饮水保障）”，把稳收增收当作头等大事，把政策落实当作核心保障，一户一策制定帮扶措施，坚决守住返贫致贫底线。今年工作队协同村两委合理利用土地资源，抑制土地抛荒反弹，与湘窖酒业公司签订合作协议，种植红樱子高梁650亩，带动脱贫户劳动力120余人，增加脱贫户务工费收入3万余元。同时，制定了大力发展养殖山地黄牛的计划，组织发动群众积极参与，改集中规模养殖为每家每户分散养殖，充分激发农户的养殖积极性。洛溪村涌现出以龙塘组杨天权、交世组姚沅成为代表的养牛大户，年平均出栏10头以上纯收入超10万元；年收入5万元以上的超过100户。推动环境整治，改善人居环境。以大寨组、世溪组为示范引领组，以点带面，让全村的环境卫生迈上新台阶。人居环境整治共修建机耕道2.5公里，修建停车场3个，硬化入户道路1485平方米，新建菜园竹札栅2000余米，设置垃圾桶36个，维护整治下水道50米，设置保洁公益岗14个，护林员9名。硬件设施改造把两组脏、乱、差的卫生环境面貌彻底改变，通过宣传引导，形成人人讲卫生、人人爱家园的良好氛围。</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3、不断优化营商环境。一是加强统筹协调力度。4月8日召开主任办公会议，制定了《怀化市住房保障服务中心开展“走流程、解难题、优服务”行动方案》。方案要求走流程过程中，要对照法规政策和标准规范，找出服务工作中的“堵点”问题，准确记录；分析中心业务办理中存在的问题和不足，提出解决的办法和思路；每个行动小组至少提出一条以上的优化流程服务的建议意见；各行动小组的行动必须在2022年5月中旬以前完成，具体行动时间由各小组牵头领导把握确定。二是大力推行目标管理责任制度。加强对业务工作年度目标管理，既要经济指标，更要群众满意的管理理念，将年度工作目标任务逐级分解细化、量化，下达到各部门，半年进行一次初评，年终进行总结评比。考核结果与绩效挂钩，实行奖优罚劣，确保业务及管理工作的全面落实。三是完善管理制度。按照优化营商环境工作的要求，对各类规章制度进行修订、补充和完善，实现以制度管人管事，以制度促环境优化的目的。四是加大政务公开工作力度。设立了高标准的公开栏，将中心的主要职能、业务以及办事指南、办事依据、办事程序等广而告之，同时在每间办公室门口设置了工作人员去向告示牌。五是推行了首问责任制、限时办结制和责任追究制。第一责任人对问询人提出的问题和要求，有耐心解答、认真接待的义务，属于自己职责范围的事，能办理的当场办理，因要件不齐全不能办理的，要给予明确的答复，并一次性告知应准备的证件资料等。属于其他部门职责范围的事项，应负责引荐到相应的部门。六是在政务中心大厅、租赁所、白蚁防治所等窗口单位设立了业务咨询服务台，为来访及办事的群众提供导向、政策咨询、业务办理程序、表格填写等服务。全面规范完善办事程序，对工作职责进行明确和界定，尤其对维修资金使用确认、公租房分配等重点工作环节，提出明确的程序要求。七是对违反“首问责任制、限时办结制”的工作人员予以处罚，完善处罚标准，运用严厉的工作纪律，确保文明规范服务要求落到实处，促使干部职工自觉地改进服务态度，提高服务水平。</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4、信访维稳和房地产历史遗留问题处理情况。一是网络舆情信访办理情况。2022年，我中心共办理市长热线、红网、问政湖南、智慧城管等网络舆情信访事项60余件，均按要求及时进行了处置回复，回复率和办结率均为100%，且未造成任何不良影响。二是房地产历史遗留问题处理情况。近年来，我中心负责的房地产历史遗留问题项目共19个，分别是：西南名都、湖天名居、金都景苑、左岸春天、壹号公馆、东方名邸、钰溪港湾、凯通领御、凯通领御酒店、中远新时代商业广场、京御名都、新天地城市广场、尚品国际、鹤州印象、中坡瑞丰园、阳光上东国际、鸿大第六区、怀仁公寓9#楼、润兰天星广场。我中心安排专人对19个项目进行了调查摸底，在摸清情况的基础上，进一步梳理归类、依法分析、分类处置，目前已完成不动产登记的项目13个，另外阳光上东国际、凯通领御酒店、西南名都、新天地城市广场、中坡瑞丰园、湖天名居（大夫第）等6个项目均已进入破产重整程序。2022年，我中心重点处置了阳光上东国际和中远新时代商业广场项目的供水供电问题，经我中心多次协调，阳光上东国际项目已于9月28日完成通水到户，目前正在抓紧协调处置消防验收、竣工综合验收以及后续办证问题；中远新时代商业广场开发企业于2022年7月25日就分户办理水、电、气问题与业主代表达成一致意见，并签订了《协议书》，目前正在对酒店进行招商引资工作。另外，调解了房地产遗留问题矛盾近20起，接待信访群众200余人次。</w:t>
      </w:r>
    </w:p>
    <w:p>
      <w:pPr>
        <w:spacing w:line="360" w:lineRule="auto"/>
        <w:ind w:firstLine="600" w:firstLineChars="200"/>
        <w:jc w:val="left"/>
        <w:rPr>
          <w:rFonts w:ascii="宋体" w:hAnsi="宋体" w:cstheme="minorEastAsia"/>
          <w:color w:val="auto"/>
          <w:sz w:val="30"/>
          <w:szCs w:val="30"/>
        </w:rPr>
      </w:pPr>
      <w:r>
        <w:rPr>
          <w:rFonts w:hint="eastAsia" w:ascii="宋体" w:hAnsi="宋体" w:cstheme="minorEastAsia"/>
          <w:color w:val="auto"/>
          <w:sz w:val="30"/>
          <w:szCs w:val="30"/>
        </w:rPr>
        <w:t>5、其他自身建设工作。一是按照要求完成了2篇调研报告和12条信息的报送工作；二是按要求完成了2件建议提案的办理工作，分别是市六届人大一次会议第25号建议《推行住宅专项维修资金“保险+服务”机制的建议》和市政协六届一次会议第0229号提案《关于规范房屋维修资金使用的建议》的办理，当事人对答复均表示满意。三是按要求完成了无偿献血、综治民调、机要保密、文明创建等其他自身建设工作。</w:t>
      </w:r>
    </w:p>
    <w:p>
      <w:pPr>
        <w:spacing w:line="360" w:lineRule="auto"/>
        <w:ind w:firstLine="723" w:firstLineChars="200"/>
        <w:jc w:val="left"/>
        <w:rPr>
          <w:rFonts w:ascii="宋体" w:hAnsi="宋体" w:cstheme="minorEastAsia"/>
          <w:b/>
          <w:color w:val="auto"/>
          <w:sz w:val="36"/>
          <w:szCs w:val="36"/>
        </w:rPr>
      </w:pPr>
      <w:r>
        <w:rPr>
          <w:rFonts w:hint="eastAsia" w:ascii="宋体" w:hAnsi="宋体" w:cstheme="minorEastAsia"/>
          <w:b/>
          <w:color w:val="auto"/>
          <w:sz w:val="36"/>
          <w:szCs w:val="36"/>
        </w:rPr>
        <w:t>六、综合评价情况及评价结论</w:t>
      </w:r>
    </w:p>
    <w:p>
      <w:pPr>
        <w:spacing w:line="360" w:lineRule="auto"/>
        <w:ind w:firstLine="600" w:firstLineChars="200"/>
        <w:jc w:val="left"/>
        <w:rPr>
          <w:rFonts w:ascii="宋体" w:hAnsi="宋体" w:cstheme="minorEastAsia"/>
          <w:color w:val="auto"/>
          <w:sz w:val="28"/>
          <w:szCs w:val="28"/>
        </w:rPr>
      </w:pPr>
      <w:r>
        <w:rPr>
          <w:rFonts w:hint="eastAsia" w:ascii="宋体" w:hAnsi="宋体" w:cstheme="minorEastAsia"/>
          <w:color w:val="auto"/>
          <w:sz w:val="30"/>
          <w:szCs w:val="30"/>
        </w:rPr>
        <w:t>我单位积极组织实施了</w:t>
      </w:r>
      <w:r>
        <w:rPr>
          <w:rFonts w:ascii="宋体" w:hAnsi="宋体" w:cstheme="minorEastAsia"/>
          <w:color w:val="auto"/>
          <w:sz w:val="30"/>
          <w:szCs w:val="30"/>
        </w:rPr>
        <w:t>2022</w:t>
      </w:r>
      <w:r>
        <w:rPr>
          <w:rFonts w:hint="eastAsia" w:ascii="宋体" w:hAnsi="宋体" w:cstheme="minorEastAsia"/>
          <w:color w:val="auto"/>
          <w:sz w:val="30"/>
          <w:szCs w:val="30"/>
        </w:rPr>
        <w:t>年度专项资金管理，建立了专项资金和项目管理制度，规范了实施程序，较好地完成了</w:t>
      </w:r>
      <w:r>
        <w:rPr>
          <w:rFonts w:ascii="宋体" w:hAnsi="宋体" w:cstheme="minorEastAsia"/>
          <w:color w:val="auto"/>
          <w:sz w:val="30"/>
          <w:szCs w:val="30"/>
        </w:rPr>
        <w:t>2022</w:t>
      </w:r>
      <w:r>
        <w:rPr>
          <w:rFonts w:hint="eastAsia" w:ascii="宋体" w:hAnsi="宋体" w:cstheme="minorEastAsia"/>
          <w:color w:val="auto"/>
          <w:sz w:val="30"/>
          <w:szCs w:val="30"/>
        </w:rPr>
        <w:t>年度工作目标，但仍存在绩效目标不够细化、量化等问题，</w:t>
      </w:r>
      <w:r>
        <w:rPr>
          <w:rFonts w:hint="default" w:ascii="宋体" w:hAnsi="宋体" w:cstheme="minorEastAsia"/>
          <w:color w:val="auto"/>
          <w:sz w:val="30"/>
          <w:szCs w:val="30"/>
        </w:rPr>
        <w:t>根据《部门整体支出绩效自评表》，</w:t>
      </w:r>
      <w:r>
        <w:rPr>
          <w:rFonts w:hint="eastAsia" w:ascii="宋体" w:hAnsi="宋体" w:cstheme="minorEastAsia"/>
          <w:color w:val="auto"/>
          <w:sz w:val="30"/>
          <w:szCs w:val="30"/>
        </w:rPr>
        <w:t>202</w:t>
      </w:r>
      <w:r>
        <w:rPr>
          <w:rFonts w:ascii="宋体" w:hAnsi="宋体" w:cstheme="minorEastAsia"/>
          <w:color w:val="auto"/>
          <w:sz w:val="30"/>
          <w:szCs w:val="30"/>
        </w:rPr>
        <w:t>2</w:t>
      </w:r>
      <w:r>
        <w:rPr>
          <w:rFonts w:hint="eastAsia" w:ascii="宋体" w:hAnsi="宋体" w:cstheme="minorEastAsia"/>
          <w:color w:val="auto"/>
          <w:sz w:val="30"/>
          <w:szCs w:val="30"/>
        </w:rPr>
        <w:t>年度部门整体绩效自评综合评分为</w:t>
      </w:r>
      <w:r>
        <w:rPr>
          <w:rFonts w:hint="default" w:ascii="宋体" w:hAnsi="宋体" w:cstheme="minorEastAsia"/>
          <w:color w:val="auto"/>
          <w:sz w:val="30"/>
          <w:szCs w:val="30"/>
        </w:rPr>
        <w:t>94</w:t>
      </w:r>
      <w:r>
        <w:rPr>
          <w:rFonts w:hint="eastAsia" w:ascii="宋体" w:hAnsi="宋体" w:cstheme="minorEastAsia"/>
          <w:color w:val="auto"/>
          <w:sz w:val="30"/>
          <w:szCs w:val="30"/>
        </w:rPr>
        <w:t>分，评价等级为“优”。</w:t>
      </w:r>
    </w:p>
    <w:p>
      <w:pPr>
        <w:spacing w:line="360" w:lineRule="auto"/>
        <w:ind w:firstLine="723" w:firstLineChars="200"/>
        <w:jc w:val="left"/>
        <w:rPr>
          <w:rFonts w:ascii="宋体" w:hAnsi="宋体" w:cstheme="minorEastAsia"/>
          <w:b/>
          <w:color w:val="auto"/>
          <w:sz w:val="36"/>
          <w:szCs w:val="36"/>
        </w:rPr>
      </w:pPr>
      <w:r>
        <w:rPr>
          <w:rFonts w:ascii="宋体" w:hAnsi="宋体" w:cstheme="minorEastAsia"/>
          <w:b/>
          <w:color w:val="auto"/>
          <w:sz w:val="36"/>
          <w:szCs w:val="36"/>
        </w:rPr>
        <w:t>七</w:t>
      </w:r>
      <w:r>
        <w:rPr>
          <w:rFonts w:hint="eastAsia" w:ascii="宋体" w:hAnsi="宋体" w:cstheme="minorEastAsia"/>
          <w:b/>
          <w:color w:val="auto"/>
          <w:sz w:val="36"/>
          <w:szCs w:val="36"/>
        </w:rPr>
        <w:t>、存在的主要问题</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根据绩效评价工作要求，本单位认真的研究和部署，使自评工作得以顺利开展，并取得了较好效果，但仍存在以下几个方面的问题。</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（一）绩效评价工作内容需要在日常工作进行掌握和执行，对单位整体支出即有操作性和规范性，要求财务人员不断学习和培训才能提高单位绩效评价工作水平。</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二）部门整体绩效评价工作是一项长期性的工作，专业性强，工作量大，建议财政有关部门进一步加强开展相关的业务工作培训，组织开展部门之间、单位之间的经验交流，多注重对相关部门的督促指导，切实推进绩效评价工作的开展。</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（三）专项工作方面</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1、公租房后续管理的工作经费及维修资金紧缺。因租金收取采用“收支两条线”，财政部门采取年前申报预算制，有时中途有不可预计的情况发生及预算外的资金，拨付困难导致维修不及时。</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2、公租房后续管理协调联动难度大。公租房后续管理涉及住建、民政、公安、乡镇（街道）、市场监管、银行、社区等多个部门，对取消公租房保障资格后，拒不退房承租人的处理，面临执法难、程序多、耗时长、成本高等问题。</w:t>
      </w:r>
    </w:p>
    <w:p>
      <w:pPr>
        <w:spacing w:line="360" w:lineRule="auto"/>
        <w:ind w:firstLine="600" w:firstLineChars="200"/>
        <w:rPr>
          <w:rFonts w:ascii="宋体" w:hAnsi="宋体" w:cstheme="minorEastAsia"/>
          <w:color w:val="auto"/>
          <w:sz w:val="30"/>
          <w:szCs w:val="30"/>
        </w:rPr>
      </w:pPr>
      <w:r>
        <w:rPr>
          <w:rFonts w:hint="eastAsia" w:ascii="宋体" w:hAnsi="宋体" w:cstheme="minorEastAsia"/>
          <w:color w:val="auto"/>
          <w:sz w:val="30"/>
          <w:szCs w:val="30"/>
        </w:rPr>
        <w:t>3、公租房保障对象主要为城镇低保、低收入家庭及外来务工人员，在动态管理工作上很难掌握保障对象的实时情况，导致不能及时进行清理清退。</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4、</w:t>
      </w:r>
      <w:r>
        <w:rPr>
          <w:rFonts w:hint="eastAsia" w:ascii="宋体" w:hAnsi="宋体" w:cstheme="minorEastAsia"/>
          <w:color w:val="auto"/>
          <w:sz w:val="30"/>
          <w:szCs w:val="30"/>
        </w:rPr>
        <w:t>维修资金追缴兜底接拍无法落实。电器大市场490万元二次流拍，按照9月2日会议精神由城投公司兜底接拍，但该公司明确回复无力接拍。</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5、</w:t>
      </w:r>
      <w:r>
        <w:rPr>
          <w:rFonts w:hint="eastAsia" w:ascii="宋体" w:hAnsi="宋体" w:cstheme="minorEastAsia"/>
          <w:color w:val="auto"/>
          <w:sz w:val="30"/>
          <w:szCs w:val="30"/>
        </w:rPr>
        <w:t>维修资金追缴非诉强制执行工作难度大。按照9月2日会议精神，中心两次告知后可申请非诉强制执行，但经与法院对接，还是要先经行政处罚下发行政决定书后才能强制执行，因此我们又走回老路，耽误了时间。</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6、</w:t>
      </w:r>
      <w:r>
        <w:rPr>
          <w:rFonts w:hint="eastAsia" w:ascii="宋体" w:hAnsi="宋体" w:cstheme="minorEastAsia"/>
          <w:color w:val="auto"/>
          <w:sz w:val="30"/>
          <w:szCs w:val="30"/>
        </w:rPr>
        <w:t>部分企业法人失联或公司多次变更，维修资金追缴告知书无法送达（如北国之春、薰衣草家园、新玉溪港湾、香榭花园、太平盛世等）。</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7、</w:t>
      </w:r>
      <w:r>
        <w:rPr>
          <w:rFonts w:hint="eastAsia" w:ascii="宋体" w:hAnsi="宋体" w:cstheme="minorEastAsia"/>
          <w:color w:val="auto"/>
          <w:sz w:val="30"/>
          <w:szCs w:val="30"/>
        </w:rPr>
        <w:t>我中心拟代业主启动维修资金追缴民事诉讼程序，但牵涉到诉讼费用问题，需要政府协调解决。</w:t>
      </w:r>
    </w:p>
    <w:p>
      <w:pPr>
        <w:spacing w:line="360" w:lineRule="auto"/>
        <w:ind w:firstLine="600" w:firstLineChars="200"/>
        <w:rPr>
          <w:rFonts w:ascii="宋体" w:hAnsi="宋体" w:cstheme="minorEastAsia"/>
          <w:color w:val="auto"/>
          <w:sz w:val="30"/>
          <w:szCs w:val="30"/>
        </w:rPr>
      </w:pPr>
      <w:r>
        <w:rPr>
          <w:rFonts w:ascii="宋体" w:hAnsi="宋体" w:cstheme="minorEastAsia"/>
          <w:color w:val="auto"/>
          <w:sz w:val="30"/>
          <w:szCs w:val="30"/>
        </w:rPr>
        <w:t>8、</w:t>
      </w:r>
      <w:r>
        <w:rPr>
          <w:rFonts w:hint="eastAsia" w:ascii="宋体" w:hAnsi="宋体" w:cstheme="minorEastAsia"/>
          <w:color w:val="auto"/>
          <w:sz w:val="30"/>
          <w:szCs w:val="30"/>
        </w:rPr>
        <w:t>开发企业未售物业维修资金缴纳问题，开发企业普遍非常困难，反应非常强烈，要求售后缴纳。</w:t>
      </w:r>
    </w:p>
    <w:p>
      <w:pPr>
        <w:spacing w:line="360" w:lineRule="auto"/>
        <w:ind w:firstLine="723" w:firstLineChars="200"/>
        <w:jc w:val="left"/>
        <w:rPr>
          <w:rFonts w:ascii="宋体" w:hAnsi="宋体"/>
          <w:color w:val="auto"/>
          <w:sz w:val="36"/>
          <w:szCs w:val="36"/>
        </w:rPr>
      </w:pPr>
      <w:r>
        <w:rPr>
          <w:rFonts w:ascii="宋体" w:hAnsi="宋体"/>
          <w:b/>
          <w:color w:val="auto"/>
          <w:sz w:val="36"/>
          <w:szCs w:val="36"/>
        </w:rPr>
        <w:t>八</w:t>
      </w:r>
      <w:r>
        <w:rPr>
          <w:rFonts w:hint="eastAsia" w:ascii="宋体" w:hAnsi="宋体"/>
          <w:b/>
          <w:color w:val="auto"/>
          <w:sz w:val="36"/>
          <w:szCs w:val="36"/>
        </w:rPr>
        <w:t>、改进措施和有关建议</w:t>
      </w:r>
    </w:p>
    <w:p>
      <w:pPr>
        <w:spacing w:line="360" w:lineRule="auto"/>
        <w:ind w:firstLine="600" w:firstLineChars="200"/>
        <w:rPr>
          <w:rFonts w:ascii="宋体" w:hAnsi="宋体"/>
          <w:color w:val="auto"/>
          <w:sz w:val="30"/>
          <w:szCs w:val="30"/>
        </w:rPr>
      </w:pPr>
      <w:r>
        <w:rPr>
          <w:rFonts w:hint="eastAsia" w:ascii="宋体" w:hAnsi="宋体"/>
          <w:color w:val="auto"/>
          <w:sz w:val="30"/>
          <w:szCs w:val="30"/>
        </w:rPr>
        <w:t>1、将绩效管理与绩效评价两者的目标体系充分融合。在充分考虑内外部风险的基础上，围绕预算绩效管理重点和关键点，重塑科学性、规范性、操作性、可靠性强的绩效目标体系，并在目标体系建设过程中有效兼顾定性指标和定量指标、财务指标与非财务指标，对绩效指标进行针对性细化，确保指标体系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保证预算执行有章可循。</w:t>
      </w:r>
    </w:p>
    <w:p>
      <w:pPr>
        <w:spacing w:line="360" w:lineRule="auto"/>
        <w:ind w:firstLine="600" w:firstLineChars="200"/>
        <w:rPr>
          <w:rFonts w:hint="eastAsia" w:ascii="宋体" w:hAnsi="宋体"/>
          <w:color w:val="auto"/>
          <w:sz w:val="30"/>
          <w:szCs w:val="30"/>
        </w:rPr>
      </w:pPr>
      <w:r>
        <w:rPr>
          <w:rFonts w:hint="eastAsia" w:ascii="宋体" w:hAnsi="宋体"/>
          <w:color w:val="auto"/>
          <w:sz w:val="30"/>
          <w:szCs w:val="30"/>
        </w:rPr>
        <w:t>2、引导单位将预算编制、执行过程中的绩效管理信息进行公开，使整个预算绩效目标从编报、申请到执行、反馈的全过程受到公众的监督管理；倒逼部门进一步增强责任意识、规矩意识，真正使“花钱必问效、无效必问责”落到实处；强化绩效管理意识，确保绩效管理的有效实施，实现以公开促规范、推改革、提效能的目标。</w:t>
      </w:r>
    </w:p>
    <w:p>
      <w:pPr>
        <w:spacing w:line="240" w:lineRule="auto"/>
        <w:ind w:firstLine="0" w:firstLineChars="0"/>
        <w:rPr>
          <w:rFonts w:hint="eastAsia" w:ascii="Times New Roman" w:hAnsi="Times New Roman" w:eastAsia="宋体" w:cs="Times New Roman"/>
          <w:sz w:val="21"/>
          <w:szCs w:val="22"/>
          <w:lang w:val="en-US" w:eastAsia="zh-CN" w:bidi="ar-SA"/>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p>
    <w:p>
      <w:pPr>
        <w:spacing w:line="240" w:lineRule="auto"/>
        <w:ind w:firstLine="0" w:firstLineChars="0"/>
        <w:rPr>
          <w:rFonts w:hint="eastAsia"/>
          <w:lang w:val="en-US" w:eastAsia="zh-CN"/>
        </w:rPr>
      </w:pPr>
      <w:bookmarkStart w:id="0" w:name="_GoBack"/>
      <w:bookmarkEnd w:id="0"/>
    </w:p>
    <w:p>
      <w:pPr>
        <w:tabs>
          <w:tab w:val="left" w:pos="673"/>
        </w:tabs>
        <w:spacing w:line="240" w:lineRule="auto"/>
        <w:ind w:firstLine="0" w:firstLineChars="0"/>
        <w:jc w:val="left"/>
        <w:rPr>
          <w:rFonts w:hint="default"/>
          <w:lang w:eastAsia="zh-CN"/>
        </w:rPr>
      </w:pPr>
      <w:r>
        <w:rPr>
          <w:rFonts w:hint="default"/>
          <w:lang w:eastAsia="zh-CN"/>
        </w:rPr>
        <w:tab/>
      </w:r>
    </w:p>
    <w:p>
      <w:pPr>
        <w:spacing w:line="560" w:lineRule="exact"/>
        <w:rPr>
          <w:rFonts w:hint="eastAsia" w:ascii="黑体" w:hAnsi="宋体" w:eastAsia="黑体" w:cs="宋体"/>
          <w:kern w:val="0"/>
          <w:sz w:val="32"/>
          <w:szCs w:val="32"/>
        </w:rPr>
      </w:pPr>
      <w:r>
        <w:rPr>
          <w:rFonts w:hint="eastAsia" w:ascii="黑体" w:hAnsi="宋体" w:eastAsia="黑体" w:cs="宋体"/>
          <w:kern w:val="0"/>
          <w:sz w:val="32"/>
          <w:szCs w:val="32"/>
        </w:rPr>
        <w:t>附件</w:t>
      </w:r>
      <w:r>
        <w:rPr>
          <w:rFonts w:hint="eastAsia" w:ascii="黑体" w:hAnsi="宋体" w:eastAsia="黑体" w:cs="宋体"/>
          <w:kern w:val="0"/>
          <w:sz w:val="32"/>
          <w:szCs w:val="32"/>
          <w:lang w:val="en-US" w:eastAsia="zh-CN"/>
        </w:rPr>
        <w:t>1</w:t>
      </w:r>
    </w:p>
    <w:p>
      <w:pPr>
        <w:spacing w:line="560" w:lineRule="exact"/>
        <w:jc w:val="center"/>
        <w:rPr>
          <w:rFonts w:ascii="宋体" w:hAnsi="宋体" w:cs="宋体"/>
          <w:kern w:val="0"/>
          <w:sz w:val="24"/>
        </w:rPr>
      </w:pPr>
      <w:r>
        <w:rPr>
          <w:rFonts w:hint="eastAsia" w:ascii="方正小标宋_GBK" w:hAnsi="宋体" w:eastAsia="方正小标宋_GBK" w:cs="宋体"/>
          <w:kern w:val="0"/>
          <w:sz w:val="36"/>
          <w:szCs w:val="36"/>
        </w:rPr>
        <w:t>部门整体支出绩效评价</w:t>
      </w:r>
      <w:r>
        <w:rPr>
          <w:rFonts w:hint="eastAsia" w:ascii="方正小标宋_GBK" w:hAnsi="宋体" w:eastAsia="方正小标宋_GBK" w:cs="宋体"/>
          <w:kern w:val="0"/>
          <w:sz w:val="36"/>
          <w:szCs w:val="36"/>
          <w:lang w:eastAsia="zh-CN"/>
        </w:rPr>
        <w:t>共性</w:t>
      </w:r>
      <w:r>
        <w:rPr>
          <w:rFonts w:hint="eastAsia" w:ascii="方正小标宋_GBK" w:hAnsi="宋体" w:eastAsia="方正小标宋_GBK" w:cs="宋体"/>
          <w:kern w:val="0"/>
          <w:sz w:val="36"/>
          <w:szCs w:val="36"/>
        </w:rPr>
        <w:t>指标表</w:t>
      </w:r>
    </w:p>
    <w:tbl>
      <w:tblPr>
        <w:tblStyle w:val="4"/>
        <w:tblW w:w="10635" w:type="dxa"/>
        <w:jc w:val="center"/>
        <w:tblLayout w:type="fixed"/>
        <w:tblCellMar>
          <w:top w:w="0" w:type="dxa"/>
          <w:left w:w="108" w:type="dxa"/>
          <w:bottom w:w="0" w:type="dxa"/>
          <w:right w:w="108" w:type="dxa"/>
        </w:tblCellMar>
      </w:tblPr>
      <w:tblGrid>
        <w:gridCol w:w="519"/>
        <w:gridCol w:w="471"/>
        <w:gridCol w:w="625"/>
        <w:gridCol w:w="417"/>
        <w:gridCol w:w="1018"/>
        <w:gridCol w:w="417"/>
        <w:gridCol w:w="3027"/>
        <w:gridCol w:w="3502"/>
        <w:gridCol w:w="639"/>
      </w:tblGrid>
      <w:tr>
        <w:tblPrEx>
          <w:tblCellMar>
            <w:top w:w="0" w:type="dxa"/>
            <w:left w:w="108" w:type="dxa"/>
            <w:bottom w:w="0" w:type="dxa"/>
            <w:right w:w="108" w:type="dxa"/>
          </w:tblCellMar>
        </w:tblPrEx>
        <w:trPr>
          <w:trHeight w:val="90" w:hRule="atLeast"/>
          <w:tblHeader/>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一级指标</w:t>
            </w:r>
          </w:p>
        </w:tc>
        <w:tc>
          <w:tcPr>
            <w:tcW w:w="471"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625"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二级指标</w:t>
            </w:r>
          </w:p>
        </w:tc>
        <w:tc>
          <w:tcPr>
            <w:tcW w:w="417"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101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三级</w:t>
            </w:r>
          </w:p>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w:t>
            </w:r>
          </w:p>
        </w:tc>
        <w:tc>
          <w:tcPr>
            <w:tcW w:w="417"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3027"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评价标准</w:t>
            </w:r>
          </w:p>
        </w:tc>
        <w:tc>
          <w:tcPr>
            <w:tcW w:w="3502"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指标说明</w:t>
            </w:r>
          </w:p>
        </w:tc>
        <w:tc>
          <w:tcPr>
            <w:tcW w:w="639"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得分</w:t>
            </w:r>
          </w:p>
        </w:tc>
      </w:tr>
      <w:tr>
        <w:tblPrEx>
          <w:tblCellMar>
            <w:top w:w="0" w:type="dxa"/>
            <w:left w:w="108" w:type="dxa"/>
            <w:bottom w:w="0" w:type="dxa"/>
            <w:right w:w="108" w:type="dxa"/>
          </w:tblCellMar>
        </w:tblPrEx>
        <w:trPr>
          <w:trHeight w:val="90" w:hRule="atLeast"/>
          <w:jc w:val="center"/>
        </w:trPr>
        <w:tc>
          <w:tcPr>
            <w:tcW w:w="519"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投入</w:t>
            </w:r>
          </w:p>
        </w:tc>
        <w:tc>
          <w:tcPr>
            <w:tcW w:w="47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625" w:type="dxa"/>
            <w:vMerge w:val="restart"/>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预算配置</w:t>
            </w:r>
          </w:p>
        </w:tc>
        <w:tc>
          <w:tcPr>
            <w:tcW w:w="41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在职人员控制率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27" w:type="dxa"/>
            <w:tcBorders>
              <w:top w:val="nil"/>
              <w:left w:val="nil"/>
              <w:bottom w:val="nil"/>
              <w:right w:val="nil"/>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以100%为标准。在职人员控制率</w:t>
            </w:r>
            <w:r>
              <w:rPr>
                <w:rFonts w:hint="eastAsia" w:ascii="宋体" w:hAnsi="宋体" w:cs="宋体"/>
                <w:kern w:val="0"/>
                <w:sz w:val="20"/>
                <w:szCs w:val="20"/>
              </w:rPr>
              <w:t>≦</w:t>
            </w:r>
            <w:r>
              <w:rPr>
                <w:rFonts w:hint="eastAsia" w:ascii="仿宋_GB2312" w:hAnsi="宋体" w:eastAsia="仿宋_GB2312" w:cs="宋体"/>
                <w:kern w:val="0"/>
                <w:sz w:val="20"/>
                <w:szCs w:val="20"/>
              </w:rPr>
              <w:t>100%，计5分；每超过一个百分点扣0.5分，扣完为止。</w:t>
            </w:r>
          </w:p>
        </w:tc>
        <w:tc>
          <w:tcPr>
            <w:tcW w:w="3502" w:type="dxa"/>
            <w:tcBorders>
              <w:top w:val="nil"/>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在职人员控制率=（</w:t>
            </w:r>
            <w:r>
              <w:rPr>
                <w:rFonts w:hint="default" w:ascii="仿宋_GB2312" w:hAnsi="宋体" w:eastAsia="仿宋_GB2312" w:cs="宋体"/>
                <w:kern w:val="0"/>
                <w:sz w:val="20"/>
                <w:szCs w:val="20"/>
              </w:rPr>
              <w:t>58</w:t>
            </w:r>
            <w:r>
              <w:rPr>
                <w:rFonts w:hint="eastAsia" w:ascii="仿宋_GB2312" w:hAnsi="宋体" w:eastAsia="仿宋_GB2312" w:cs="宋体"/>
                <w:kern w:val="0"/>
                <w:sz w:val="20"/>
                <w:szCs w:val="20"/>
              </w:rPr>
              <w:t>/</w:t>
            </w:r>
            <w:r>
              <w:rPr>
                <w:rFonts w:hint="default" w:ascii="仿宋_GB2312" w:hAnsi="宋体" w:eastAsia="仿宋_GB2312" w:cs="宋体"/>
                <w:kern w:val="0"/>
                <w:sz w:val="20"/>
                <w:szCs w:val="20"/>
              </w:rPr>
              <w:t>66</w:t>
            </w:r>
            <w:r>
              <w:rPr>
                <w:rFonts w:hint="eastAsia" w:ascii="仿宋_GB2312" w:hAnsi="宋体" w:eastAsia="仿宋_GB2312" w:cs="宋体"/>
                <w:kern w:val="0"/>
                <w:sz w:val="20"/>
                <w:szCs w:val="20"/>
              </w:rPr>
              <w:t>）×100%</w:t>
            </w:r>
            <w:r>
              <w:rPr>
                <w:rFonts w:hint="default" w:ascii="仿宋_GB2312" w:hAnsi="宋体" w:eastAsia="仿宋_GB2312" w:cs="宋体"/>
                <w:kern w:val="0"/>
                <w:sz w:val="20"/>
                <w:szCs w:val="20"/>
              </w:rPr>
              <w:t>=87.88%</w:t>
            </w:r>
            <w:r>
              <w:rPr>
                <w:rFonts w:hint="eastAsia" w:ascii="仿宋_GB2312" w:hAnsi="宋体" w:eastAsia="仿宋_GB2312" w:cs="宋体"/>
                <w:kern w:val="0"/>
                <w:sz w:val="20"/>
                <w:szCs w:val="20"/>
              </w:rPr>
              <w:t>，在职人员数：部门（单位）实际在职人数，以财政确定的部门决算编制口径为准。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编制数：机构编制部门核定批复的部门（单位）的人员编制数。</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5</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p>
        </w:tc>
        <w:tc>
          <w:tcPr>
            <w:tcW w:w="417" w:type="dxa"/>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5</w:t>
            </w:r>
          </w:p>
        </w:tc>
        <w:tc>
          <w:tcPr>
            <w:tcW w:w="3027"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r>
              <w:rPr>
                <w:rFonts w:hint="eastAsia" w:ascii="宋体" w:hAnsi="宋体" w:cs="宋体"/>
                <w:kern w:val="0"/>
                <w:sz w:val="20"/>
                <w:szCs w:val="20"/>
              </w:rPr>
              <w:t>≦</w:t>
            </w:r>
            <w:r>
              <w:rPr>
                <w:rFonts w:hint="eastAsia" w:ascii="仿宋_GB2312" w:hAnsi="宋体" w:eastAsia="仿宋_GB2312" w:cs="宋体"/>
                <w:kern w:val="0"/>
                <w:sz w:val="20"/>
                <w:szCs w:val="20"/>
              </w:rPr>
              <w:t>0,计</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分；“三公经费”＞0，每超过一个百分点扣0.</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分，扣完为止。</w:t>
            </w:r>
          </w:p>
        </w:tc>
        <w:tc>
          <w:tcPr>
            <w:tcW w:w="3502" w:type="dxa"/>
            <w:tcBorders>
              <w:top w:val="nil"/>
              <w:left w:val="nil"/>
              <w:bottom w:val="single" w:color="auto" w:sz="4" w:space="0"/>
              <w:right w:val="single" w:color="auto" w:sz="4" w:space="0"/>
            </w:tcBorders>
            <w:noWrap w:val="0"/>
            <w:vAlign w:val="center"/>
          </w:tcPr>
          <w:p>
            <w:pPr>
              <w:widowControl/>
              <w:jc w:val="left"/>
              <w:rPr>
                <w:rFonts w:hint="default"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r>
              <w:rPr>
                <w:rFonts w:hint="default" w:ascii="仿宋_GB2312" w:hAnsi="宋体" w:eastAsia="仿宋_GB2312" w:cs="宋体"/>
                <w:kern w:val="0"/>
                <w:sz w:val="20"/>
                <w:szCs w:val="20"/>
              </w:rPr>
              <w:t>53600</w:t>
            </w:r>
            <w:r>
              <w:rPr>
                <w:rFonts w:hint="eastAsia" w:ascii="仿宋_GB2312" w:hAnsi="宋体" w:eastAsia="仿宋_GB2312" w:cs="宋体"/>
                <w:kern w:val="0"/>
                <w:sz w:val="20"/>
                <w:szCs w:val="20"/>
              </w:rPr>
              <w:t>-</w:t>
            </w:r>
            <w:r>
              <w:rPr>
                <w:rFonts w:hint="default" w:ascii="仿宋_GB2312" w:hAnsi="宋体" w:eastAsia="仿宋_GB2312" w:cs="宋体"/>
                <w:kern w:val="0"/>
                <w:sz w:val="20"/>
                <w:szCs w:val="20"/>
              </w:rPr>
              <w:t>64650</w:t>
            </w:r>
            <w:r>
              <w:rPr>
                <w:rFonts w:hint="eastAsia" w:ascii="仿宋_GB2312" w:hAnsi="宋体" w:eastAsia="仿宋_GB2312" w:cs="宋体"/>
                <w:kern w:val="0"/>
                <w:sz w:val="20"/>
                <w:szCs w:val="20"/>
              </w:rPr>
              <w:t>）/</w:t>
            </w:r>
            <w:r>
              <w:rPr>
                <w:rFonts w:hint="default" w:ascii="仿宋_GB2312" w:hAnsi="宋体" w:eastAsia="仿宋_GB2312" w:cs="宋体"/>
                <w:kern w:val="0"/>
                <w:sz w:val="20"/>
                <w:szCs w:val="20"/>
              </w:rPr>
              <w:t>64650</w:t>
            </w:r>
            <w:r>
              <w:rPr>
                <w:rFonts w:hint="eastAsia" w:ascii="仿宋_GB2312" w:hAnsi="宋体" w:eastAsia="仿宋_GB2312" w:cs="宋体"/>
                <w:kern w:val="0"/>
                <w:sz w:val="20"/>
                <w:szCs w:val="20"/>
              </w:rPr>
              <w:t>]×100%</w:t>
            </w:r>
            <w:r>
              <w:rPr>
                <w:rFonts w:hint="default" w:ascii="仿宋_GB2312" w:hAnsi="宋体" w:eastAsia="仿宋_GB2312" w:cs="宋体"/>
                <w:kern w:val="0"/>
                <w:sz w:val="20"/>
                <w:szCs w:val="20"/>
              </w:rPr>
              <w:t>=-17.09%</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5</w:t>
            </w:r>
          </w:p>
        </w:tc>
      </w:tr>
      <w:tr>
        <w:tblPrEx>
          <w:tblCellMar>
            <w:top w:w="0" w:type="dxa"/>
            <w:left w:w="108" w:type="dxa"/>
            <w:bottom w:w="0" w:type="dxa"/>
            <w:right w:w="108" w:type="dxa"/>
          </w:tblCellMar>
        </w:tblPrEx>
        <w:trPr>
          <w:trHeight w:val="90" w:hRule="atLeast"/>
          <w:jc w:val="center"/>
        </w:trPr>
        <w:tc>
          <w:tcPr>
            <w:tcW w:w="51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5"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预算执行</w:t>
            </w:r>
          </w:p>
        </w:tc>
        <w:tc>
          <w:tcPr>
            <w:tcW w:w="41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20</w:t>
            </w: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预算完成率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100%计满分，每低于5%扣2分，扣完为止。</w:t>
            </w:r>
          </w:p>
        </w:tc>
        <w:tc>
          <w:tcPr>
            <w:tcW w:w="3502" w:type="dxa"/>
            <w:tcBorders>
              <w:top w:val="nil"/>
              <w:left w:val="nil"/>
              <w:bottom w:val="single" w:color="auto" w:sz="4" w:space="0"/>
              <w:right w:val="single" w:color="auto" w:sz="4" w:space="0"/>
            </w:tcBorders>
            <w:noWrap w:val="0"/>
            <w:vAlign w:val="center"/>
          </w:tcPr>
          <w:p>
            <w:pPr>
              <w:widowControl/>
              <w:jc w:val="left"/>
              <w:rPr>
                <w:rFonts w:hint="default" w:ascii="仿宋_GB2312" w:hAnsi="宋体" w:eastAsia="仿宋_GB2312" w:cs="宋体"/>
                <w:kern w:val="0"/>
                <w:sz w:val="20"/>
                <w:szCs w:val="20"/>
              </w:rPr>
            </w:pPr>
            <w:r>
              <w:rPr>
                <w:rFonts w:hint="eastAsia" w:ascii="仿宋_GB2312" w:hAnsi="宋体" w:eastAsia="仿宋_GB2312" w:cs="宋体"/>
                <w:kern w:val="0"/>
                <w:sz w:val="20"/>
                <w:szCs w:val="20"/>
              </w:rPr>
              <w:t>预算完成率=</w:t>
            </w:r>
            <w:r>
              <w:rPr>
                <w:rFonts w:hint="default" w:ascii="仿宋_GB2312" w:hAnsi="宋体" w:eastAsia="仿宋_GB2312" w:cs="宋体"/>
                <w:kern w:val="0"/>
                <w:sz w:val="20"/>
                <w:szCs w:val="20"/>
              </w:rPr>
              <w:t>1604.49</w:t>
            </w:r>
            <w:r>
              <w:rPr>
                <w:rFonts w:hint="eastAsia" w:ascii="仿宋_GB2312" w:hAnsi="宋体" w:eastAsia="仿宋_GB2312" w:cs="宋体"/>
                <w:kern w:val="0"/>
                <w:sz w:val="20"/>
                <w:szCs w:val="20"/>
              </w:rPr>
              <w:t>/</w:t>
            </w:r>
            <w:r>
              <w:rPr>
                <w:rFonts w:hint="default" w:ascii="仿宋_GB2312" w:hAnsi="宋体" w:eastAsia="仿宋_GB2312" w:cs="宋体"/>
                <w:kern w:val="0"/>
                <w:sz w:val="20"/>
                <w:szCs w:val="20"/>
              </w:rPr>
              <w:t>1604.49</w:t>
            </w:r>
            <w:r>
              <w:rPr>
                <w:rFonts w:hint="eastAsia" w:ascii="仿宋_GB2312" w:hAnsi="宋体" w:eastAsia="仿宋_GB2312" w:cs="宋体"/>
                <w:kern w:val="0"/>
                <w:sz w:val="20"/>
                <w:szCs w:val="20"/>
              </w:rPr>
              <w:t>×100%</w:t>
            </w:r>
            <w:r>
              <w:rPr>
                <w:rFonts w:hint="default" w:ascii="仿宋_GB2312" w:hAnsi="宋体" w:eastAsia="仿宋_GB2312" w:cs="宋体"/>
                <w:kern w:val="0"/>
                <w:sz w:val="20"/>
                <w:szCs w:val="20"/>
              </w:rPr>
              <w:t>=100%</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5</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预算控制率=0，计5分；0-10%（含），计4分；10-20%（含），计3分；20-30%（含），计2分；大于30%不得分。</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预算控制率=（本年追加预算/年初预算）×100%。</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5</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新建楼堂馆所面积控制率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100%以下（含）计满分，每超出5%扣2分，扣完为止。没有楼堂馆所项目的部门按满分计算。</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楼堂馆所面积控制率=实际建设面积/批准建设面积×100%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该指标以</w:t>
            </w:r>
            <w:r>
              <w:rPr>
                <w:rFonts w:hint="eastAsia" w:ascii="仿宋_GB2312" w:hAnsi="宋体" w:eastAsia="仿宋_GB2312" w:cs="宋体"/>
                <w:kern w:val="0"/>
                <w:sz w:val="20"/>
                <w:szCs w:val="20"/>
                <w:lang w:val="en-US" w:eastAsia="zh-CN"/>
              </w:rPr>
              <w:t>2022</w:t>
            </w:r>
            <w:r>
              <w:rPr>
                <w:rFonts w:hint="eastAsia" w:ascii="仿宋_GB2312" w:hAnsi="宋体" w:eastAsia="仿宋_GB2312" w:cs="宋体"/>
                <w:kern w:val="0"/>
                <w:sz w:val="20"/>
                <w:szCs w:val="20"/>
              </w:rPr>
              <w:t>年完工的新建楼堂馆所为评价内容。</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5</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新建楼堂馆所投资概算控制率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楼堂馆所投资预算控制率=实际投资金额/批准投资金额×100% 。</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该指标以2</w:t>
            </w:r>
            <w:r>
              <w:rPr>
                <w:rFonts w:hint="eastAsia" w:ascii="仿宋_GB2312" w:hAnsi="宋体" w:eastAsia="仿宋_GB2312" w:cs="宋体"/>
                <w:kern w:val="0"/>
                <w:sz w:val="20"/>
                <w:szCs w:val="20"/>
                <w:lang w:val="en-US" w:eastAsia="zh-CN"/>
              </w:rPr>
              <w:t>022</w:t>
            </w:r>
            <w:r>
              <w:rPr>
                <w:rFonts w:hint="eastAsia" w:ascii="仿宋_GB2312" w:hAnsi="宋体" w:eastAsia="仿宋_GB2312" w:cs="宋体"/>
                <w:kern w:val="0"/>
                <w:sz w:val="20"/>
                <w:szCs w:val="20"/>
              </w:rPr>
              <w:t>年完工的新建楼堂馆所为评价内容。</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5</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40</w:t>
            </w: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w:t>
            </w:r>
            <w:r>
              <w:rPr>
                <w:rFonts w:hint="default" w:ascii="仿宋_GB2312" w:hAnsi="宋体" w:eastAsia="仿宋_GB2312" w:cs="宋体"/>
                <w:kern w:val="0"/>
                <w:sz w:val="20"/>
                <w:szCs w:val="20"/>
              </w:rPr>
              <w:t>111.54</w:t>
            </w:r>
            <w:r>
              <w:rPr>
                <w:rFonts w:hint="eastAsia" w:ascii="仿宋_GB2312" w:hAnsi="宋体" w:eastAsia="仿宋_GB2312" w:cs="宋体"/>
                <w:kern w:val="0"/>
                <w:sz w:val="20"/>
                <w:szCs w:val="20"/>
              </w:rPr>
              <w:t>/</w:t>
            </w:r>
            <w:r>
              <w:rPr>
                <w:rFonts w:hint="default" w:ascii="仿宋_GB2312" w:hAnsi="宋体" w:eastAsia="仿宋_GB2312" w:cs="宋体"/>
                <w:kern w:val="0"/>
                <w:sz w:val="20"/>
                <w:szCs w:val="20"/>
              </w:rPr>
              <w:t>111.54</w:t>
            </w:r>
            <w:r>
              <w:rPr>
                <w:rFonts w:hint="eastAsia" w:ascii="仿宋_GB2312" w:hAnsi="宋体" w:eastAsia="仿宋_GB2312" w:cs="宋体"/>
                <w:kern w:val="0"/>
                <w:sz w:val="20"/>
                <w:szCs w:val="20"/>
              </w:rPr>
              <w:t>）×100%</w:t>
            </w:r>
            <w:r>
              <w:rPr>
                <w:rFonts w:hint="default" w:ascii="仿宋_GB2312" w:hAnsi="宋体" w:eastAsia="仿宋_GB2312" w:cs="宋体"/>
                <w:kern w:val="0"/>
                <w:sz w:val="20"/>
                <w:szCs w:val="20"/>
              </w:rPr>
              <w:t>=100%</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公用经费支出是指部门基本支出中的一般商品和服务支出。</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8</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w:t>
            </w:r>
          </w:p>
        </w:tc>
        <w:tc>
          <w:tcPr>
            <w:tcW w:w="417" w:type="dxa"/>
            <w:tcBorders>
              <w:top w:val="nil"/>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7</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w:t>
            </w:r>
            <w:r>
              <w:rPr>
                <w:rFonts w:hint="eastAsia" w:ascii="仿宋_GB2312" w:hAnsi="宋体" w:eastAsia="仿宋_GB2312" w:cs="宋体"/>
                <w:kern w:val="0"/>
                <w:sz w:val="20"/>
                <w:szCs w:val="20"/>
                <w:lang w:val="en-US" w:eastAsia="zh-CN"/>
              </w:rPr>
              <w:t>=</w:t>
            </w:r>
            <w:r>
              <w:rPr>
                <w:rFonts w:hint="eastAsia" w:ascii="仿宋_GB2312" w:hAnsi="宋体" w:eastAsia="仿宋_GB2312" w:cs="宋体"/>
                <w:kern w:val="0"/>
                <w:sz w:val="20"/>
                <w:szCs w:val="20"/>
              </w:rPr>
              <w:t>（“三公经费”实际支出数/“三公经费”预算安排数）×100%。</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7</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政府采购执行率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100%计满分，每超过（降低）5%扣2分。扣完为止。</w:t>
            </w:r>
          </w:p>
        </w:tc>
        <w:tc>
          <w:tcPr>
            <w:tcW w:w="3502" w:type="dxa"/>
            <w:tcBorders>
              <w:top w:val="nil"/>
              <w:left w:val="nil"/>
              <w:bottom w:val="single" w:color="auto" w:sz="4" w:space="0"/>
              <w:right w:val="single" w:color="auto" w:sz="4" w:space="0"/>
            </w:tcBorders>
            <w:noWrap w:val="0"/>
            <w:vAlign w:val="center"/>
          </w:tcPr>
          <w:p>
            <w:pPr>
              <w:widowControl/>
              <w:jc w:val="left"/>
              <w:rPr>
                <w:rFonts w:hint="default" w:ascii="仿宋_GB2312" w:hAnsi="宋体" w:eastAsia="仿宋_GB2312" w:cs="宋体"/>
                <w:kern w:val="0"/>
                <w:sz w:val="20"/>
                <w:szCs w:val="20"/>
              </w:rPr>
            </w:pPr>
            <w:r>
              <w:rPr>
                <w:rFonts w:hint="eastAsia" w:ascii="仿宋_GB2312" w:hAnsi="宋体" w:eastAsia="仿宋_GB2312" w:cs="宋体"/>
                <w:kern w:val="0"/>
                <w:sz w:val="20"/>
                <w:szCs w:val="20"/>
              </w:rPr>
              <w:t>政府采购执行率=（</w:t>
            </w:r>
            <w:r>
              <w:rPr>
                <w:rFonts w:hint="default" w:ascii="仿宋_GB2312" w:hAnsi="宋体" w:eastAsia="仿宋_GB2312" w:cs="宋体"/>
                <w:kern w:val="0"/>
                <w:sz w:val="20"/>
                <w:szCs w:val="20"/>
              </w:rPr>
              <w:t>373.87</w:t>
            </w:r>
            <w:r>
              <w:rPr>
                <w:rFonts w:hint="eastAsia" w:ascii="仿宋_GB2312" w:hAnsi="宋体" w:eastAsia="仿宋_GB2312" w:cs="宋体"/>
                <w:kern w:val="0"/>
                <w:sz w:val="20"/>
                <w:szCs w:val="20"/>
              </w:rPr>
              <w:t>/</w:t>
            </w:r>
            <w:r>
              <w:rPr>
                <w:rFonts w:hint="default" w:ascii="仿宋_GB2312" w:hAnsi="宋体" w:eastAsia="仿宋_GB2312" w:cs="宋体"/>
                <w:kern w:val="0"/>
                <w:sz w:val="20"/>
                <w:szCs w:val="20"/>
              </w:rPr>
              <w:t>399.50</w:t>
            </w:r>
            <w:r>
              <w:rPr>
                <w:rFonts w:hint="eastAsia" w:ascii="仿宋_GB2312" w:hAnsi="宋体" w:eastAsia="仿宋_GB2312" w:cs="宋体"/>
                <w:kern w:val="0"/>
                <w:sz w:val="20"/>
                <w:szCs w:val="20"/>
              </w:rPr>
              <w:t>）×100%</w:t>
            </w:r>
            <w:r>
              <w:rPr>
                <w:rFonts w:hint="default" w:ascii="仿宋_GB2312" w:hAnsi="宋体" w:eastAsia="仿宋_GB2312" w:cs="宋体"/>
                <w:kern w:val="0"/>
                <w:sz w:val="20"/>
                <w:szCs w:val="20"/>
              </w:rPr>
              <w:t>=93.58%</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4</w:t>
            </w:r>
          </w:p>
        </w:tc>
      </w:tr>
      <w:tr>
        <w:tblPrEx>
          <w:tblCellMar>
            <w:top w:w="0" w:type="dxa"/>
            <w:left w:w="108" w:type="dxa"/>
            <w:bottom w:w="0" w:type="dxa"/>
            <w:right w:w="108" w:type="dxa"/>
          </w:tblCellMar>
        </w:tblPrEx>
        <w:trPr>
          <w:trHeight w:val="90" w:hRule="atLeast"/>
          <w:jc w:val="center"/>
        </w:trPr>
        <w:tc>
          <w:tcPr>
            <w:tcW w:w="519" w:type="dxa"/>
            <w:vMerge w:val="restart"/>
            <w:tcBorders>
              <w:top w:val="single" w:color="auto" w:sz="4" w:space="0"/>
              <w:left w:val="single" w:color="auto" w:sz="4" w:space="0"/>
              <w:bottom w:val="single" w:color="000000" w:sz="4" w:space="0"/>
              <w:right w:val="single" w:color="auto" w:sz="4" w:space="0"/>
            </w:tcBorders>
            <w:noWrap w:val="0"/>
            <w:vAlign w:val="center"/>
          </w:tcPr>
          <w:p>
            <w:pPr>
              <w:jc w:val="left"/>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1" w:type="dxa"/>
            <w:vMerge w:val="restart"/>
            <w:tcBorders>
              <w:top w:val="single" w:color="auto" w:sz="4" w:space="0"/>
              <w:left w:val="single" w:color="auto" w:sz="4" w:space="0"/>
              <w:bottom w:val="single" w:color="000000" w:sz="4" w:space="0"/>
              <w:right w:val="single" w:color="auto" w:sz="4" w:space="0"/>
            </w:tcBorders>
            <w:noWrap w:val="0"/>
            <w:vAlign w:val="center"/>
          </w:tcPr>
          <w:p>
            <w:pPr>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5" w:type="dxa"/>
            <w:vMerge w:val="restart"/>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管理制度健全性</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①有内部财务管理制度、会计核算制度等管理制度，2分；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②有本部门厉行节约制度,2分；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③相关管理制度合法、合规、完整，2分；④相关管理制度得到有效执行，2分。</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8</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资金使用合规性</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以上情况每出现一例不符合要求的扣1分，扣完为止。</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6</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预决算信息公开性</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预决算信息是指与部门预算、执行、决算、监督、绩效等管理相关的信息。</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5</w:t>
            </w:r>
          </w:p>
        </w:tc>
      </w:tr>
      <w:tr>
        <w:tblPrEx>
          <w:tblCellMar>
            <w:top w:w="0" w:type="dxa"/>
            <w:left w:w="108" w:type="dxa"/>
            <w:bottom w:w="0" w:type="dxa"/>
            <w:right w:w="108" w:type="dxa"/>
          </w:tblCellMar>
        </w:tblPrEx>
        <w:trPr>
          <w:trHeight w:val="90" w:hRule="atLeast"/>
          <w:jc w:val="center"/>
        </w:trPr>
        <w:tc>
          <w:tcPr>
            <w:tcW w:w="51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产出及效率</w:t>
            </w:r>
          </w:p>
        </w:tc>
        <w:tc>
          <w:tcPr>
            <w:tcW w:w="47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30</w:t>
            </w:r>
          </w:p>
        </w:tc>
        <w:tc>
          <w:tcPr>
            <w:tcW w:w="625"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职责履行</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1018" w:type="dxa"/>
            <w:tcBorders>
              <w:top w:val="nil"/>
              <w:left w:val="nil"/>
              <w:bottom w:val="nil"/>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重点工作实际完成率</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根据绩效办20</w:t>
            </w:r>
            <w:r>
              <w:rPr>
                <w:rFonts w:hint="eastAsia" w:ascii="仿宋_GB2312" w:hAnsi="宋体" w:eastAsia="仿宋_GB2312" w:cs="宋体"/>
                <w:kern w:val="0"/>
                <w:sz w:val="20"/>
                <w:szCs w:val="20"/>
                <w:lang w:val="en-US" w:eastAsia="zh-CN"/>
              </w:rPr>
              <w:t>22</w:t>
            </w:r>
            <w:r>
              <w:rPr>
                <w:rFonts w:hint="eastAsia" w:ascii="仿宋_GB2312" w:hAnsi="宋体" w:eastAsia="仿宋_GB2312" w:cs="宋体"/>
                <w:kern w:val="0"/>
                <w:sz w:val="20"/>
                <w:szCs w:val="20"/>
              </w:rPr>
              <w:t>年对各部门为民办实事和部门重点工程与重点工作考核分数折算。</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该项得分=（绩效办对应部分考核得分/</w:t>
            </w:r>
            <w:r>
              <w:rPr>
                <w:rFonts w:hint="eastAsia" w:ascii="仿宋_GB2312" w:hAnsi="宋体" w:eastAsia="仿宋_GB2312" w:cs="宋体"/>
                <w:kern w:val="0"/>
                <w:sz w:val="20"/>
                <w:szCs w:val="20"/>
                <w:lang w:eastAsia="zh-CN"/>
              </w:rPr>
              <w:t>该部分总分</w:t>
            </w:r>
            <w:r>
              <w:rPr>
                <w:rFonts w:hint="eastAsia" w:ascii="仿宋_GB2312" w:hAnsi="宋体" w:eastAsia="仿宋_GB2312" w:cs="宋体"/>
                <w:kern w:val="0"/>
                <w:sz w:val="20"/>
                <w:szCs w:val="20"/>
              </w:rPr>
              <w:t>）*8</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6</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履职 效益</w:t>
            </w:r>
          </w:p>
        </w:tc>
        <w:tc>
          <w:tcPr>
            <w:tcW w:w="41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101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经济效益</w:t>
            </w:r>
          </w:p>
        </w:tc>
        <w:tc>
          <w:tcPr>
            <w:tcW w:w="417" w:type="dxa"/>
            <w:vMerge w:val="restart"/>
            <w:tcBorders>
              <w:top w:val="nil"/>
              <w:left w:val="single" w:color="auto" w:sz="4" w:space="0"/>
              <w:bottom w:val="nil"/>
              <w:right w:val="single" w:color="auto" w:sz="4" w:space="0"/>
            </w:tcBorders>
            <w:noWrap w:val="0"/>
            <w:vAlign w:val="center"/>
          </w:tcPr>
          <w:p>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6529" w:type="dxa"/>
            <w:gridSpan w:val="2"/>
            <w:vMerge w:val="restart"/>
            <w:tcBorders>
              <w:top w:val="single" w:color="auto" w:sz="4" w:space="0"/>
              <w:left w:val="single" w:color="auto" w:sz="4" w:space="0"/>
              <w:bottom w:val="nil"/>
              <w:right w:val="single" w:color="000000"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此两项指标为设置部门整体支出绩效评价指标时必须考虑的共性要素，可根据部门实际情况有选择的进行设置，并将其细化为相应的个性化指标。</w:t>
            </w:r>
          </w:p>
        </w:tc>
        <w:tc>
          <w:tcPr>
            <w:tcW w:w="639" w:type="dxa"/>
            <w:vMerge w:val="restart"/>
            <w:tcBorders>
              <w:top w:val="nil"/>
              <w:left w:val="nil"/>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8</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社会效益</w:t>
            </w:r>
          </w:p>
        </w:tc>
        <w:tc>
          <w:tcPr>
            <w:tcW w:w="417" w:type="dxa"/>
            <w:vMerge w:val="continue"/>
            <w:tcBorders>
              <w:top w:val="nil"/>
              <w:left w:val="single" w:color="auto" w:sz="4" w:space="0"/>
              <w:bottom w:val="nil"/>
              <w:right w:val="single" w:color="auto" w:sz="4" w:space="0"/>
            </w:tcBorders>
            <w:noWrap w:val="0"/>
            <w:vAlign w:val="center"/>
          </w:tcPr>
          <w:p>
            <w:pPr>
              <w:widowControl/>
              <w:jc w:val="left"/>
              <w:rPr>
                <w:rFonts w:ascii="仿宋_GB2312" w:hAnsi="宋体" w:eastAsia="仿宋_GB2312" w:cs="宋体"/>
                <w:kern w:val="0"/>
                <w:sz w:val="20"/>
                <w:szCs w:val="20"/>
              </w:rPr>
            </w:pPr>
          </w:p>
        </w:tc>
        <w:tc>
          <w:tcPr>
            <w:tcW w:w="6529" w:type="dxa"/>
            <w:gridSpan w:val="2"/>
            <w:vMerge w:val="continue"/>
            <w:tcBorders>
              <w:top w:val="single" w:color="auto" w:sz="4" w:space="0"/>
              <w:left w:val="single" w:color="auto" w:sz="4" w:space="0"/>
              <w:bottom w:val="nil"/>
              <w:right w:val="single" w:color="000000" w:sz="4" w:space="0"/>
            </w:tcBorders>
            <w:noWrap w:val="0"/>
            <w:vAlign w:val="center"/>
          </w:tcPr>
          <w:p>
            <w:pPr>
              <w:widowControl/>
              <w:jc w:val="left"/>
              <w:rPr>
                <w:rFonts w:ascii="仿宋_GB2312" w:hAnsi="宋体" w:eastAsia="仿宋_GB2312" w:cs="宋体"/>
                <w:kern w:val="0"/>
                <w:sz w:val="20"/>
                <w:szCs w:val="20"/>
              </w:rPr>
            </w:pPr>
          </w:p>
        </w:tc>
        <w:tc>
          <w:tcPr>
            <w:tcW w:w="639" w:type="dxa"/>
            <w:vMerge w:val="continue"/>
            <w:tcBorders>
              <w:left w:val="nil"/>
              <w:bottom w:val="nil"/>
              <w:right w:val="single" w:color="auto" w:sz="4" w:space="0"/>
            </w:tcBorders>
            <w:noWrap w:val="0"/>
            <w:vAlign w:val="center"/>
          </w:tcPr>
          <w:p>
            <w:pPr>
              <w:widowControl/>
              <w:jc w:val="left"/>
              <w:rPr>
                <w:rFonts w:hint="default" w:ascii="宋体" w:hAnsi="宋体" w:cs="宋体"/>
                <w:kern w:val="0"/>
                <w:sz w:val="24"/>
                <w:lang w:val="en-US"/>
              </w:rPr>
            </w:pP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12</w:t>
            </w: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行政效能</w:t>
            </w:r>
          </w:p>
        </w:tc>
        <w:tc>
          <w:tcPr>
            <w:tcW w:w="417"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27"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促进部门改进文风会风，加强经费及资产管理，推动网上办事，提高行政效率，降低行政成本效果较好的计6分；一般3分；无效果或者效果不明显0分。</w:t>
            </w:r>
          </w:p>
        </w:tc>
        <w:tc>
          <w:tcPr>
            <w:tcW w:w="3502" w:type="dxa"/>
            <w:tcBorders>
              <w:top w:val="single" w:color="auto" w:sz="4" w:space="0"/>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根据部门自评材料评定。</w:t>
            </w:r>
          </w:p>
        </w:tc>
        <w:tc>
          <w:tcPr>
            <w:tcW w:w="639" w:type="dxa"/>
            <w:tcBorders>
              <w:top w:val="single" w:color="auto" w:sz="4" w:space="0"/>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6</w:t>
            </w:r>
          </w:p>
        </w:tc>
      </w:tr>
      <w:tr>
        <w:tblPrEx>
          <w:tblCellMar>
            <w:top w:w="0" w:type="dxa"/>
            <w:left w:w="108" w:type="dxa"/>
            <w:bottom w:w="0" w:type="dxa"/>
            <w:right w:w="108" w:type="dxa"/>
          </w:tblCellMar>
        </w:tblPrEx>
        <w:trPr>
          <w:trHeight w:val="90" w:hRule="atLeast"/>
          <w:jc w:val="center"/>
        </w:trPr>
        <w:tc>
          <w:tcPr>
            <w:tcW w:w="51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7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625"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41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kern w:val="0"/>
                <w:sz w:val="20"/>
                <w:szCs w:val="20"/>
              </w:rPr>
            </w:pPr>
          </w:p>
        </w:tc>
        <w:tc>
          <w:tcPr>
            <w:tcW w:w="1018"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社会公众或服务对象满意度</w:t>
            </w:r>
          </w:p>
        </w:tc>
        <w:tc>
          <w:tcPr>
            <w:tcW w:w="417" w:type="dxa"/>
            <w:tcBorders>
              <w:top w:val="nil"/>
              <w:left w:val="nil"/>
              <w:bottom w:val="single" w:color="auto" w:sz="4" w:space="0"/>
              <w:right w:val="single" w:color="auto" w:sz="4" w:space="0"/>
            </w:tcBorders>
            <w:noWrap w:val="0"/>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27"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90%（含）以上计6分；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80%（含）-90%，计4分；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70%（含）-80%，计2分；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低于70%计0分。</w:t>
            </w:r>
          </w:p>
        </w:tc>
        <w:tc>
          <w:tcPr>
            <w:tcW w:w="3502"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社会公众或服务对象是指部门（单位）履行职责而影响到的部门、群体或个人，一般采取社会调查的方式。</w:t>
            </w:r>
          </w:p>
        </w:tc>
        <w:tc>
          <w:tcPr>
            <w:tcW w:w="639" w:type="dxa"/>
            <w:tcBorders>
              <w:top w:val="nil"/>
              <w:left w:val="nil"/>
              <w:bottom w:val="single" w:color="auto" w:sz="4" w:space="0"/>
              <w:right w:val="single" w:color="auto" w:sz="4" w:space="0"/>
            </w:tcBorders>
            <w:noWrap w:val="0"/>
            <w:vAlign w:val="center"/>
          </w:tcPr>
          <w:p>
            <w:pPr>
              <w:widowControl/>
              <w:jc w:val="left"/>
              <w:rPr>
                <w:rFonts w:hint="default" w:ascii="宋体" w:hAnsi="宋体" w:cs="宋体"/>
                <w:kern w:val="0"/>
                <w:sz w:val="24"/>
              </w:rPr>
            </w:pPr>
            <w:r>
              <w:rPr>
                <w:rFonts w:hint="default" w:ascii="宋体" w:hAnsi="宋体" w:cs="宋体"/>
                <w:kern w:val="0"/>
                <w:sz w:val="24"/>
              </w:rPr>
              <w:t>6</w:t>
            </w:r>
          </w:p>
        </w:tc>
      </w:tr>
    </w:tbl>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spacing w:after="120" w:afterLines="50" w:line="600" w:lineRule="exact"/>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pPr>
        <w:spacing w:after="120" w:afterLines="50" w:line="600" w:lineRule="exact"/>
        <w:jc w:val="center"/>
        <w:rPr>
          <w:rFonts w:ascii="Times New Roman" w:hAnsi="Times New Roman" w:eastAsia="仿宋_GB2312" w:cs="Times New Roman"/>
          <w:sz w:val="24"/>
        </w:rPr>
      </w:pPr>
      <w:r>
        <w:rPr>
          <w:rFonts w:ascii="Times New Roman" w:hAnsi="Times New Roman" w:eastAsia="方正小标宋_GBK" w:cs="Times New Roman"/>
          <w:sz w:val="36"/>
          <w:szCs w:val="36"/>
        </w:rPr>
        <w:t>部门整体支出绩效评价基础数据表</w:t>
      </w:r>
    </w:p>
    <w:tbl>
      <w:tblPr>
        <w:tblStyle w:val="4"/>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2</w:t>
            </w:r>
            <w:r>
              <w:rPr>
                <w:rFonts w:ascii="Times New Roman" w:hAnsi="Times New Roman" w:eastAsia="仿宋_GB2312" w:cs="Times New Roman"/>
                <w:b/>
                <w:bCs/>
                <w:sz w:val="20"/>
                <w:szCs w:val="20"/>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控制率</w:t>
            </w:r>
          </w:p>
        </w:tc>
      </w:tr>
      <w:tr>
        <w:tblPrEx>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66</w:t>
            </w:r>
          </w:p>
        </w:tc>
        <w:tc>
          <w:tcPr>
            <w:tcW w:w="224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58</w:t>
            </w:r>
          </w:p>
        </w:tc>
        <w:tc>
          <w:tcPr>
            <w:tcW w:w="2041"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87.88%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1</w:t>
            </w:r>
            <w:r>
              <w:rPr>
                <w:rFonts w:ascii="Times New Roman" w:hAnsi="Times New Roman" w:eastAsia="仿宋_GB2312" w:cs="Times New Roman"/>
                <w:b/>
                <w:bCs/>
                <w:sz w:val="20"/>
                <w:szCs w:val="20"/>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2</w:t>
            </w:r>
            <w:r>
              <w:rPr>
                <w:rFonts w:ascii="Times New Roman" w:hAnsi="Times New Roman" w:eastAsia="仿宋_GB2312" w:cs="Times New Roman"/>
                <w:b/>
                <w:bCs/>
                <w:sz w:val="20"/>
                <w:szCs w:val="20"/>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2</w:t>
            </w:r>
            <w:r>
              <w:rPr>
                <w:rFonts w:ascii="Times New Roman" w:hAnsi="Times New Roman" w:eastAsia="仿宋_GB2312" w:cs="Times New Roman"/>
                <w:b/>
                <w:bCs/>
                <w:sz w:val="20"/>
                <w:szCs w:val="20"/>
              </w:rPr>
              <w:t>年决算数</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6.42</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5.36</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3.04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5.96</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4.36</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3.04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3.04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5.96</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4.36</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0.46</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1</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585.29</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469.35</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eastAsia="仿宋_GB2312" w:cs="Times New Roman"/>
                <w:sz w:val="20"/>
                <w:szCs w:val="20"/>
              </w:rPr>
              <w:t>白蚁防治专项经费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163.20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120.44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eastAsia="仿宋_GB2312" w:cs="Times New Roman"/>
                <w:sz w:val="20"/>
                <w:szCs w:val="20"/>
              </w:rPr>
            </w:pPr>
            <w:r>
              <w:rPr>
                <w:rFonts w:eastAsia="仿宋_GB2312" w:cs="Times New Roman"/>
                <w:sz w:val="20"/>
                <w:szCs w:val="20"/>
              </w:rPr>
              <w:t>公房维修专项经费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eastAsia="仿宋_GB2312" w:cs="Times New Roman"/>
                <w:sz w:val="20"/>
                <w:szCs w:val="20"/>
              </w:rPr>
            </w:pPr>
            <w:r>
              <w:rPr>
                <w:rFonts w:hint="default" w:eastAsia="仿宋_GB2312" w:cs="Times New Roman"/>
                <w:sz w:val="20"/>
                <w:szCs w:val="20"/>
              </w:rPr>
              <w:t>66.30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eastAsia="仿宋_GB2312" w:cs="Times New Roman"/>
                <w:sz w:val="20"/>
                <w:szCs w:val="20"/>
              </w:rPr>
            </w:pPr>
            <w:r>
              <w:rPr>
                <w:rFonts w:hint="default" w:eastAsia="仿宋_GB2312" w:cs="Times New Roman"/>
                <w:sz w:val="20"/>
                <w:szCs w:val="20"/>
              </w:rPr>
              <w:t>15.68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eastAsia="仿宋_GB2312" w:cs="Times New Roman"/>
                <w:sz w:val="20"/>
                <w:szCs w:val="20"/>
              </w:rPr>
            </w:pPr>
            <w:r>
              <w:rPr>
                <w:rFonts w:eastAsia="仿宋_GB2312" w:cs="Times New Roman"/>
                <w:sz w:val="20"/>
                <w:szCs w:val="20"/>
              </w:rPr>
              <w:t>物业维修资金专项工作经费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eastAsia="仿宋_GB2312" w:cs="Times New Roman"/>
                <w:sz w:val="20"/>
                <w:szCs w:val="20"/>
              </w:rPr>
            </w:pPr>
            <w:r>
              <w:rPr>
                <w:rFonts w:hint="default" w:eastAsia="仿宋_GB2312" w:cs="Times New Roman"/>
                <w:sz w:val="20"/>
                <w:szCs w:val="20"/>
              </w:rPr>
              <w:t>50.00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eastAsia="仿宋_GB2312" w:cs="Times New Roman"/>
                <w:sz w:val="20"/>
                <w:szCs w:val="20"/>
              </w:rPr>
            </w:pPr>
            <w:r>
              <w:rPr>
                <w:rFonts w:hint="default" w:eastAsia="仿宋_GB2312" w:cs="Times New Roman"/>
                <w:sz w:val="20"/>
                <w:szCs w:val="20"/>
              </w:rPr>
              <w:t>44.25</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eastAsia="仿宋_GB2312" w:cs="Times New Roman"/>
                <w:sz w:val="20"/>
                <w:szCs w:val="20"/>
              </w:rPr>
            </w:pPr>
            <w:r>
              <w:rPr>
                <w:rFonts w:eastAsia="仿宋_GB2312" w:cs="Times New Roman"/>
                <w:sz w:val="20"/>
                <w:szCs w:val="20"/>
              </w:rPr>
              <w:t>公租房后续管理专项经费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eastAsia="仿宋_GB2312" w:cs="Times New Roman"/>
                <w:sz w:val="20"/>
                <w:szCs w:val="20"/>
              </w:rPr>
            </w:pPr>
            <w:r>
              <w:rPr>
                <w:rFonts w:hint="default" w:eastAsia="仿宋_GB2312" w:cs="Times New Roman"/>
                <w:sz w:val="20"/>
                <w:szCs w:val="20"/>
              </w:rPr>
              <w:t>305.79</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eastAsia="仿宋_GB2312" w:cs="Times New Roman"/>
                <w:sz w:val="20"/>
                <w:szCs w:val="20"/>
              </w:rPr>
            </w:pPr>
            <w:r>
              <w:rPr>
                <w:rFonts w:hint="default" w:eastAsia="仿宋_GB2312" w:cs="Times New Roman"/>
                <w:sz w:val="20"/>
                <w:szCs w:val="20"/>
              </w:rPr>
              <w:t>288.98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111.54</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111.54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FF0000"/>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6</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3.64</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FF0000"/>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16</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20.19</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color w:val="FF0000"/>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2</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399.50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373.87</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0</w:t>
            </w:r>
          </w:p>
        </w:tc>
        <w:tc>
          <w:tcPr>
            <w:tcW w:w="2041"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color w:val="auto"/>
                <w:sz w:val="20"/>
                <w:szCs w:val="20"/>
              </w:rPr>
            </w:pPr>
            <w:r>
              <w:rPr>
                <w:rFonts w:hint="default" w:eastAsia="仿宋_GB2312" w:cs="Times New Roman"/>
                <w:color w:val="auto"/>
                <w:sz w:val="20"/>
                <w:szCs w:val="20"/>
              </w:rPr>
              <w:t>0</w:t>
            </w:r>
          </w:p>
        </w:tc>
      </w:tr>
      <w:tr>
        <w:tblPrEx>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楼堂馆所控制情况</w:t>
            </w:r>
            <w:r>
              <w:rPr>
                <w:rFonts w:ascii="Times New Roman" w:hAnsi="Times New Roman" w:eastAsia="仿宋_GB2312" w:cs="Times New Roman"/>
                <w:sz w:val="20"/>
                <w:szCs w:val="20"/>
              </w:rPr>
              <w:br w:type="textWrapping"/>
            </w:r>
            <w:r>
              <w:rPr>
                <w:rFonts w:ascii="Times New Roman" w:hAnsi="Times New Roman" w:eastAsia="仿宋_GB2312" w:cs="Times New Roman"/>
                <w:sz w:val="20"/>
                <w:szCs w:val="20"/>
              </w:rPr>
              <w:t>（202</w:t>
            </w:r>
            <w:r>
              <w:rPr>
                <w:rFonts w:hint="eastAsia" w:ascii="Times New Roman" w:hAnsi="Times New Roman" w:eastAsia="仿宋_GB2312" w:cs="Times New Roman"/>
                <w:sz w:val="20"/>
                <w:szCs w:val="20"/>
                <w:lang w:val="en-US" w:eastAsia="zh-CN"/>
              </w:rPr>
              <w:t>2</w:t>
            </w:r>
            <w:r>
              <w:rPr>
                <w:rFonts w:ascii="Times New Roman" w:hAnsi="Times New Roman" w:eastAsia="仿宋_GB2312" w:cs="Times New Roman"/>
                <w:sz w:val="20"/>
                <w:szCs w:val="20"/>
              </w:rPr>
              <w:t>年完工项目）</w:t>
            </w:r>
          </w:p>
        </w:tc>
        <w:tc>
          <w:tcPr>
            <w:tcW w:w="1189"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批复规模</w:t>
            </w:r>
            <w:r>
              <w:rPr>
                <w:rFonts w:ascii="Times New Roman" w:hAnsi="Times New Roman" w:eastAsia="仿宋_GB2312" w:cs="Times New Roman"/>
                <w:bCs/>
                <w:sz w:val="20"/>
                <w:szCs w:val="20"/>
              </w:rPr>
              <w:br w:type="textWrapping"/>
            </w:r>
            <w:r>
              <w:rPr>
                <w:rFonts w:ascii="Times New Roman" w:hAnsi="Times New Roman" w:eastAsia="仿宋_GB2312" w:cs="Times New Roman"/>
                <w:bCs/>
                <w:sz w:val="20"/>
                <w:szCs w:val="20"/>
              </w:rPr>
              <w:t>（</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849"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实际规模（</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1129"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规模控制率</w:t>
            </w:r>
          </w:p>
        </w:tc>
        <w:tc>
          <w:tcPr>
            <w:tcW w:w="1111"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预算投资（万元）</w:t>
            </w:r>
          </w:p>
        </w:tc>
        <w:tc>
          <w:tcPr>
            <w:tcW w:w="1081"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实际投资（万元）</w:t>
            </w:r>
          </w:p>
        </w:tc>
        <w:tc>
          <w:tcPr>
            <w:tcW w:w="960" w:type="dxa"/>
            <w:tcBorders>
              <w:top w:val="nil"/>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投资概算控制率</w:t>
            </w:r>
          </w:p>
        </w:tc>
      </w:tr>
      <w:tr>
        <w:tblPrEx>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p>
        </w:tc>
        <w:tc>
          <w:tcPr>
            <w:tcW w:w="118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849" w:type="dxa"/>
            <w:tcBorders>
              <w:top w:val="nil"/>
              <w:left w:val="nil"/>
              <w:bottom w:val="single" w:color="auto" w:sz="4" w:space="0"/>
              <w:right w:val="single" w:color="auto" w:sz="4" w:space="0"/>
            </w:tcBorders>
            <w:noWrap w:val="0"/>
            <w:vAlign w:val="center"/>
          </w:tcPr>
          <w:p>
            <w:pPr>
              <w:widowControl/>
              <w:ind w:firstLine="300" w:firstLineChars="150"/>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112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100%</w:t>
            </w:r>
          </w:p>
        </w:tc>
        <w:tc>
          <w:tcPr>
            <w:tcW w:w="1111"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1081"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0</w:t>
            </w:r>
          </w:p>
        </w:tc>
        <w:tc>
          <w:tcPr>
            <w:tcW w:w="960"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0"/>
                <w:szCs w:val="20"/>
              </w:rPr>
            </w:pPr>
            <w:r>
              <w:rPr>
                <w:rFonts w:hint="default" w:eastAsia="仿宋_GB2312" w:cs="Times New Roman"/>
                <w:sz w:val="20"/>
                <w:szCs w:val="20"/>
              </w:rPr>
              <w:t>100%</w:t>
            </w:r>
          </w:p>
        </w:tc>
      </w:tr>
      <w:tr>
        <w:tblPrEx>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仿宋_GB2312" w:cs="Times New Roman"/>
                <w:sz w:val="20"/>
                <w:szCs w:val="20"/>
              </w:rPr>
            </w:pPr>
            <w:r>
              <w:rPr>
                <w:rFonts w:hint="default" w:ascii="Times New Roman" w:hAnsi="Times New Roman" w:eastAsia="仿宋_GB2312" w:cs="Times New Roman"/>
                <w:sz w:val="20"/>
                <w:szCs w:val="20"/>
              </w:rPr>
              <w:t>严格执行上级相关要求，树立过紧日子思想，减少不必要的开支</w:t>
            </w:r>
          </w:p>
        </w:tc>
      </w:tr>
    </w:tbl>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tabs>
          <w:tab w:val="left" w:pos="673"/>
        </w:tabs>
        <w:spacing w:line="240" w:lineRule="auto"/>
        <w:ind w:firstLine="0" w:firstLineChars="0"/>
        <w:jc w:val="left"/>
        <w:rPr>
          <w:rFonts w:hint="default"/>
          <w:lang w:eastAsia="zh-CN"/>
        </w:rPr>
      </w:pPr>
    </w:p>
    <w:p>
      <w:pPr>
        <w:widowControl/>
        <w:spacing w:after="120" w:afterLines="50"/>
        <w:jc w:val="left"/>
        <w:rPr>
          <w:rFonts w:hint="eastAsia" w:ascii="Times New Roman" w:hAnsi="Times New Roman" w:eastAsia="黑体" w:cs="Times New Roman"/>
          <w:sz w:val="32"/>
          <w:szCs w:val="32"/>
          <w:lang w:val="en-US"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pPr>
        <w:widowControl/>
        <w:spacing w:after="120" w:afterLines="50"/>
        <w:jc w:val="center"/>
        <w:rPr>
          <w:rFonts w:ascii="Times New Roman" w:hAnsi="Times New Roman" w:eastAsia="方正小标宋_GBK" w:cs="Times New Roman"/>
          <w:color w:val="000000"/>
          <w:sz w:val="36"/>
          <w:szCs w:val="36"/>
        </w:rPr>
      </w:pPr>
      <w:r>
        <w:rPr>
          <w:rFonts w:ascii="Times New Roman" w:hAnsi="Times New Roman" w:eastAsia="方正小标宋_GBK" w:cs="Times New Roman"/>
          <w:color w:val="000000"/>
          <w:sz w:val="36"/>
          <w:szCs w:val="36"/>
        </w:rPr>
        <w:t>部门整体支出绩效自评表</w:t>
      </w:r>
    </w:p>
    <w:tbl>
      <w:tblPr>
        <w:tblStyle w:val="4"/>
        <w:tblW w:w="10079" w:type="dxa"/>
        <w:jc w:val="center"/>
        <w:tblLayout w:type="autofit"/>
        <w:tblCellMar>
          <w:top w:w="0" w:type="dxa"/>
          <w:left w:w="108" w:type="dxa"/>
          <w:bottom w:w="0" w:type="dxa"/>
          <w:right w:w="108" w:type="dxa"/>
        </w:tblCellMar>
      </w:tblPr>
      <w:tblGrid>
        <w:gridCol w:w="1080"/>
        <w:gridCol w:w="1080"/>
        <w:gridCol w:w="953"/>
        <w:gridCol w:w="1256"/>
        <w:gridCol w:w="95"/>
        <w:gridCol w:w="1311"/>
        <w:gridCol w:w="1269"/>
        <w:gridCol w:w="716"/>
        <w:gridCol w:w="881"/>
        <w:gridCol w:w="143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市直</w:t>
            </w:r>
            <w:r>
              <w:rPr>
                <w:rFonts w:ascii="Times New Roman" w:hAnsi="Times New Roman" w:eastAsia="仿宋_GB2312" w:cs="Times New Roman"/>
                <w:color w:val="000000"/>
                <w:sz w:val="20"/>
                <w:szCs w:val="20"/>
              </w:rPr>
              <w:t>预算部门名称</w:t>
            </w:r>
          </w:p>
        </w:tc>
        <w:tc>
          <w:tcPr>
            <w:tcW w:w="8999"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怀化市住房保障服务中心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年度预</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算申请</w:t>
            </w:r>
            <w:r>
              <w:rPr>
                <w:rFonts w:ascii="Times New Roman" w:hAnsi="Times New Roman" w:eastAsia="仿宋_GB2312" w:cs="Times New Roman"/>
                <w:color w:val="000000"/>
                <w:sz w:val="20"/>
                <w:szCs w:val="20"/>
              </w:rPr>
              <w:br w:type="textWrapping"/>
            </w:r>
            <w:r>
              <w:rPr>
                <w:rFonts w:ascii="Times New Roman" w:hAnsi="Times New Roman" w:eastAsia="仿宋_GB2312" w:cs="Times New Roman"/>
                <w:color w:val="000000"/>
                <w:sz w:val="20"/>
                <w:szCs w:val="20"/>
              </w:rPr>
              <w:t>（万元）</w:t>
            </w:r>
          </w:p>
        </w:tc>
        <w:tc>
          <w:tcPr>
            <w:tcW w:w="2033" w:type="dxa"/>
            <w:gridSpan w:val="2"/>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p>
        </w:tc>
        <w:tc>
          <w:tcPr>
            <w:tcW w:w="1256" w:type="dxa"/>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年初预算数</w:t>
            </w:r>
          </w:p>
        </w:tc>
        <w:tc>
          <w:tcPr>
            <w:tcW w:w="1406" w:type="dxa"/>
            <w:gridSpan w:val="2"/>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全年预算数</w:t>
            </w:r>
          </w:p>
        </w:tc>
        <w:tc>
          <w:tcPr>
            <w:tcW w:w="1269" w:type="dxa"/>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全年执行数</w:t>
            </w:r>
          </w:p>
        </w:tc>
        <w:tc>
          <w:tcPr>
            <w:tcW w:w="716" w:type="dxa"/>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分值</w:t>
            </w:r>
          </w:p>
        </w:tc>
        <w:tc>
          <w:tcPr>
            <w:tcW w:w="881" w:type="dxa"/>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执行率</w:t>
            </w:r>
          </w:p>
        </w:tc>
        <w:tc>
          <w:tcPr>
            <w:tcW w:w="1438" w:type="dxa"/>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p>
        </w:tc>
        <w:tc>
          <w:tcPr>
            <w:tcW w:w="2033" w:type="dxa"/>
            <w:gridSpan w:val="2"/>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color w:val="000000"/>
                <w:sz w:val="20"/>
                <w:szCs w:val="20"/>
              </w:rPr>
              <w:t>年度资金总额</w:t>
            </w:r>
          </w:p>
        </w:tc>
        <w:tc>
          <w:tcPr>
            <w:tcW w:w="1256" w:type="dxa"/>
            <w:tcBorders>
              <w:top w:val="nil"/>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仿宋_GB2312" w:cs="Times New Roman"/>
                <w:sz w:val="20"/>
                <w:szCs w:val="20"/>
              </w:rPr>
            </w:pPr>
            <w:r>
              <w:rPr>
                <w:rFonts w:hint="default" w:eastAsia="仿宋_GB2312" w:cs="Times New Roman"/>
                <w:sz w:val="20"/>
                <w:szCs w:val="20"/>
              </w:rPr>
              <w:t>1123.29</w:t>
            </w:r>
          </w:p>
        </w:tc>
        <w:tc>
          <w:tcPr>
            <w:tcW w:w="1406" w:type="dxa"/>
            <w:gridSpan w:val="2"/>
            <w:tcBorders>
              <w:top w:val="nil"/>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仿宋_GB2312" w:cs="Times New Roman"/>
                <w:sz w:val="20"/>
                <w:szCs w:val="20"/>
              </w:rPr>
            </w:pPr>
            <w:r>
              <w:rPr>
                <w:rFonts w:hint="default" w:eastAsia="仿宋_GB2312" w:cs="Times New Roman"/>
                <w:sz w:val="20"/>
                <w:szCs w:val="20"/>
              </w:rPr>
              <w:t>1604.49</w:t>
            </w:r>
          </w:p>
        </w:tc>
        <w:tc>
          <w:tcPr>
            <w:tcW w:w="1269" w:type="dxa"/>
            <w:tcBorders>
              <w:top w:val="nil"/>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仿宋_GB2312" w:cs="Times New Roman"/>
                <w:sz w:val="20"/>
                <w:szCs w:val="20"/>
              </w:rPr>
            </w:pPr>
            <w:r>
              <w:rPr>
                <w:rFonts w:hint="default" w:eastAsia="仿宋_GB2312" w:cs="Times New Roman"/>
                <w:sz w:val="20"/>
                <w:szCs w:val="20"/>
              </w:rPr>
              <w:t>1604.49</w:t>
            </w:r>
          </w:p>
        </w:tc>
        <w:tc>
          <w:tcPr>
            <w:tcW w:w="716" w:type="dxa"/>
            <w:tcBorders>
              <w:top w:val="nil"/>
              <w:left w:val="nil"/>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w:t>
            </w:r>
          </w:p>
        </w:tc>
        <w:tc>
          <w:tcPr>
            <w:tcW w:w="881" w:type="dxa"/>
            <w:tcBorders>
              <w:top w:val="nil"/>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仿宋_GB2312" w:cs="Times New Roman"/>
                <w:sz w:val="20"/>
                <w:szCs w:val="20"/>
              </w:rPr>
            </w:pPr>
            <w:r>
              <w:rPr>
                <w:rFonts w:hint="default" w:eastAsia="仿宋_GB2312" w:cs="Times New Roman"/>
                <w:sz w:val="20"/>
                <w:szCs w:val="20"/>
              </w:rPr>
              <w:t>100%</w:t>
            </w:r>
          </w:p>
        </w:tc>
        <w:tc>
          <w:tcPr>
            <w:tcW w:w="1438" w:type="dxa"/>
            <w:tcBorders>
              <w:top w:val="nil"/>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仿宋_GB2312" w:cs="Times New Roman"/>
                <w:sz w:val="20"/>
                <w:szCs w:val="20"/>
              </w:rPr>
            </w:pPr>
            <w:r>
              <w:rPr>
                <w:rFonts w:hint="default" w:eastAsia="仿宋_GB2312" w:cs="Times New Roman"/>
                <w:sz w:val="20"/>
                <w:szCs w:val="20"/>
              </w:rPr>
              <w:t>10</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按收入性质分：</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按支出性质分：</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xml:space="preserve">  其中：  一般公共预算：</w:t>
            </w:r>
            <w:r>
              <w:rPr>
                <w:rFonts w:hint="default" w:eastAsia="仿宋_GB2312" w:cs="Times New Roman"/>
                <w:color w:val="000000"/>
                <w:sz w:val="20"/>
                <w:szCs w:val="20"/>
              </w:rPr>
              <w:t>155.04</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其中：基本支出：</w:t>
            </w:r>
            <w:r>
              <w:rPr>
                <w:rFonts w:hint="default" w:eastAsia="仿宋_GB2312" w:cs="Times New Roman"/>
                <w:color w:val="000000"/>
                <w:sz w:val="20"/>
                <w:szCs w:val="20"/>
              </w:rPr>
              <w:t>874.18</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ind w:firstLine="800" w:firstLineChars="4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政府性基金拨款：</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ind w:firstLine="600" w:firstLineChars="300"/>
              <w:jc w:val="left"/>
              <w:rPr>
                <w:rFonts w:hint="default"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项目支出：</w:t>
            </w:r>
            <w:r>
              <w:rPr>
                <w:rFonts w:hint="default" w:eastAsia="仿宋_GB2312" w:cs="Times New Roman"/>
                <w:color w:val="000000"/>
                <w:sz w:val="20"/>
                <w:szCs w:val="20"/>
              </w:rPr>
              <w:t>730.31</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纳入专户管理的非税收入拨款：</w:t>
            </w:r>
            <w:r>
              <w:rPr>
                <w:rFonts w:hint="default" w:eastAsia="仿宋_GB2312" w:cs="Times New Roman"/>
                <w:color w:val="000000"/>
                <w:sz w:val="20"/>
                <w:szCs w:val="20"/>
              </w:rPr>
              <w:t>25.89</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pPr>
              <w:widowControl/>
              <w:spacing w:line="240" w:lineRule="exact"/>
              <w:ind w:firstLine="1400" w:firstLineChars="700"/>
              <w:jc w:val="left"/>
              <w:rPr>
                <w:rFonts w:hint="default"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其他资金：</w:t>
            </w:r>
            <w:r>
              <w:rPr>
                <w:rFonts w:hint="default" w:eastAsia="仿宋_GB2312" w:cs="Times New Roman"/>
                <w:color w:val="000000"/>
                <w:sz w:val="20"/>
                <w:szCs w:val="20"/>
              </w:rPr>
              <w:t>28.21</w:t>
            </w:r>
          </w:p>
        </w:tc>
        <w:tc>
          <w:tcPr>
            <w:tcW w:w="4304" w:type="dxa"/>
            <w:gridSpan w:val="4"/>
            <w:tcBorders>
              <w:top w:val="nil"/>
              <w:left w:val="nil"/>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年度总体目标</w:t>
            </w:r>
          </w:p>
        </w:tc>
        <w:tc>
          <w:tcPr>
            <w:tcW w:w="4695"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实际完成情况</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single" w:color="auto" w:sz="4" w:space="0"/>
              <w:left w:val="nil"/>
              <w:bottom w:val="single" w:color="auto" w:sz="4" w:space="0"/>
              <w:right w:val="single" w:color="000000" w:sz="4" w:space="0"/>
            </w:tcBorders>
            <w:noWrap w:val="0"/>
            <w:vAlign w:val="center"/>
          </w:tcPr>
          <w:p>
            <w:pPr>
              <w:widowControl/>
              <w:spacing w:line="240" w:lineRule="exact"/>
              <w:jc w:val="both"/>
              <w:rPr>
                <w:rFonts w:hint="eastAsia" w:ascii="Times New Roman" w:hAnsi="Times New Roman" w:eastAsia="仿宋_GB2312" w:cs="Times New Roman"/>
                <w:color w:val="000000"/>
                <w:sz w:val="20"/>
                <w:szCs w:val="20"/>
              </w:rPr>
            </w:pPr>
            <w:r>
              <w:rPr>
                <w:rFonts w:hint="default" w:eastAsia="仿宋_GB2312" w:cs="Times New Roman"/>
                <w:color w:val="000000"/>
                <w:sz w:val="20"/>
                <w:szCs w:val="20"/>
              </w:rPr>
              <w:t>1.</w:t>
            </w:r>
            <w:r>
              <w:rPr>
                <w:rFonts w:hint="eastAsia" w:ascii="Times New Roman" w:hAnsi="Times New Roman" w:eastAsia="仿宋_GB2312" w:cs="Times New Roman"/>
                <w:color w:val="000000"/>
                <w:sz w:val="20"/>
                <w:szCs w:val="20"/>
              </w:rPr>
              <w:t>做好物业专项维修资金管理服务工作</w:t>
            </w:r>
            <w:r>
              <w:rPr>
                <w:rFonts w:hint="default" w:eastAsia="仿宋_GB2312" w:cs="Times New Roman"/>
                <w:color w:val="000000"/>
                <w:sz w:val="20"/>
                <w:szCs w:val="20"/>
              </w:rPr>
              <w:t>，尤其是物业专项维修资金追缴工作</w:t>
            </w:r>
            <w:r>
              <w:rPr>
                <w:rFonts w:hint="eastAsia" w:ascii="Times New Roman" w:hAnsi="Times New Roman" w:eastAsia="仿宋_GB2312" w:cs="Times New Roman"/>
                <w:color w:val="000000"/>
                <w:sz w:val="20"/>
                <w:szCs w:val="20"/>
              </w:rPr>
              <w:t>。</w:t>
            </w:r>
          </w:p>
          <w:p>
            <w:pPr>
              <w:widowControl/>
              <w:spacing w:line="240" w:lineRule="exact"/>
              <w:jc w:val="both"/>
              <w:rPr>
                <w:rFonts w:hint="default" w:eastAsia="仿宋_GB2312" w:cs="Times New Roman"/>
                <w:color w:val="000000"/>
                <w:sz w:val="20"/>
                <w:szCs w:val="20"/>
              </w:rPr>
            </w:pPr>
            <w:r>
              <w:rPr>
                <w:rFonts w:hint="default" w:eastAsia="仿宋_GB2312" w:cs="Times New Roman"/>
                <w:color w:val="000000"/>
                <w:sz w:val="20"/>
                <w:szCs w:val="20"/>
              </w:rPr>
              <w:t>2.</w:t>
            </w:r>
            <w:r>
              <w:rPr>
                <w:rFonts w:hint="eastAsia" w:ascii="Times New Roman" w:hAnsi="Times New Roman" w:eastAsia="仿宋_GB2312" w:cs="Times New Roman"/>
                <w:color w:val="000000"/>
                <w:sz w:val="20"/>
                <w:szCs w:val="20"/>
              </w:rPr>
              <w:t>抓好房屋租赁和公租房管理后续服务工作</w:t>
            </w:r>
            <w:r>
              <w:rPr>
                <w:rFonts w:hint="default" w:eastAsia="仿宋_GB2312" w:cs="Times New Roman"/>
                <w:color w:val="000000"/>
                <w:sz w:val="20"/>
                <w:szCs w:val="20"/>
              </w:rPr>
              <w:t>。</w:t>
            </w:r>
          </w:p>
          <w:p>
            <w:pPr>
              <w:widowControl/>
              <w:spacing w:line="240" w:lineRule="exact"/>
              <w:jc w:val="both"/>
              <w:rPr>
                <w:rFonts w:hint="eastAsia" w:ascii="Times New Roman" w:hAnsi="Times New Roman" w:eastAsia="仿宋_GB2312" w:cs="Times New Roman"/>
                <w:color w:val="000000"/>
                <w:sz w:val="20"/>
                <w:szCs w:val="20"/>
              </w:rPr>
            </w:pPr>
            <w:r>
              <w:rPr>
                <w:rFonts w:hint="default" w:eastAsia="仿宋_GB2312" w:cs="Times New Roman"/>
                <w:color w:val="000000"/>
                <w:sz w:val="20"/>
                <w:szCs w:val="20"/>
              </w:rPr>
              <w:t>3.</w:t>
            </w:r>
            <w:r>
              <w:rPr>
                <w:rFonts w:hint="eastAsia" w:ascii="Times New Roman" w:hAnsi="Times New Roman" w:eastAsia="仿宋_GB2312" w:cs="Times New Roman"/>
                <w:color w:val="000000"/>
                <w:sz w:val="20"/>
                <w:szCs w:val="20"/>
              </w:rPr>
              <w:t>抓好白蚁防治工作。</w:t>
            </w:r>
          </w:p>
          <w:p>
            <w:pPr>
              <w:widowControl/>
              <w:spacing w:line="240" w:lineRule="exact"/>
              <w:jc w:val="both"/>
              <w:rPr>
                <w:rFonts w:ascii="Times New Roman" w:hAnsi="Times New Roman" w:eastAsia="仿宋_GB2312" w:cs="Times New Roman"/>
                <w:color w:val="000000"/>
                <w:sz w:val="20"/>
                <w:szCs w:val="20"/>
              </w:rPr>
            </w:pPr>
            <w:r>
              <w:rPr>
                <w:rFonts w:hint="default" w:eastAsia="仿宋_GB2312" w:cs="Times New Roman"/>
                <w:color w:val="000000"/>
                <w:sz w:val="20"/>
                <w:szCs w:val="20"/>
              </w:rPr>
              <w:t>4.</w:t>
            </w:r>
            <w:r>
              <w:rPr>
                <w:rFonts w:hint="eastAsia" w:ascii="Times New Roman" w:hAnsi="Times New Roman" w:eastAsia="仿宋_GB2312" w:cs="Times New Roman"/>
                <w:color w:val="000000"/>
                <w:sz w:val="20"/>
                <w:szCs w:val="20"/>
              </w:rPr>
              <w:t>其他工作任务等。</w:t>
            </w:r>
          </w:p>
        </w:tc>
        <w:tc>
          <w:tcPr>
            <w:tcW w:w="430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default" w:eastAsia="仿宋_GB2312" w:cs="Times New Roman"/>
                <w:color w:val="000000"/>
                <w:sz w:val="20"/>
                <w:szCs w:val="20"/>
              </w:rPr>
              <w:t>1、</w:t>
            </w:r>
            <w:r>
              <w:rPr>
                <w:rFonts w:hint="eastAsia" w:ascii="Times New Roman" w:hAnsi="Times New Roman" w:eastAsia="仿宋_GB2312" w:cs="Times New Roman"/>
                <w:color w:val="000000"/>
                <w:sz w:val="20"/>
                <w:szCs w:val="20"/>
              </w:rPr>
              <w:t>2022年，物业专项维修资金缴存1.1亿元，审批使用755万元；历年累计缴存18.1亿元, 累计审批使用6675万元。</w:t>
            </w:r>
          </w:p>
          <w:p>
            <w:pPr>
              <w:widowControl/>
              <w:numPr>
                <w:ilvl w:val="0"/>
                <w:numId w:val="0"/>
              </w:numPr>
              <w:spacing w:line="240" w:lineRule="exact"/>
              <w:jc w:val="left"/>
              <w:rPr>
                <w:rFonts w:hint="default" w:eastAsia="仿宋_GB2312" w:cs="Times New Roman"/>
                <w:color w:val="000000"/>
                <w:sz w:val="20"/>
                <w:szCs w:val="20"/>
              </w:rPr>
            </w:pPr>
            <w:r>
              <w:rPr>
                <w:rFonts w:hint="default" w:eastAsia="仿宋_GB2312" w:cs="Times New Roman"/>
                <w:color w:val="000000"/>
                <w:sz w:val="20"/>
                <w:szCs w:val="20"/>
              </w:rPr>
              <w:t>2、三个公租房小区及配套商铺租金应收租金885.06万元，依政策减免后实际收取租金782.21万元；直管公房及商铺租金87.53万元。公租房分配131套，租赁补贴发放846户，共发放金额123.58万元。三是年审工作进展顺利，已完成年审5190 户（不含拆迁过渡安置户），完成入户调查3036户，按规定对不再符合住房保障条件的或查实存在违规行为的89户承租户进行查处。</w:t>
            </w:r>
          </w:p>
          <w:p>
            <w:pPr>
              <w:widowControl/>
              <w:numPr>
                <w:ilvl w:val="0"/>
                <w:numId w:val="0"/>
              </w:numPr>
              <w:spacing w:line="240" w:lineRule="exact"/>
              <w:jc w:val="left"/>
              <w:rPr>
                <w:rFonts w:hint="default" w:eastAsia="仿宋_GB2312" w:cs="Times New Roman"/>
                <w:color w:val="000000"/>
                <w:sz w:val="20"/>
                <w:szCs w:val="20"/>
              </w:rPr>
            </w:pPr>
            <w:r>
              <w:rPr>
                <w:rFonts w:hint="default" w:eastAsia="仿宋_GB2312" w:cs="Times New Roman"/>
                <w:color w:val="000000"/>
                <w:sz w:val="20"/>
                <w:szCs w:val="20"/>
              </w:rPr>
              <w:t>3、白蚁防治工作持续开展。完成白蚁防治业务受理面积97.6万㎡，回访复查面积540万㎡，预防面积202万㎡，树木灭治1927棵，房屋灭治面积1604㎡，白蚁防治回访率98%。</w:t>
            </w: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绩</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标</w:t>
            </w:r>
          </w:p>
          <w:p>
            <w:pPr>
              <w:widowControl/>
              <w:spacing w:line="240" w:lineRule="exact"/>
              <w:jc w:val="center"/>
              <w:rPr>
                <w:rFonts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一级指标</w:t>
            </w: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二级指标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三级指标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年度指标值</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分值</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得分</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产出指标</w:t>
            </w:r>
          </w:p>
          <w:p>
            <w:pPr>
              <w:widowControl/>
              <w:spacing w:line="240" w:lineRule="exact"/>
              <w:jc w:val="center"/>
              <w:rPr>
                <w:rFonts w:ascii="Times New Roman" w:hAnsi="Times New Roman" w:eastAsia="仿宋_GB2312" w:cs="Times New Roman"/>
                <w:color w:val="000000"/>
                <w:sz w:val="20"/>
                <w:szCs w:val="20"/>
              </w:rPr>
            </w:pP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(50分)</w:t>
            </w:r>
          </w:p>
        </w:tc>
        <w:tc>
          <w:tcPr>
            <w:tcW w:w="95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数量指标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eastAsia="仿宋_GB2312" w:cs="Times New Roman"/>
                <w:color w:val="000000"/>
                <w:sz w:val="20"/>
                <w:szCs w:val="20"/>
              </w:rPr>
              <w:t>开展党组学习活动</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eastAsia" w:ascii="东文宋体" w:hAnsi="东文宋体" w:eastAsia="东文宋体" w:cs="东文宋体"/>
                <w:color w:val="000000"/>
                <w:sz w:val="20"/>
                <w:szCs w:val="20"/>
              </w:rPr>
              <w:t>≥</w:t>
            </w:r>
            <w:r>
              <w:rPr>
                <w:rFonts w:hint="default" w:eastAsia="仿宋_GB2312" w:cs="Times New Roman"/>
                <w:color w:val="000000"/>
                <w:sz w:val="20"/>
                <w:szCs w:val="20"/>
              </w:rPr>
              <w:t>10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11</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000000"/>
                <w:sz w:val="20"/>
                <w:szCs w:val="20"/>
              </w:rPr>
            </w:pP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eastAsia="仿宋_GB2312" w:cs="Times New Roman"/>
                <w:color w:val="000000"/>
                <w:sz w:val="20"/>
                <w:szCs w:val="20"/>
              </w:rPr>
              <w:t>群众来访来电口头答复完成率</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组织消防演练、培训</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eastAsia" w:ascii="东文宋体" w:hAnsi="东文宋体" w:eastAsia="东文宋体" w:cs="东文宋体"/>
                <w:color w:val="000000"/>
                <w:sz w:val="20"/>
                <w:szCs w:val="20"/>
              </w:rPr>
              <w:t>≥</w:t>
            </w:r>
            <w:r>
              <w:rPr>
                <w:rFonts w:hint="default" w:eastAsia="仿宋_GB2312" w:cs="Times New Roman"/>
                <w:color w:val="000000"/>
                <w:sz w:val="20"/>
                <w:szCs w:val="20"/>
              </w:rPr>
              <w:t>2</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7</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质量指标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白蚁防治</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hint="default"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000000"/>
                <w:sz w:val="20"/>
                <w:szCs w:val="20"/>
              </w:rPr>
            </w:pP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公租房维护</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hint="default"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000000"/>
                <w:sz w:val="20"/>
                <w:szCs w:val="20"/>
              </w:rPr>
            </w:pP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eastAsia="仿宋_GB2312" w:cs="Times New Roman"/>
                <w:color w:val="000000"/>
                <w:sz w:val="20"/>
                <w:szCs w:val="20"/>
              </w:rPr>
            </w:pPr>
            <w:r>
              <w:rPr>
                <w:rFonts w:eastAsia="仿宋_GB2312" w:cs="Times New Roman"/>
                <w:color w:val="000000"/>
                <w:sz w:val="20"/>
                <w:szCs w:val="20"/>
              </w:rPr>
              <w:t>维修资金维修</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eastAsia="仿宋_GB2312" w:cs="Times New Roman"/>
                <w:color w:val="000000"/>
                <w:sz w:val="20"/>
                <w:szCs w:val="20"/>
              </w:rPr>
            </w:pPr>
            <w:r>
              <w:rPr>
                <w:rFonts w:hint="default"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eastAsia="仿宋_GB2312" w:cs="Times New Roman"/>
                <w:color w:val="000000"/>
                <w:sz w:val="20"/>
                <w:szCs w:val="20"/>
              </w:rPr>
            </w:pPr>
            <w:r>
              <w:rPr>
                <w:rFonts w:hint="default"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eastAsia="仿宋_GB2312" w:cs="Times New Roman"/>
                <w:color w:val="000000"/>
                <w:sz w:val="20"/>
                <w:szCs w:val="20"/>
              </w:rPr>
            </w:pPr>
            <w:r>
              <w:rPr>
                <w:rFonts w:hint="default" w:eastAsia="仿宋_GB2312" w:cs="Times New Roman"/>
                <w:color w:val="000000"/>
                <w:sz w:val="20"/>
                <w:szCs w:val="20"/>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eastAsia="仿宋_GB2312" w:cs="Times New Roman"/>
                <w:color w:val="000000"/>
                <w:sz w:val="20"/>
                <w:szCs w:val="20"/>
              </w:rPr>
            </w:pPr>
            <w:r>
              <w:rPr>
                <w:rFonts w:hint="default"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时效指标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及时受理白蚁防治、房屋维修申请</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效益指标</w:t>
            </w:r>
          </w:p>
          <w:p>
            <w:pPr>
              <w:widowControl/>
              <w:spacing w:line="240" w:lineRule="exact"/>
              <w:jc w:val="left"/>
              <w:rPr>
                <w:rFonts w:ascii="Times New Roman" w:hAnsi="Times New Roman" w:eastAsia="仿宋_GB2312" w:cs="Times New Roman"/>
                <w:color w:val="000000"/>
                <w:sz w:val="20"/>
                <w:szCs w:val="20"/>
              </w:rPr>
            </w:pPr>
          </w:p>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（30分）</w:t>
            </w:r>
          </w:p>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经济效</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0"/>
                <w:szCs w:val="20"/>
              </w:rPr>
            </w:pPr>
            <w:r>
              <w:rPr>
                <w:rFonts w:hint="eastAsia" w:ascii="仿宋" w:hAnsi="仿宋" w:eastAsia="仿宋" w:cs="仿宋"/>
                <w:color w:val="000000"/>
                <w:szCs w:val="21"/>
              </w:rPr>
              <w:t>直接或间接带来经济效益</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eastAsia="仿宋_GB2312" w:cs="Times New Roman"/>
                <w:color w:val="000000"/>
                <w:sz w:val="20"/>
                <w:szCs w:val="20"/>
              </w:rPr>
              <w:t>效果明显</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效果一般</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8</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社会效</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sz w:val="20"/>
                <w:szCs w:val="20"/>
              </w:rPr>
            </w:pPr>
            <w:r>
              <w:rPr>
                <w:rFonts w:hint="eastAsia" w:ascii="仿宋" w:hAnsi="仿宋" w:eastAsia="仿宋" w:cs="仿宋"/>
                <w:color w:val="000000"/>
                <w:szCs w:val="21"/>
              </w:rPr>
              <w:t>直接或间接带来社会效益</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eastAsia="仿宋_GB2312" w:cs="Times New Roman"/>
                <w:color w:val="000000"/>
                <w:sz w:val="20"/>
                <w:szCs w:val="20"/>
              </w:rPr>
              <w:t>效果明显</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eastAsia="仿宋_GB2312" w:cs="Times New Roman"/>
                <w:color w:val="000000"/>
                <w:sz w:val="20"/>
                <w:szCs w:val="20"/>
              </w:rPr>
              <w:t>效果明显</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可持续影响指标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color w:val="000000"/>
                <w:sz w:val="20"/>
                <w:szCs w:val="20"/>
              </w:rPr>
            </w:pPr>
            <w:r>
              <w:rPr>
                <w:rFonts w:hint="eastAsia" w:ascii="仿宋" w:hAnsi="仿宋" w:eastAsia="仿宋" w:cs="仿宋"/>
                <w:color w:val="000000"/>
                <w:szCs w:val="21"/>
              </w:rPr>
              <w:t>项目实施对人环境、自然环境所带来可持续影响</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具有可持续性</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eastAsia="仿宋_GB2312" w:cs="Times New Roman"/>
                <w:color w:val="000000"/>
                <w:sz w:val="20"/>
                <w:szCs w:val="20"/>
              </w:rPr>
              <w:t>具有可持续性</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9</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满意度</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指标</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（10分）</w:t>
            </w:r>
          </w:p>
        </w:tc>
        <w:tc>
          <w:tcPr>
            <w:tcW w:w="95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服务对象满意度指标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回访率</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98%</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4</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95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Times New Roman" w:hAnsi="Times New Roman" w:eastAsia="仿宋_GB2312" w:cs="Times New Roman"/>
                <w:color w:val="000000"/>
                <w:sz w:val="20"/>
                <w:szCs w:val="20"/>
              </w:rPr>
            </w:pP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Times New Roman" w:hAnsi="Times New Roman" w:eastAsia="仿宋_GB2312" w:cs="Times New Roman"/>
                <w:color w:val="000000"/>
                <w:sz w:val="20"/>
                <w:szCs w:val="20"/>
              </w:rPr>
            </w:pPr>
            <w:r>
              <w:rPr>
                <w:rFonts w:eastAsia="仿宋_GB2312" w:cs="Times New Roman"/>
                <w:color w:val="000000"/>
                <w:sz w:val="20"/>
                <w:szCs w:val="20"/>
              </w:rPr>
              <w:t>满意率</w:t>
            </w:r>
          </w:p>
        </w:tc>
        <w:tc>
          <w:tcPr>
            <w:tcW w:w="131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95%</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5</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3</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100</w:t>
            </w:r>
          </w:p>
        </w:tc>
        <w:tc>
          <w:tcPr>
            <w:tcW w:w="8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default" w:ascii="Times New Roman" w:hAnsi="Times New Roman" w:eastAsia="仿宋_GB2312" w:cs="Times New Roman"/>
                <w:color w:val="000000"/>
                <w:sz w:val="20"/>
                <w:szCs w:val="20"/>
              </w:rPr>
            </w:pPr>
            <w:r>
              <w:rPr>
                <w:rFonts w:hint="default" w:eastAsia="仿宋_GB2312" w:cs="Times New Roman"/>
                <w:color w:val="000000"/>
                <w:sz w:val="20"/>
                <w:szCs w:val="20"/>
              </w:rPr>
              <w:t>94</w:t>
            </w:r>
          </w:p>
        </w:tc>
        <w:tc>
          <w:tcPr>
            <w:tcW w:w="143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bl>
    <w:p>
      <w:pPr>
        <w:tabs>
          <w:tab w:val="left" w:pos="673"/>
        </w:tabs>
        <w:spacing w:line="240" w:lineRule="auto"/>
        <w:ind w:firstLine="0" w:firstLineChars="0"/>
        <w:jc w:val="left"/>
        <w:rPr>
          <w:rFonts w:hint="default"/>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仿宋"/>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汉仪书宋二S">
    <w:altName w:val="宋体"/>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20" w:lineRule="exact"/>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5E71A6"/>
    <w:multiLevelType w:val="singleLevel"/>
    <w:tmpl w:val="985E71A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RlYjA3M2NmZTQ1MjE4YWMyMjA1YzExYjM0ZTg4NzMifQ=="/>
  </w:docVars>
  <w:rsids>
    <w:rsidRoot w:val="000C5B9E"/>
    <w:rsid w:val="0006491E"/>
    <w:rsid w:val="000C5B9E"/>
    <w:rsid w:val="000E0FE4"/>
    <w:rsid w:val="000E78F4"/>
    <w:rsid w:val="00117743"/>
    <w:rsid w:val="00237DFC"/>
    <w:rsid w:val="00570737"/>
    <w:rsid w:val="006A3E54"/>
    <w:rsid w:val="0072552A"/>
    <w:rsid w:val="0073326D"/>
    <w:rsid w:val="0085460C"/>
    <w:rsid w:val="008A7C5E"/>
    <w:rsid w:val="00D12D79"/>
    <w:rsid w:val="00D40671"/>
    <w:rsid w:val="00EE743A"/>
    <w:rsid w:val="00FE6404"/>
    <w:rsid w:val="01EBB393"/>
    <w:rsid w:val="188A7837"/>
    <w:rsid w:val="1CADF306"/>
    <w:rsid w:val="27741C56"/>
    <w:rsid w:val="2A996F35"/>
    <w:rsid w:val="3F7F99D7"/>
    <w:rsid w:val="4ADBBCF8"/>
    <w:rsid w:val="5FE5F591"/>
    <w:rsid w:val="5FFF5C8D"/>
    <w:rsid w:val="79BFD123"/>
    <w:rsid w:val="7E0B7411"/>
    <w:rsid w:val="7FFF0080"/>
    <w:rsid w:val="DF7FDDAD"/>
    <w:rsid w:val="DFF568CF"/>
    <w:rsid w:val="E7E1D0B9"/>
    <w:rsid w:val="ED4766F9"/>
    <w:rsid w:val="FBFE1CF7"/>
    <w:rsid w:val="FFCB8051"/>
    <w:rsid w:val="FFF92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kern w:val="0"/>
      <w:sz w:val="18"/>
      <w:szCs w:val="18"/>
    </w:rPr>
  </w:style>
  <w:style w:type="character" w:customStyle="1" w:styleId="7">
    <w:name w:val="页脚 Char"/>
    <w:basedOn w:val="5"/>
    <w:link w:val="2"/>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1222</Words>
  <Characters>6968</Characters>
  <Lines>58</Lines>
  <Paragraphs>16</Paragraphs>
  <TotalTime>0</TotalTime>
  <ScaleCrop>false</ScaleCrop>
  <LinksUpToDate>false</LinksUpToDate>
  <CharactersWithSpaces>8174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2023-06-29T06:13:00Z</dcterms:created>
  <dc:creator>易 佳</dc:creator>
  <cp:lastModifiedBy>俞</cp:lastModifiedBy>
  <cp:lastPrinted>2023-06-29T02:28:00Z</cp:lastPrinted>
  <dcterms:modified xsi:type="dcterms:W3CDTF">2023-09-22T09:10:46Z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59E58056AD154F5A84021CA8E8345930_12</vt:lpwstr>
  </property>
</Properties>
</file>