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31981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附件1</w:t>
      </w:r>
    </w:p>
    <w:p w14:paraId="26F70C39">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部门整体支出绩效评价基础数据表</w:t>
      </w:r>
    </w:p>
    <w:tbl>
      <w:tblPr>
        <w:tblStyle w:val="10"/>
        <w:tblpPr w:leftFromText="180" w:rightFromText="180" w:vertAnchor="text" w:horzAnchor="page" w:tblpX="1292" w:tblpY="43"/>
        <w:tblOverlap w:val="never"/>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4"/>
        <w:gridCol w:w="1189"/>
        <w:gridCol w:w="849"/>
        <w:gridCol w:w="1129"/>
        <w:gridCol w:w="1111"/>
        <w:gridCol w:w="969"/>
        <w:gridCol w:w="863"/>
      </w:tblGrid>
      <w:tr w14:paraId="7A434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54" w:type="dxa"/>
            <w:vMerge w:val="restart"/>
            <w:noWrap w:val="0"/>
            <w:vAlign w:val="center"/>
          </w:tcPr>
          <w:p w14:paraId="68462DE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财政供养人员情况</w:t>
            </w:r>
          </w:p>
        </w:tc>
        <w:tc>
          <w:tcPr>
            <w:tcW w:w="2038" w:type="dxa"/>
            <w:gridSpan w:val="2"/>
            <w:noWrap w:val="0"/>
            <w:vAlign w:val="center"/>
          </w:tcPr>
          <w:p w14:paraId="3836C96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编制数</w:t>
            </w:r>
          </w:p>
        </w:tc>
        <w:tc>
          <w:tcPr>
            <w:tcW w:w="2240" w:type="dxa"/>
            <w:gridSpan w:val="2"/>
            <w:noWrap w:val="0"/>
            <w:vAlign w:val="center"/>
          </w:tcPr>
          <w:p w14:paraId="018BA02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年实际在职人数</w:t>
            </w:r>
          </w:p>
        </w:tc>
        <w:tc>
          <w:tcPr>
            <w:tcW w:w="1832" w:type="dxa"/>
            <w:gridSpan w:val="2"/>
            <w:noWrap w:val="0"/>
            <w:vAlign w:val="center"/>
          </w:tcPr>
          <w:p w14:paraId="6F7B614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控制率</w:t>
            </w:r>
          </w:p>
        </w:tc>
      </w:tr>
      <w:tr w14:paraId="7E1B6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3354" w:type="dxa"/>
            <w:vMerge w:val="continue"/>
            <w:noWrap w:val="0"/>
            <w:vAlign w:val="center"/>
          </w:tcPr>
          <w:p w14:paraId="7480CE58">
            <w:pPr>
              <w:widowControl/>
              <w:jc w:val="left"/>
              <w:rPr>
                <w:rFonts w:hint="eastAsia" w:ascii="仿宋" w:hAnsi="仿宋" w:eastAsia="仿宋" w:cs="仿宋"/>
                <w:b w:val="0"/>
                <w:bCs w:val="0"/>
                <w:kern w:val="0"/>
                <w:sz w:val="20"/>
                <w:szCs w:val="20"/>
              </w:rPr>
            </w:pPr>
          </w:p>
        </w:tc>
        <w:tc>
          <w:tcPr>
            <w:tcW w:w="2038" w:type="dxa"/>
            <w:gridSpan w:val="2"/>
            <w:noWrap w:val="0"/>
            <w:vAlign w:val="center"/>
          </w:tcPr>
          <w:p w14:paraId="1A669EB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20</w:t>
            </w:r>
            <w:r>
              <w:rPr>
                <w:rFonts w:hint="eastAsia" w:ascii="仿宋" w:hAnsi="仿宋" w:eastAsia="仿宋" w:cs="仿宋"/>
                <w:b w:val="0"/>
                <w:bCs w:val="0"/>
                <w:kern w:val="0"/>
                <w:sz w:val="20"/>
                <w:szCs w:val="20"/>
              </w:rPr>
              <w:t>　</w:t>
            </w:r>
          </w:p>
        </w:tc>
        <w:tc>
          <w:tcPr>
            <w:tcW w:w="2240" w:type="dxa"/>
            <w:gridSpan w:val="2"/>
            <w:noWrap w:val="0"/>
            <w:vAlign w:val="center"/>
          </w:tcPr>
          <w:p w14:paraId="3542624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25</w:t>
            </w:r>
            <w:r>
              <w:rPr>
                <w:rFonts w:hint="eastAsia" w:ascii="仿宋" w:hAnsi="仿宋" w:eastAsia="仿宋" w:cs="仿宋"/>
                <w:b w:val="0"/>
                <w:bCs w:val="0"/>
                <w:kern w:val="0"/>
                <w:sz w:val="20"/>
                <w:szCs w:val="20"/>
              </w:rPr>
              <w:t>　</w:t>
            </w:r>
          </w:p>
        </w:tc>
        <w:tc>
          <w:tcPr>
            <w:tcW w:w="1832" w:type="dxa"/>
            <w:gridSpan w:val="2"/>
            <w:noWrap w:val="0"/>
            <w:vAlign w:val="center"/>
          </w:tcPr>
          <w:p w14:paraId="1DFFFC5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125%</w:t>
            </w:r>
            <w:r>
              <w:rPr>
                <w:rFonts w:hint="eastAsia" w:ascii="仿宋" w:hAnsi="仿宋" w:eastAsia="仿宋" w:cs="仿宋"/>
                <w:b w:val="0"/>
                <w:bCs w:val="0"/>
                <w:kern w:val="0"/>
                <w:sz w:val="20"/>
                <w:szCs w:val="20"/>
              </w:rPr>
              <w:t>　</w:t>
            </w:r>
          </w:p>
        </w:tc>
      </w:tr>
      <w:tr w14:paraId="65DEB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54" w:type="dxa"/>
            <w:noWrap w:val="0"/>
            <w:vAlign w:val="center"/>
          </w:tcPr>
          <w:p w14:paraId="7C94CEE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经费控制情况</w:t>
            </w:r>
          </w:p>
        </w:tc>
        <w:tc>
          <w:tcPr>
            <w:tcW w:w="2038" w:type="dxa"/>
            <w:gridSpan w:val="2"/>
            <w:noWrap w:val="0"/>
            <w:vAlign w:val="center"/>
          </w:tcPr>
          <w:p w14:paraId="26CE0DD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年决算数</w:t>
            </w:r>
          </w:p>
        </w:tc>
        <w:tc>
          <w:tcPr>
            <w:tcW w:w="2240" w:type="dxa"/>
            <w:gridSpan w:val="2"/>
            <w:noWrap w:val="0"/>
            <w:vAlign w:val="center"/>
          </w:tcPr>
          <w:p w14:paraId="72976B04">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年预算数</w:t>
            </w:r>
          </w:p>
        </w:tc>
        <w:tc>
          <w:tcPr>
            <w:tcW w:w="1832" w:type="dxa"/>
            <w:gridSpan w:val="2"/>
            <w:noWrap w:val="0"/>
            <w:vAlign w:val="center"/>
          </w:tcPr>
          <w:p w14:paraId="27C404E4">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年决算数</w:t>
            </w:r>
          </w:p>
        </w:tc>
      </w:tr>
      <w:tr w14:paraId="2DFF9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54" w:type="dxa"/>
            <w:noWrap w:val="0"/>
            <w:vAlign w:val="center"/>
          </w:tcPr>
          <w:p w14:paraId="090ABD75">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三公经费</w:t>
            </w:r>
          </w:p>
        </w:tc>
        <w:tc>
          <w:tcPr>
            <w:tcW w:w="2038" w:type="dxa"/>
            <w:gridSpan w:val="2"/>
            <w:shd w:val="clear" w:color="auto" w:fill="auto"/>
            <w:noWrap w:val="0"/>
            <w:vAlign w:val="center"/>
          </w:tcPr>
          <w:p w14:paraId="640F4400">
            <w:pPr>
              <w:widowControl/>
              <w:shd w:val="clear"/>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rPr>
              <w:t>7.61</w:t>
            </w:r>
          </w:p>
        </w:tc>
        <w:tc>
          <w:tcPr>
            <w:tcW w:w="2240" w:type="dxa"/>
            <w:gridSpan w:val="2"/>
            <w:noWrap w:val="0"/>
            <w:vAlign w:val="center"/>
          </w:tcPr>
          <w:p w14:paraId="501EE756">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2.50</w:t>
            </w:r>
          </w:p>
        </w:tc>
        <w:tc>
          <w:tcPr>
            <w:tcW w:w="1832" w:type="dxa"/>
            <w:gridSpan w:val="2"/>
            <w:noWrap w:val="0"/>
            <w:vAlign w:val="center"/>
          </w:tcPr>
          <w:p w14:paraId="3ACE64E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1.57</w:t>
            </w:r>
          </w:p>
        </w:tc>
      </w:tr>
      <w:tr w14:paraId="546D9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3354" w:type="dxa"/>
            <w:noWrap w:val="0"/>
            <w:vAlign w:val="center"/>
          </w:tcPr>
          <w:p w14:paraId="34B654BF">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1、公务用车购置和维护经费</w:t>
            </w:r>
          </w:p>
        </w:tc>
        <w:tc>
          <w:tcPr>
            <w:tcW w:w="2038" w:type="dxa"/>
            <w:gridSpan w:val="2"/>
            <w:shd w:val="clear" w:color="auto" w:fill="auto"/>
            <w:noWrap w:val="0"/>
            <w:vAlign w:val="center"/>
          </w:tcPr>
          <w:p w14:paraId="0CB9C105">
            <w:pPr>
              <w:widowControl/>
              <w:shd w:val="clear"/>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rPr>
              <w:t>7.61</w:t>
            </w:r>
          </w:p>
        </w:tc>
        <w:tc>
          <w:tcPr>
            <w:tcW w:w="2240" w:type="dxa"/>
            <w:gridSpan w:val="2"/>
            <w:noWrap w:val="0"/>
            <w:vAlign w:val="center"/>
          </w:tcPr>
          <w:p w14:paraId="7AAE716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2.00</w:t>
            </w:r>
          </w:p>
        </w:tc>
        <w:tc>
          <w:tcPr>
            <w:tcW w:w="1832" w:type="dxa"/>
            <w:gridSpan w:val="2"/>
            <w:noWrap w:val="0"/>
            <w:vAlign w:val="center"/>
          </w:tcPr>
          <w:p w14:paraId="37235EB5">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1.57</w:t>
            </w:r>
          </w:p>
        </w:tc>
      </w:tr>
      <w:tr w14:paraId="2EE8E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3354" w:type="dxa"/>
            <w:noWrap w:val="0"/>
            <w:vAlign w:val="center"/>
          </w:tcPr>
          <w:p w14:paraId="397AB5B4">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其中：公车购置</w:t>
            </w:r>
          </w:p>
        </w:tc>
        <w:tc>
          <w:tcPr>
            <w:tcW w:w="2038" w:type="dxa"/>
            <w:gridSpan w:val="2"/>
            <w:shd w:val="clear" w:color="auto" w:fill="auto"/>
            <w:noWrap w:val="0"/>
            <w:vAlign w:val="center"/>
          </w:tcPr>
          <w:p w14:paraId="153A1695">
            <w:pPr>
              <w:widowControl/>
              <w:shd w:val="clear"/>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0.00</w:t>
            </w:r>
          </w:p>
        </w:tc>
        <w:tc>
          <w:tcPr>
            <w:tcW w:w="2240" w:type="dxa"/>
            <w:gridSpan w:val="2"/>
            <w:noWrap w:val="0"/>
            <w:vAlign w:val="center"/>
          </w:tcPr>
          <w:p w14:paraId="7E4CA57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0.00</w:t>
            </w:r>
          </w:p>
        </w:tc>
        <w:tc>
          <w:tcPr>
            <w:tcW w:w="1832" w:type="dxa"/>
            <w:gridSpan w:val="2"/>
            <w:noWrap w:val="0"/>
            <w:vAlign w:val="center"/>
          </w:tcPr>
          <w:p w14:paraId="60648F2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0.00</w:t>
            </w:r>
          </w:p>
        </w:tc>
      </w:tr>
      <w:tr w14:paraId="4CEFB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3354" w:type="dxa"/>
            <w:noWrap w:val="0"/>
            <w:vAlign w:val="center"/>
          </w:tcPr>
          <w:p w14:paraId="715083A7">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公车运行维护</w:t>
            </w:r>
          </w:p>
        </w:tc>
        <w:tc>
          <w:tcPr>
            <w:tcW w:w="2038" w:type="dxa"/>
            <w:gridSpan w:val="2"/>
            <w:shd w:val="clear" w:color="auto" w:fill="auto"/>
            <w:noWrap w:val="0"/>
            <w:vAlign w:val="center"/>
          </w:tcPr>
          <w:p w14:paraId="697178BB">
            <w:pPr>
              <w:widowControl/>
              <w:shd w:val="clear"/>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rPr>
              <w:t>7.61</w:t>
            </w:r>
          </w:p>
        </w:tc>
        <w:tc>
          <w:tcPr>
            <w:tcW w:w="2240" w:type="dxa"/>
            <w:gridSpan w:val="2"/>
            <w:noWrap w:val="0"/>
            <w:vAlign w:val="center"/>
          </w:tcPr>
          <w:p w14:paraId="5D74B0A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2.00</w:t>
            </w:r>
          </w:p>
        </w:tc>
        <w:tc>
          <w:tcPr>
            <w:tcW w:w="1832" w:type="dxa"/>
            <w:gridSpan w:val="2"/>
            <w:noWrap w:val="0"/>
            <w:vAlign w:val="center"/>
          </w:tcPr>
          <w:p w14:paraId="482BF1A3">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1.57</w:t>
            </w:r>
          </w:p>
        </w:tc>
      </w:tr>
      <w:tr w14:paraId="20D72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54" w:type="dxa"/>
            <w:noWrap w:val="0"/>
            <w:vAlign w:val="center"/>
          </w:tcPr>
          <w:p w14:paraId="4C3FE5CC">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2、出国经费</w:t>
            </w:r>
          </w:p>
        </w:tc>
        <w:tc>
          <w:tcPr>
            <w:tcW w:w="2038" w:type="dxa"/>
            <w:gridSpan w:val="2"/>
            <w:shd w:val="clear" w:color="auto" w:fill="auto"/>
            <w:noWrap w:val="0"/>
            <w:vAlign w:val="center"/>
          </w:tcPr>
          <w:p w14:paraId="5E9A4EC5">
            <w:pPr>
              <w:widowControl/>
              <w:shd w:val="clear"/>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0.00</w:t>
            </w:r>
          </w:p>
        </w:tc>
        <w:tc>
          <w:tcPr>
            <w:tcW w:w="2240" w:type="dxa"/>
            <w:gridSpan w:val="2"/>
            <w:noWrap w:val="0"/>
            <w:vAlign w:val="center"/>
          </w:tcPr>
          <w:p w14:paraId="000DA1E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0.00</w:t>
            </w:r>
          </w:p>
        </w:tc>
        <w:tc>
          <w:tcPr>
            <w:tcW w:w="1832" w:type="dxa"/>
            <w:gridSpan w:val="2"/>
            <w:noWrap w:val="0"/>
            <w:vAlign w:val="center"/>
          </w:tcPr>
          <w:p w14:paraId="5EF7CEA7">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0.00</w:t>
            </w:r>
          </w:p>
        </w:tc>
      </w:tr>
      <w:tr w14:paraId="3FE40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54" w:type="dxa"/>
            <w:noWrap w:val="0"/>
            <w:vAlign w:val="center"/>
          </w:tcPr>
          <w:p w14:paraId="342659E2">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3、公务接待</w:t>
            </w:r>
          </w:p>
        </w:tc>
        <w:tc>
          <w:tcPr>
            <w:tcW w:w="2038" w:type="dxa"/>
            <w:gridSpan w:val="2"/>
            <w:shd w:val="clear" w:color="auto" w:fill="auto"/>
            <w:noWrap w:val="0"/>
            <w:vAlign w:val="center"/>
          </w:tcPr>
          <w:p w14:paraId="7E94173D">
            <w:pPr>
              <w:widowControl/>
              <w:shd w:val="clear"/>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0.00</w:t>
            </w:r>
          </w:p>
        </w:tc>
        <w:tc>
          <w:tcPr>
            <w:tcW w:w="2240" w:type="dxa"/>
            <w:gridSpan w:val="2"/>
            <w:noWrap w:val="0"/>
            <w:vAlign w:val="center"/>
          </w:tcPr>
          <w:p w14:paraId="1A4C5794">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0.50</w:t>
            </w:r>
          </w:p>
        </w:tc>
        <w:tc>
          <w:tcPr>
            <w:tcW w:w="1832" w:type="dxa"/>
            <w:gridSpan w:val="2"/>
            <w:noWrap w:val="0"/>
            <w:vAlign w:val="center"/>
          </w:tcPr>
          <w:p w14:paraId="7D37DA8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0.00</w:t>
            </w:r>
          </w:p>
        </w:tc>
      </w:tr>
      <w:tr w14:paraId="70EC7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54" w:type="dxa"/>
            <w:noWrap w:val="0"/>
            <w:vAlign w:val="center"/>
          </w:tcPr>
          <w:p w14:paraId="2109C42D">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项目支出：</w:t>
            </w:r>
          </w:p>
        </w:tc>
        <w:tc>
          <w:tcPr>
            <w:tcW w:w="2038" w:type="dxa"/>
            <w:gridSpan w:val="2"/>
            <w:noWrap w:val="0"/>
            <w:vAlign w:val="center"/>
          </w:tcPr>
          <w:p w14:paraId="47FB1934">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0F16CF9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3866E6E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5D587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54" w:type="dxa"/>
            <w:noWrap w:val="0"/>
            <w:vAlign w:val="center"/>
          </w:tcPr>
          <w:p w14:paraId="5F316332">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1、业务工作经费</w:t>
            </w:r>
          </w:p>
        </w:tc>
        <w:tc>
          <w:tcPr>
            <w:tcW w:w="2038" w:type="dxa"/>
            <w:gridSpan w:val="2"/>
            <w:noWrap w:val="0"/>
            <w:vAlign w:val="center"/>
          </w:tcPr>
          <w:p w14:paraId="21901DF7">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785200E5">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7B2A25F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02662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54" w:type="dxa"/>
            <w:noWrap w:val="0"/>
            <w:vAlign w:val="center"/>
          </w:tcPr>
          <w:p w14:paraId="231419EC">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2、运行维护经费</w:t>
            </w:r>
          </w:p>
        </w:tc>
        <w:tc>
          <w:tcPr>
            <w:tcW w:w="2038" w:type="dxa"/>
            <w:gridSpan w:val="2"/>
            <w:noWrap w:val="0"/>
            <w:vAlign w:val="center"/>
          </w:tcPr>
          <w:p w14:paraId="576C6AE4">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5184C26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5280DE6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5A54F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354" w:type="dxa"/>
            <w:noWrap w:val="0"/>
            <w:vAlign w:val="center"/>
          </w:tcPr>
          <w:p w14:paraId="7CCAC301">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3、</w:t>
            </w:r>
            <w:r>
              <w:rPr>
                <w:rFonts w:hint="eastAsia" w:ascii="仿宋" w:hAnsi="仿宋" w:eastAsia="仿宋" w:cs="仿宋"/>
                <w:b w:val="0"/>
                <w:bCs w:val="0"/>
                <w:kern w:val="0"/>
                <w:sz w:val="20"/>
                <w:szCs w:val="20"/>
                <w:lang w:eastAsia="zh-CN"/>
              </w:rPr>
              <w:t>本级</w:t>
            </w:r>
            <w:r>
              <w:rPr>
                <w:rFonts w:hint="eastAsia" w:ascii="仿宋" w:hAnsi="仿宋" w:eastAsia="仿宋" w:cs="仿宋"/>
                <w:b w:val="0"/>
                <w:bCs w:val="0"/>
                <w:kern w:val="0"/>
                <w:sz w:val="20"/>
                <w:szCs w:val="20"/>
              </w:rPr>
              <w:t>专项资金</w:t>
            </w:r>
          </w:p>
          <w:p w14:paraId="1771D76F">
            <w:pPr>
              <w:widowControl/>
              <w:ind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（一个专项一行）</w:t>
            </w:r>
          </w:p>
        </w:tc>
        <w:tc>
          <w:tcPr>
            <w:tcW w:w="2038" w:type="dxa"/>
            <w:gridSpan w:val="2"/>
            <w:shd w:val="clear" w:color="auto" w:fill="auto"/>
            <w:noWrap w:val="0"/>
            <w:vAlign w:val="center"/>
          </w:tcPr>
          <w:p w14:paraId="7F479273">
            <w:pPr>
              <w:widowControl/>
              <w:shd w:val="clear"/>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rPr>
              <w:t>14</w:t>
            </w:r>
            <w:r>
              <w:rPr>
                <w:rFonts w:hint="eastAsia" w:ascii="仿宋" w:hAnsi="仿宋" w:eastAsia="仿宋" w:cs="仿宋"/>
                <w:b w:val="0"/>
                <w:bCs w:val="0"/>
                <w:kern w:val="0"/>
                <w:sz w:val="20"/>
                <w:szCs w:val="20"/>
                <w:lang w:val="en-US" w:eastAsia="zh-CN"/>
              </w:rPr>
              <w:t>,</w:t>
            </w:r>
            <w:r>
              <w:rPr>
                <w:rFonts w:hint="eastAsia" w:ascii="仿宋" w:hAnsi="仿宋" w:eastAsia="仿宋" w:cs="仿宋"/>
                <w:b w:val="0"/>
                <w:bCs w:val="0"/>
                <w:kern w:val="0"/>
                <w:sz w:val="20"/>
                <w:szCs w:val="20"/>
              </w:rPr>
              <w:t>454.3</w:t>
            </w:r>
            <w:r>
              <w:rPr>
                <w:rFonts w:hint="eastAsia" w:ascii="仿宋" w:hAnsi="仿宋" w:eastAsia="仿宋" w:cs="仿宋"/>
                <w:b w:val="0"/>
                <w:bCs w:val="0"/>
                <w:kern w:val="0"/>
                <w:sz w:val="20"/>
                <w:szCs w:val="20"/>
                <w:lang w:val="en-US" w:eastAsia="zh-CN"/>
              </w:rPr>
              <w:t>0</w:t>
            </w:r>
          </w:p>
        </w:tc>
        <w:tc>
          <w:tcPr>
            <w:tcW w:w="2240" w:type="dxa"/>
            <w:gridSpan w:val="2"/>
            <w:noWrap w:val="0"/>
            <w:vAlign w:val="center"/>
          </w:tcPr>
          <w:p w14:paraId="0E179D5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23.00</w:t>
            </w:r>
          </w:p>
        </w:tc>
        <w:tc>
          <w:tcPr>
            <w:tcW w:w="1832" w:type="dxa"/>
            <w:gridSpan w:val="2"/>
            <w:noWrap w:val="0"/>
            <w:vAlign w:val="center"/>
          </w:tcPr>
          <w:p w14:paraId="06A04AC4">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33,929.14</w:t>
            </w:r>
          </w:p>
        </w:tc>
      </w:tr>
      <w:tr w14:paraId="70D66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3354" w:type="dxa"/>
            <w:shd w:val="clear" w:color="auto" w:fill="auto"/>
            <w:noWrap w:val="0"/>
            <w:vAlign w:val="center"/>
          </w:tcPr>
          <w:p w14:paraId="2D9B9CA9">
            <w:pPr>
              <w:widowControl/>
              <w:shd w:val="clear"/>
              <w:ind w:firstLine="600" w:firstLineChars="300"/>
              <w:jc w:val="left"/>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rPr>
              <w:t>专项业务经费（专户）</w:t>
            </w:r>
          </w:p>
        </w:tc>
        <w:tc>
          <w:tcPr>
            <w:tcW w:w="2038" w:type="dxa"/>
            <w:gridSpan w:val="2"/>
            <w:shd w:val="clear" w:color="auto" w:fill="auto"/>
            <w:noWrap w:val="0"/>
            <w:vAlign w:val="center"/>
          </w:tcPr>
          <w:p w14:paraId="415712FD">
            <w:pPr>
              <w:widowControl/>
              <w:shd w:val="clear"/>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rPr>
              <w:t>14</w:t>
            </w:r>
            <w:r>
              <w:rPr>
                <w:rFonts w:hint="eastAsia" w:ascii="仿宋" w:hAnsi="仿宋" w:eastAsia="仿宋" w:cs="仿宋"/>
                <w:b w:val="0"/>
                <w:bCs w:val="0"/>
                <w:kern w:val="0"/>
                <w:sz w:val="20"/>
                <w:szCs w:val="20"/>
                <w:lang w:val="en-US" w:eastAsia="zh-CN"/>
              </w:rPr>
              <w:t>,</w:t>
            </w:r>
            <w:r>
              <w:rPr>
                <w:rFonts w:hint="eastAsia" w:ascii="仿宋" w:hAnsi="仿宋" w:eastAsia="仿宋" w:cs="仿宋"/>
                <w:b w:val="0"/>
                <w:bCs w:val="0"/>
                <w:kern w:val="0"/>
                <w:sz w:val="20"/>
                <w:szCs w:val="20"/>
              </w:rPr>
              <w:t>376.64</w:t>
            </w:r>
          </w:p>
        </w:tc>
        <w:tc>
          <w:tcPr>
            <w:tcW w:w="2240" w:type="dxa"/>
            <w:gridSpan w:val="2"/>
            <w:noWrap w:val="0"/>
            <w:vAlign w:val="center"/>
          </w:tcPr>
          <w:p w14:paraId="310603E4">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0.00</w:t>
            </w:r>
          </w:p>
        </w:tc>
        <w:tc>
          <w:tcPr>
            <w:tcW w:w="1832" w:type="dxa"/>
            <w:gridSpan w:val="2"/>
            <w:noWrap w:val="0"/>
            <w:vAlign w:val="center"/>
          </w:tcPr>
          <w:p w14:paraId="385CA855">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33,929.14</w:t>
            </w:r>
          </w:p>
        </w:tc>
      </w:tr>
      <w:tr w14:paraId="4A5B4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3354" w:type="dxa"/>
            <w:shd w:val="clear" w:color="auto" w:fill="auto"/>
            <w:noWrap w:val="0"/>
            <w:vAlign w:val="center"/>
          </w:tcPr>
          <w:p w14:paraId="37576DCE">
            <w:pPr>
              <w:widowControl/>
              <w:shd w:val="clear"/>
              <w:ind w:firstLine="600" w:firstLineChars="300"/>
              <w:jc w:val="left"/>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rPr>
              <w:t>专项业务经费</w:t>
            </w:r>
          </w:p>
        </w:tc>
        <w:tc>
          <w:tcPr>
            <w:tcW w:w="2038" w:type="dxa"/>
            <w:gridSpan w:val="2"/>
            <w:shd w:val="clear" w:color="auto" w:fill="auto"/>
            <w:noWrap w:val="0"/>
            <w:vAlign w:val="center"/>
          </w:tcPr>
          <w:p w14:paraId="5210A2CE">
            <w:pPr>
              <w:widowControl/>
              <w:shd w:val="clear"/>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rPr>
              <w:t>77.66</w:t>
            </w:r>
          </w:p>
        </w:tc>
        <w:tc>
          <w:tcPr>
            <w:tcW w:w="2240" w:type="dxa"/>
            <w:gridSpan w:val="2"/>
            <w:noWrap w:val="0"/>
            <w:vAlign w:val="center"/>
          </w:tcPr>
          <w:p w14:paraId="733C083E">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23.00</w:t>
            </w:r>
          </w:p>
        </w:tc>
        <w:tc>
          <w:tcPr>
            <w:tcW w:w="1832" w:type="dxa"/>
            <w:gridSpan w:val="2"/>
            <w:noWrap w:val="0"/>
            <w:vAlign w:val="center"/>
          </w:tcPr>
          <w:p w14:paraId="3E8D8F5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0.00</w:t>
            </w:r>
          </w:p>
        </w:tc>
      </w:tr>
      <w:tr w14:paraId="50F98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354" w:type="dxa"/>
            <w:noWrap w:val="0"/>
            <w:vAlign w:val="center"/>
          </w:tcPr>
          <w:p w14:paraId="17810C88">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4、其他事业类发展资金</w:t>
            </w:r>
          </w:p>
        </w:tc>
        <w:tc>
          <w:tcPr>
            <w:tcW w:w="2038" w:type="dxa"/>
            <w:gridSpan w:val="2"/>
            <w:noWrap w:val="0"/>
            <w:vAlign w:val="center"/>
          </w:tcPr>
          <w:p w14:paraId="26FCDCD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6EEDD04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745DD1D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70D8A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54" w:type="dxa"/>
            <w:noWrap w:val="0"/>
            <w:vAlign w:val="center"/>
          </w:tcPr>
          <w:p w14:paraId="6E23AD34">
            <w:pPr>
              <w:widowControl/>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公用经费</w:t>
            </w:r>
          </w:p>
        </w:tc>
        <w:tc>
          <w:tcPr>
            <w:tcW w:w="2038" w:type="dxa"/>
            <w:gridSpan w:val="2"/>
            <w:noWrap w:val="0"/>
            <w:vAlign w:val="center"/>
          </w:tcPr>
          <w:p w14:paraId="66A16FF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49FD6B6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601307B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64A2A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54" w:type="dxa"/>
            <w:noWrap w:val="0"/>
            <w:vAlign w:val="center"/>
          </w:tcPr>
          <w:p w14:paraId="39E94499">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其中：办公费</w:t>
            </w:r>
          </w:p>
        </w:tc>
        <w:tc>
          <w:tcPr>
            <w:tcW w:w="2038" w:type="dxa"/>
            <w:gridSpan w:val="2"/>
            <w:shd w:val="clear" w:color="auto" w:fill="auto"/>
            <w:noWrap w:val="0"/>
            <w:vAlign w:val="center"/>
          </w:tcPr>
          <w:p w14:paraId="0FC26039">
            <w:pPr>
              <w:widowControl/>
              <w:shd w:val="clear"/>
              <w:jc w:val="center"/>
              <w:rPr>
                <w:rFonts w:hint="eastAsia" w:ascii="仿宋" w:hAnsi="仿宋" w:eastAsia="仿宋" w:cs="仿宋"/>
                <w:b w:val="0"/>
                <w:bCs w:val="0"/>
                <w:color w:val="auto"/>
                <w:kern w:val="0"/>
                <w:sz w:val="20"/>
                <w:szCs w:val="20"/>
                <w:lang w:val="en-US" w:eastAsia="zh-CN" w:bidi="ar-SA"/>
              </w:rPr>
            </w:pPr>
            <w:r>
              <w:rPr>
                <w:rFonts w:hint="eastAsia" w:ascii="仿宋" w:hAnsi="仿宋" w:eastAsia="仿宋" w:cs="仿宋"/>
                <w:b w:val="0"/>
                <w:bCs w:val="0"/>
                <w:color w:val="auto"/>
                <w:kern w:val="0"/>
                <w:sz w:val="20"/>
                <w:szCs w:val="20"/>
              </w:rPr>
              <w:t>3.94</w:t>
            </w:r>
          </w:p>
        </w:tc>
        <w:tc>
          <w:tcPr>
            <w:tcW w:w="2240" w:type="dxa"/>
            <w:gridSpan w:val="2"/>
            <w:noWrap w:val="0"/>
            <w:vAlign w:val="center"/>
          </w:tcPr>
          <w:p w14:paraId="1B1306F9">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3.00</w:t>
            </w:r>
            <w:r>
              <w:rPr>
                <w:rFonts w:hint="eastAsia" w:ascii="仿宋" w:hAnsi="仿宋" w:eastAsia="仿宋" w:cs="仿宋"/>
                <w:b w:val="0"/>
                <w:bCs w:val="0"/>
                <w:color w:val="auto"/>
                <w:kern w:val="0"/>
                <w:sz w:val="20"/>
                <w:szCs w:val="20"/>
              </w:rPr>
              <w:t>　</w:t>
            </w:r>
          </w:p>
        </w:tc>
        <w:tc>
          <w:tcPr>
            <w:tcW w:w="1832" w:type="dxa"/>
            <w:gridSpan w:val="2"/>
            <w:noWrap w:val="0"/>
            <w:vAlign w:val="center"/>
          </w:tcPr>
          <w:p w14:paraId="7767CBAA">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0.73</w:t>
            </w:r>
          </w:p>
        </w:tc>
      </w:tr>
      <w:tr w14:paraId="40B3A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54" w:type="dxa"/>
            <w:noWrap w:val="0"/>
            <w:vAlign w:val="center"/>
          </w:tcPr>
          <w:p w14:paraId="571C731F">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水费、电费、差旅费</w:t>
            </w:r>
          </w:p>
        </w:tc>
        <w:tc>
          <w:tcPr>
            <w:tcW w:w="2038" w:type="dxa"/>
            <w:gridSpan w:val="2"/>
            <w:shd w:val="clear" w:color="auto" w:fill="auto"/>
            <w:noWrap w:val="0"/>
            <w:vAlign w:val="center"/>
          </w:tcPr>
          <w:p w14:paraId="60E1C6EB">
            <w:pPr>
              <w:widowControl/>
              <w:shd w:val="clear"/>
              <w:jc w:val="center"/>
              <w:rPr>
                <w:rFonts w:hint="eastAsia" w:ascii="仿宋" w:hAnsi="仿宋" w:eastAsia="仿宋" w:cs="仿宋"/>
                <w:b w:val="0"/>
                <w:bCs w:val="0"/>
                <w:color w:val="auto"/>
                <w:kern w:val="0"/>
                <w:sz w:val="20"/>
                <w:szCs w:val="20"/>
                <w:lang w:val="en-US" w:eastAsia="zh-CN" w:bidi="ar-SA"/>
              </w:rPr>
            </w:pPr>
            <w:r>
              <w:rPr>
                <w:rFonts w:hint="eastAsia" w:ascii="仿宋" w:hAnsi="仿宋" w:eastAsia="仿宋" w:cs="仿宋"/>
                <w:b w:val="0"/>
                <w:bCs w:val="0"/>
                <w:color w:val="auto"/>
                <w:kern w:val="0"/>
                <w:sz w:val="20"/>
                <w:szCs w:val="20"/>
                <w:lang w:val="en-US" w:eastAsia="zh-CN"/>
              </w:rPr>
              <w:t>5.20</w:t>
            </w:r>
          </w:p>
        </w:tc>
        <w:tc>
          <w:tcPr>
            <w:tcW w:w="2240" w:type="dxa"/>
            <w:gridSpan w:val="2"/>
            <w:noWrap w:val="0"/>
            <w:vAlign w:val="center"/>
          </w:tcPr>
          <w:p w14:paraId="0E2D4137">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5.50</w:t>
            </w:r>
            <w:r>
              <w:rPr>
                <w:rFonts w:hint="eastAsia" w:ascii="仿宋" w:hAnsi="仿宋" w:eastAsia="仿宋" w:cs="仿宋"/>
                <w:b w:val="0"/>
                <w:bCs w:val="0"/>
                <w:color w:val="auto"/>
                <w:kern w:val="0"/>
                <w:sz w:val="20"/>
                <w:szCs w:val="20"/>
              </w:rPr>
              <w:t>　</w:t>
            </w:r>
          </w:p>
        </w:tc>
        <w:tc>
          <w:tcPr>
            <w:tcW w:w="1832" w:type="dxa"/>
            <w:gridSpan w:val="2"/>
            <w:noWrap w:val="0"/>
            <w:vAlign w:val="center"/>
          </w:tcPr>
          <w:p w14:paraId="1EDFDE4A">
            <w:pPr>
              <w:widowControl/>
              <w:jc w:val="center"/>
              <w:rPr>
                <w:rFonts w:hint="eastAsia"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6.07</w:t>
            </w:r>
          </w:p>
        </w:tc>
      </w:tr>
      <w:tr w14:paraId="6FDBC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3354" w:type="dxa"/>
            <w:noWrap w:val="0"/>
            <w:vAlign w:val="center"/>
          </w:tcPr>
          <w:p w14:paraId="73F6AC2E">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会议费、培训费</w:t>
            </w:r>
          </w:p>
        </w:tc>
        <w:tc>
          <w:tcPr>
            <w:tcW w:w="2038" w:type="dxa"/>
            <w:gridSpan w:val="2"/>
            <w:shd w:val="clear" w:color="auto" w:fill="auto"/>
            <w:noWrap w:val="0"/>
            <w:vAlign w:val="center"/>
          </w:tcPr>
          <w:p w14:paraId="07512017">
            <w:pPr>
              <w:widowControl/>
              <w:shd w:val="clear"/>
              <w:jc w:val="center"/>
              <w:rPr>
                <w:rFonts w:hint="eastAsia" w:ascii="仿宋" w:hAnsi="仿宋" w:eastAsia="仿宋" w:cs="仿宋"/>
                <w:b w:val="0"/>
                <w:bCs w:val="0"/>
                <w:color w:val="auto"/>
                <w:kern w:val="0"/>
                <w:sz w:val="20"/>
                <w:szCs w:val="20"/>
                <w:lang w:val="en-US" w:eastAsia="zh-CN" w:bidi="ar-SA"/>
              </w:rPr>
            </w:pPr>
            <w:r>
              <w:rPr>
                <w:rFonts w:hint="eastAsia" w:ascii="仿宋" w:hAnsi="仿宋" w:eastAsia="仿宋" w:cs="仿宋"/>
                <w:b w:val="0"/>
                <w:bCs w:val="0"/>
                <w:color w:val="auto"/>
                <w:kern w:val="0"/>
                <w:sz w:val="20"/>
                <w:szCs w:val="20"/>
                <w:lang w:val="en-US" w:eastAsia="zh-CN"/>
              </w:rPr>
              <w:t>0.84</w:t>
            </w:r>
          </w:p>
        </w:tc>
        <w:tc>
          <w:tcPr>
            <w:tcW w:w="2240" w:type="dxa"/>
            <w:gridSpan w:val="2"/>
            <w:noWrap w:val="0"/>
            <w:vAlign w:val="center"/>
          </w:tcPr>
          <w:p w14:paraId="37911430">
            <w:pPr>
              <w:widowControl/>
              <w:jc w:val="center"/>
              <w:rPr>
                <w:rFonts w:hint="eastAsia"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0.90　</w:t>
            </w:r>
          </w:p>
        </w:tc>
        <w:tc>
          <w:tcPr>
            <w:tcW w:w="1832" w:type="dxa"/>
            <w:gridSpan w:val="2"/>
            <w:noWrap w:val="0"/>
            <w:vAlign w:val="center"/>
          </w:tcPr>
          <w:p w14:paraId="1309BA43">
            <w:pPr>
              <w:widowControl/>
              <w:jc w:val="center"/>
              <w:rPr>
                <w:rFonts w:hint="eastAsia"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0.00</w:t>
            </w:r>
          </w:p>
        </w:tc>
      </w:tr>
      <w:tr w14:paraId="74F13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54" w:type="dxa"/>
            <w:noWrap w:val="0"/>
            <w:vAlign w:val="center"/>
          </w:tcPr>
          <w:p w14:paraId="7E0FD58B">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政府采购金额</w:t>
            </w:r>
          </w:p>
        </w:tc>
        <w:tc>
          <w:tcPr>
            <w:tcW w:w="2038" w:type="dxa"/>
            <w:gridSpan w:val="2"/>
            <w:noWrap w:val="0"/>
            <w:vAlign w:val="center"/>
          </w:tcPr>
          <w:p w14:paraId="40B569C4">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14:paraId="397ABF79">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　</w:t>
            </w:r>
          </w:p>
        </w:tc>
        <w:tc>
          <w:tcPr>
            <w:tcW w:w="1832" w:type="dxa"/>
            <w:gridSpan w:val="2"/>
            <w:noWrap w:val="0"/>
            <w:vAlign w:val="center"/>
          </w:tcPr>
          <w:p w14:paraId="5308A35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7C2D6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54" w:type="dxa"/>
            <w:noWrap w:val="0"/>
            <w:vAlign w:val="center"/>
          </w:tcPr>
          <w:p w14:paraId="75D4F1A8">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部门基本支出预算调整 </w:t>
            </w:r>
          </w:p>
        </w:tc>
        <w:tc>
          <w:tcPr>
            <w:tcW w:w="2038" w:type="dxa"/>
            <w:gridSpan w:val="2"/>
            <w:noWrap w:val="0"/>
            <w:vAlign w:val="center"/>
          </w:tcPr>
          <w:p w14:paraId="0EF5970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14:paraId="3E2A71D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5B5917F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4E6E3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trPr>
        <w:tc>
          <w:tcPr>
            <w:tcW w:w="3354" w:type="dxa"/>
            <w:vMerge w:val="restart"/>
            <w:noWrap w:val="0"/>
            <w:vAlign w:val="center"/>
          </w:tcPr>
          <w:p w14:paraId="7AF086F2">
            <w:pPr>
              <w:widowControl/>
              <w:jc w:val="center"/>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rPr>
              <w:t>楼堂馆所控制情况</w:t>
            </w:r>
            <w:r>
              <w:rPr>
                <w:rFonts w:hint="eastAsia" w:ascii="仿宋" w:hAnsi="仿宋" w:eastAsia="仿宋" w:cs="仿宋"/>
                <w:b w:val="0"/>
                <w:bCs w:val="0"/>
                <w:kern w:val="0"/>
                <w:sz w:val="20"/>
                <w:szCs w:val="20"/>
              </w:rPr>
              <w:br w:type="textWrapping"/>
            </w:r>
            <w:r>
              <w:rPr>
                <w:rFonts w:hint="eastAsia" w:ascii="仿宋" w:hAnsi="仿宋" w:eastAsia="仿宋" w:cs="仿宋"/>
                <w:b w:val="0"/>
                <w:bCs w:val="0"/>
                <w:kern w:val="0"/>
                <w:sz w:val="20"/>
                <w:szCs w:val="20"/>
                <w:lang w:eastAsia="zh-CN"/>
              </w:rPr>
              <w:t>（</w:t>
            </w:r>
            <w:r>
              <w:rPr>
                <w:rFonts w:hint="eastAsia" w:ascii="仿宋" w:hAnsi="仿宋" w:eastAsia="仿宋" w:cs="仿宋"/>
                <w:b w:val="0"/>
                <w:bCs w:val="0"/>
                <w:kern w:val="0"/>
                <w:sz w:val="20"/>
                <w:szCs w:val="20"/>
                <w:lang w:val="en-US" w:eastAsia="zh-CN"/>
              </w:rPr>
              <w:t>2024年完工情况</w:t>
            </w:r>
            <w:r>
              <w:rPr>
                <w:rFonts w:hint="eastAsia" w:ascii="仿宋" w:hAnsi="仿宋" w:eastAsia="仿宋" w:cs="仿宋"/>
                <w:b w:val="0"/>
                <w:bCs w:val="0"/>
                <w:kern w:val="0"/>
                <w:sz w:val="20"/>
                <w:szCs w:val="20"/>
                <w:lang w:eastAsia="zh-CN"/>
              </w:rPr>
              <w:t>）</w:t>
            </w:r>
          </w:p>
        </w:tc>
        <w:tc>
          <w:tcPr>
            <w:tcW w:w="1189" w:type="dxa"/>
            <w:noWrap w:val="0"/>
            <w:vAlign w:val="center"/>
          </w:tcPr>
          <w:p w14:paraId="38F19001">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批复规模</w:t>
            </w:r>
            <w:r>
              <w:rPr>
                <w:rFonts w:hint="eastAsia" w:ascii="仿宋" w:hAnsi="仿宋" w:eastAsia="仿宋" w:cs="仿宋"/>
                <w:b w:val="0"/>
                <w:bCs w:val="0"/>
                <w:kern w:val="0"/>
                <w:sz w:val="20"/>
                <w:szCs w:val="20"/>
              </w:rPr>
              <w:br w:type="textWrapping"/>
            </w:r>
            <w:r>
              <w:rPr>
                <w:rFonts w:hint="eastAsia" w:ascii="仿宋" w:hAnsi="仿宋" w:eastAsia="仿宋" w:cs="仿宋"/>
                <w:b w:val="0"/>
                <w:bCs w:val="0"/>
                <w:kern w:val="0"/>
                <w:sz w:val="20"/>
                <w:szCs w:val="20"/>
              </w:rPr>
              <w:t>（㎡）</w:t>
            </w:r>
          </w:p>
        </w:tc>
        <w:tc>
          <w:tcPr>
            <w:tcW w:w="849" w:type="dxa"/>
            <w:noWrap w:val="0"/>
            <w:vAlign w:val="center"/>
          </w:tcPr>
          <w:p w14:paraId="0CEB08BD">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实际规模（㎡）</w:t>
            </w:r>
          </w:p>
        </w:tc>
        <w:tc>
          <w:tcPr>
            <w:tcW w:w="1129" w:type="dxa"/>
            <w:noWrap w:val="0"/>
            <w:vAlign w:val="center"/>
          </w:tcPr>
          <w:p w14:paraId="064C61F0">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规模控制率</w:t>
            </w:r>
          </w:p>
        </w:tc>
        <w:tc>
          <w:tcPr>
            <w:tcW w:w="1111" w:type="dxa"/>
            <w:noWrap w:val="0"/>
            <w:vAlign w:val="center"/>
          </w:tcPr>
          <w:p w14:paraId="1D092E0D">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预算投资（万元）</w:t>
            </w:r>
          </w:p>
        </w:tc>
        <w:tc>
          <w:tcPr>
            <w:tcW w:w="969" w:type="dxa"/>
            <w:noWrap w:val="0"/>
            <w:vAlign w:val="center"/>
          </w:tcPr>
          <w:p w14:paraId="5F57936F">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实际投资（万元）</w:t>
            </w:r>
          </w:p>
        </w:tc>
        <w:tc>
          <w:tcPr>
            <w:tcW w:w="863" w:type="dxa"/>
            <w:noWrap w:val="0"/>
            <w:vAlign w:val="center"/>
          </w:tcPr>
          <w:p w14:paraId="2DE6CACE">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投资概算控制率</w:t>
            </w:r>
          </w:p>
        </w:tc>
      </w:tr>
      <w:tr w14:paraId="4F328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3354" w:type="dxa"/>
            <w:vMerge w:val="continue"/>
            <w:noWrap w:val="0"/>
            <w:vAlign w:val="center"/>
          </w:tcPr>
          <w:p w14:paraId="6E895822">
            <w:pPr>
              <w:widowControl/>
              <w:jc w:val="left"/>
              <w:rPr>
                <w:rFonts w:hint="eastAsia" w:ascii="仿宋" w:hAnsi="仿宋" w:eastAsia="仿宋" w:cs="仿宋"/>
                <w:b w:val="0"/>
                <w:bCs w:val="0"/>
                <w:kern w:val="0"/>
                <w:sz w:val="20"/>
                <w:szCs w:val="20"/>
              </w:rPr>
            </w:pPr>
          </w:p>
        </w:tc>
        <w:tc>
          <w:tcPr>
            <w:tcW w:w="1189" w:type="dxa"/>
            <w:noWrap w:val="0"/>
            <w:vAlign w:val="center"/>
          </w:tcPr>
          <w:p w14:paraId="3A3C85FA">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p>
        </w:tc>
        <w:tc>
          <w:tcPr>
            <w:tcW w:w="849" w:type="dxa"/>
            <w:noWrap w:val="0"/>
            <w:vAlign w:val="center"/>
          </w:tcPr>
          <w:p w14:paraId="63C51AA4">
            <w:pPr>
              <w:widowControl/>
              <w:jc w:val="left"/>
              <w:rPr>
                <w:rFonts w:hint="eastAsia" w:ascii="仿宋" w:hAnsi="仿宋" w:eastAsia="仿宋" w:cs="仿宋"/>
                <w:b w:val="0"/>
                <w:bCs w:val="0"/>
                <w:kern w:val="0"/>
                <w:sz w:val="20"/>
                <w:szCs w:val="20"/>
              </w:rPr>
            </w:pPr>
          </w:p>
        </w:tc>
        <w:tc>
          <w:tcPr>
            <w:tcW w:w="1129" w:type="dxa"/>
            <w:noWrap w:val="0"/>
            <w:vAlign w:val="center"/>
          </w:tcPr>
          <w:p w14:paraId="482CAB8E">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111" w:type="dxa"/>
            <w:noWrap w:val="0"/>
            <w:vAlign w:val="center"/>
          </w:tcPr>
          <w:p w14:paraId="302EAD59">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969" w:type="dxa"/>
            <w:noWrap w:val="0"/>
            <w:vAlign w:val="center"/>
          </w:tcPr>
          <w:p w14:paraId="161FD494">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863" w:type="dxa"/>
            <w:noWrap w:val="0"/>
            <w:vAlign w:val="center"/>
          </w:tcPr>
          <w:p w14:paraId="28B40204">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2FA1F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3354" w:type="dxa"/>
            <w:noWrap w:val="0"/>
            <w:vAlign w:val="center"/>
          </w:tcPr>
          <w:p w14:paraId="24AE1B0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厉行节约保障措施</w:t>
            </w:r>
          </w:p>
        </w:tc>
        <w:tc>
          <w:tcPr>
            <w:tcW w:w="6110" w:type="dxa"/>
            <w:gridSpan w:val="6"/>
            <w:noWrap w:val="0"/>
            <w:vAlign w:val="center"/>
          </w:tcPr>
          <w:p w14:paraId="3483AE87">
            <w:pPr>
              <w:widowControl/>
              <w:jc w:val="center"/>
              <w:rPr>
                <w:rFonts w:hint="eastAsia" w:ascii="仿宋" w:hAnsi="仿宋" w:eastAsia="仿宋" w:cs="仿宋"/>
                <w:b w:val="0"/>
                <w:bCs w:val="0"/>
                <w:kern w:val="0"/>
                <w:sz w:val="20"/>
                <w:szCs w:val="20"/>
              </w:rPr>
            </w:pPr>
            <w:r>
              <w:rPr>
                <w:rFonts w:hint="eastAsia" w:ascii="仿宋" w:hAnsi="仿宋" w:eastAsia="仿宋" w:cs="仿宋"/>
                <w:sz w:val="20"/>
                <w:szCs w:val="20"/>
                <w:lang w:val="en-US" w:eastAsia="zh-CN"/>
              </w:rPr>
              <w:t>厉行节约，压减经费开支。</w:t>
            </w:r>
            <w:r>
              <w:rPr>
                <w:rFonts w:hint="eastAsia" w:ascii="仿宋" w:hAnsi="仿宋" w:eastAsia="仿宋" w:cs="仿宋"/>
                <w:b w:val="0"/>
                <w:bCs w:val="0"/>
                <w:kern w:val="0"/>
                <w:sz w:val="20"/>
                <w:szCs w:val="20"/>
              </w:rPr>
              <w:t>　</w:t>
            </w:r>
          </w:p>
        </w:tc>
      </w:tr>
    </w:tbl>
    <w:p w14:paraId="00F6D30B">
      <w:pPr>
        <w:pStyle w:val="13"/>
        <w:keepNext/>
        <w:keepLines/>
        <w:pageBreakBefore w:val="0"/>
        <w:widowControl w:val="0"/>
        <w:kinsoku/>
        <w:wordWrap/>
        <w:overflowPunct/>
        <w:topLinePunct w:val="0"/>
        <w:autoSpaceDE/>
        <w:autoSpaceDN/>
        <w:bidi w:val="0"/>
        <w:adjustRightInd/>
        <w:snapToGrid/>
        <w:spacing w:line="280" w:lineRule="exact"/>
        <w:ind w:left="0" w:leftChars="0" w:firstLine="0" w:firstLineChars="0"/>
        <w:textAlignment w:val="auto"/>
        <w:rPr>
          <w:rFonts w:hint="eastAsia"/>
          <w:lang w:val="en-US" w:eastAsia="zh-CN"/>
        </w:rPr>
      </w:pPr>
      <w:r>
        <w:rPr>
          <w:rFonts w:eastAsia="仿宋_GB2312"/>
          <w:kern w:val="0"/>
          <w:sz w:val="22"/>
        </w:rPr>
        <w:t>说明：“项目支出”需要填报基本支出以外的所有项目支出情况，“公用经费”填报基本支出中的一般商品和服务支出。</w:t>
      </w:r>
    </w:p>
    <w:p w14:paraId="4E00B4E1">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 </w:t>
      </w:r>
    </w:p>
    <w:p w14:paraId="5D0A206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t>附件2</w:t>
      </w:r>
    </w:p>
    <w:p w14:paraId="7F4537C1">
      <w:pPr>
        <w:keepNext w:val="0"/>
        <w:keepLines w:val="0"/>
        <w:pageBreakBefore w:val="0"/>
        <w:widowControl/>
        <w:tabs>
          <w:tab w:val="left" w:pos="2555"/>
          <w:tab w:val="left" w:pos="3611"/>
          <w:tab w:val="center" w:pos="4365"/>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left"/>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ab/>
      </w:r>
      <w:r>
        <w:rPr>
          <w:rFonts w:hint="eastAsia" w:ascii="方正小标宋简体" w:hAnsi="方正小标宋简体" w:eastAsia="方正小标宋简体" w:cs="方正小标宋简体"/>
          <w:color w:val="000000"/>
          <w:kern w:val="0"/>
          <w:sz w:val="36"/>
          <w:szCs w:val="36"/>
          <w:lang w:val="en-US" w:eastAsia="zh-CN"/>
        </w:rPr>
        <w:t>部门整体支出绩效自评表</w:t>
      </w:r>
    </w:p>
    <w:tbl>
      <w:tblPr>
        <w:tblStyle w:val="10"/>
        <w:tblW w:w="92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1141"/>
        <w:gridCol w:w="935"/>
        <w:gridCol w:w="1150"/>
        <w:gridCol w:w="1280"/>
        <w:gridCol w:w="1140"/>
        <w:gridCol w:w="700"/>
        <w:gridCol w:w="616"/>
        <w:gridCol w:w="1157"/>
      </w:tblGrid>
      <w:tr w14:paraId="688DC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143" w:type="dxa"/>
            <w:noWrap w:val="0"/>
            <w:vAlign w:val="center"/>
          </w:tcPr>
          <w:p w14:paraId="657D50B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w:t>
            </w:r>
            <w:r>
              <w:rPr>
                <w:rFonts w:hint="eastAsia" w:ascii="仿宋" w:hAnsi="仿宋" w:eastAsia="仿宋" w:cs="仿宋"/>
                <w:color w:val="000000"/>
                <w:kern w:val="0"/>
                <w:sz w:val="20"/>
                <w:szCs w:val="20"/>
                <w:lang w:eastAsia="zh-CN"/>
              </w:rPr>
              <w:t>部门</w:t>
            </w:r>
            <w:r>
              <w:rPr>
                <w:rFonts w:hint="eastAsia" w:ascii="仿宋" w:hAnsi="仿宋" w:eastAsia="仿宋" w:cs="仿宋"/>
                <w:color w:val="000000"/>
                <w:kern w:val="0"/>
                <w:sz w:val="20"/>
                <w:szCs w:val="20"/>
              </w:rPr>
              <w:t>名称</w:t>
            </w:r>
          </w:p>
        </w:tc>
        <w:tc>
          <w:tcPr>
            <w:tcW w:w="8119" w:type="dxa"/>
            <w:gridSpan w:val="8"/>
            <w:noWrap w:val="0"/>
            <w:vAlign w:val="center"/>
          </w:tcPr>
          <w:p w14:paraId="6CCEFD6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sz w:val="20"/>
                <w:szCs w:val="20"/>
              </w:rPr>
              <w:t>　怀化市土地储备中心</w:t>
            </w:r>
            <w:r>
              <w:rPr>
                <w:rFonts w:hint="eastAsia" w:ascii="仿宋" w:hAnsi="仿宋" w:eastAsia="仿宋" w:cs="仿宋"/>
                <w:color w:val="000000"/>
                <w:kern w:val="0"/>
                <w:sz w:val="20"/>
                <w:szCs w:val="20"/>
              </w:rPr>
              <w:t>　</w:t>
            </w:r>
          </w:p>
        </w:tc>
      </w:tr>
      <w:tr w14:paraId="55EA8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143" w:type="dxa"/>
            <w:vMerge w:val="restart"/>
            <w:noWrap w:val="0"/>
            <w:vAlign w:val="center"/>
          </w:tcPr>
          <w:p w14:paraId="0C34CB5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年度预</w:t>
            </w:r>
          </w:p>
          <w:p w14:paraId="0195787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算申请</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076" w:type="dxa"/>
            <w:gridSpan w:val="2"/>
            <w:noWrap w:val="0"/>
            <w:vAlign w:val="center"/>
          </w:tcPr>
          <w:p w14:paraId="5F62FE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p>
        </w:tc>
        <w:tc>
          <w:tcPr>
            <w:tcW w:w="1150" w:type="dxa"/>
            <w:noWrap w:val="0"/>
            <w:vAlign w:val="center"/>
          </w:tcPr>
          <w:p w14:paraId="1636415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年初</w:t>
            </w:r>
          </w:p>
          <w:p w14:paraId="39F893E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预算数</w:t>
            </w:r>
          </w:p>
        </w:tc>
        <w:tc>
          <w:tcPr>
            <w:tcW w:w="1280" w:type="dxa"/>
            <w:noWrap w:val="0"/>
            <w:vAlign w:val="center"/>
          </w:tcPr>
          <w:p w14:paraId="3683C2A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全年预算数</w:t>
            </w:r>
          </w:p>
        </w:tc>
        <w:tc>
          <w:tcPr>
            <w:tcW w:w="1140" w:type="dxa"/>
            <w:noWrap w:val="0"/>
            <w:vAlign w:val="center"/>
          </w:tcPr>
          <w:p w14:paraId="45A6169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3BA5BE0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700" w:type="dxa"/>
            <w:noWrap w:val="0"/>
            <w:vAlign w:val="center"/>
          </w:tcPr>
          <w:p w14:paraId="2D240D7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616" w:type="dxa"/>
            <w:noWrap w:val="0"/>
            <w:vAlign w:val="center"/>
          </w:tcPr>
          <w:p w14:paraId="3B9E90F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157" w:type="dxa"/>
            <w:noWrap w:val="0"/>
            <w:vAlign w:val="center"/>
          </w:tcPr>
          <w:p w14:paraId="2F0348B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293BD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143" w:type="dxa"/>
            <w:vMerge w:val="continue"/>
            <w:noWrap w:val="0"/>
            <w:vAlign w:val="center"/>
          </w:tcPr>
          <w:p w14:paraId="5751DD5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2076" w:type="dxa"/>
            <w:gridSpan w:val="2"/>
            <w:noWrap w:val="0"/>
            <w:vAlign w:val="center"/>
          </w:tcPr>
          <w:p w14:paraId="547B1B3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color w:val="000000"/>
                <w:kern w:val="0"/>
                <w:sz w:val="20"/>
                <w:szCs w:val="20"/>
              </w:rPr>
              <w:t>年度资金总额</w:t>
            </w:r>
          </w:p>
        </w:tc>
        <w:tc>
          <w:tcPr>
            <w:tcW w:w="1150" w:type="dxa"/>
            <w:noWrap w:val="0"/>
            <w:vAlign w:val="center"/>
          </w:tcPr>
          <w:p w14:paraId="6292903B">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506.49</w:t>
            </w:r>
          </w:p>
        </w:tc>
        <w:tc>
          <w:tcPr>
            <w:tcW w:w="1280" w:type="dxa"/>
            <w:noWrap w:val="0"/>
            <w:vAlign w:val="center"/>
          </w:tcPr>
          <w:p w14:paraId="0F0B7C52">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34,339.13</w:t>
            </w:r>
          </w:p>
        </w:tc>
        <w:tc>
          <w:tcPr>
            <w:tcW w:w="1140" w:type="dxa"/>
            <w:noWrap w:val="0"/>
            <w:vAlign w:val="center"/>
          </w:tcPr>
          <w:p w14:paraId="73F6D6D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b w:val="0"/>
                <w:bCs w:val="0"/>
                <w:kern w:val="0"/>
                <w:sz w:val="20"/>
                <w:szCs w:val="20"/>
                <w:lang w:val="en-US" w:eastAsia="zh-CN"/>
              </w:rPr>
              <w:t>34,339.13</w:t>
            </w:r>
          </w:p>
        </w:tc>
        <w:tc>
          <w:tcPr>
            <w:tcW w:w="700" w:type="dxa"/>
            <w:noWrap w:val="0"/>
            <w:vAlign w:val="center"/>
          </w:tcPr>
          <w:p w14:paraId="057BC44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10</w:t>
            </w:r>
          </w:p>
        </w:tc>
        <w:tc>
          <w:tcPr>
            <w:tcW w:w="616" w:type="dxa"/>
            <w:noWrap w:val="0"/>
            <w:vAlign w:val="center"/>
          </w:tcPr>
          <w:p w14:paraId="63FB006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100%</w:t>
            </w:r>
          </w:p>
        </w:tc>
        <w:tc>
          <w:tcPr>
            <w:tcW w:w="1157" w:type="dxa"/>
            <w:noWrap w:val="0"/>
            <w:vAlign w:val="center"/>
          </w:tcPr>
          <w:p w14:paraId="0A22DC3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10</w:t>
            </w:r>
          </w:p>
        </w:tc>
      </w:tr>
      <w:tr w14:paraId="7206C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43" w:type="dxa"/>
            <w:vMerge w:val="continue"/>
            <w:noWrap w:val="0"/>
            <w:vAlign w:val="center"/>
          </w:tcPr>
          <w:p w14:paraId="5698AA8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06" w:type="dxa"/>
            <w:gridSpan w:val="4"/>
            <w:noWrap w:val="0"/>
            <w:vAlign w:val="center"/>
          </w:tcPr>
          <w:p w14:paraId="78BCA36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按收入性质分：</w:t>
            </w:r>
          </w:p>
        </w:tc>
        <w:tc>
          <w:tcPr>
            <w:tcW w:w="3613" w:type="dxa"/>
            <w:gridSpan w:val="4"/>
            <w:noWrap w:val="0"/>
            <w:vAlign w:val="center"/>
          </w:tcPr>
          <w:p w14:paraId="03E865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按支出性质分：</w:t>
            </w:r>
          </w:p>
        </w:tc>
      </w:tr>
      <w:tr w14:paraId="794B1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143" w:type="dxa"/>
            <w:vMerge w:val="continue"/>
            <w:noWrap w:val="0"/>
            <w:vAlign w:val="center"/>
          </w:tcPr>
          <w:p w14:paraId="03A6AE1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06" w:type="dxa"/>
            <w:gridSpan w:val="4"/>
            <w:noWrap w:val="0"/>
            <w:vAlign w:val="center"/>
          </w:tcPr>
          <w:p w14:paraId="64C4E9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xml:space="preserve">  其中：  一般公共预算：</w:t>
            </w:r>
          </w:p>
        </w:tc>
        <w:tc>
          <w:tcPr>
            <w:tcW w:w="3613" w:type="dxa"/>
            <w:gridSpan w:val="4"/>
            <w:noWrap w:val="0"/>
            <w:vAlign w:val="center"/>
          </w:tcPr>
          <w:p w14:paraId="08A0D16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其中：基本支出：</w:t>
            </w:r>
            <w:r>
              <w:rPr>
                <w:rFonts w:hint="eastAsia" w:ascii="仿宋" w:hAnsi="仿宋" w:eastAsia="仿宋" w:cs="仿宋"/>
                <w:color w:val="000000"/>
                <w:kern w:val="0"/>
                <w:sz w:val="20"/>
                <w:szCs w:val="20"/>
                <w:lang w:val="en-US" w:eastAsia="zh-CN"/>
              </w:rPr>
              <w:t>409.99</w:t>
            </w:r>
          </w:p>
        </w:tc>
      </w:tr>
      <w:tr w14:paraId="594B3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143" w:type="dxa"/>
            <w:vMerge w:val="continue"/>
            <w:noWrap w:val="0"/>
            <w:vAlign w:val="center"/>
          </w:tcPr>
          <w:p w14:paraId="7C16D7D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06" w:type="dxa"/>
            <w:gridSpan w:val="4"/>
            <w:noWrap w:val="0"/>
            <w:vAlign w:val="center"/>
          </w:tcPr>
          <w:p w14:paraId="77084DCB">
            <w:pPr>
              <w:keepNext w:val="0"/>
              <w:keepLines w:val="0"/>
              <w:pageBreakBefore w:val="0"/>
              <w:widowControl/>
              <w:kinsoku/>
              <w:wordWrap/>
              <w:overflowPunct/>
              <w:topLinePunct w:val="0"/>
              <w:autoSpaceDE/>
              <w:autoSpaceDN/>
              <w:bidi w:val="0"/>
              <w:adjustRightInd/>
              <w:snapToGrid/>
              <w:spacing w:line="240" w:lineRule="exact"/>
              <w:ind w:firstLine="800" w:firstLineChars="4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政府性基金拨款：</w:t>
            </w:r>
            <w:r>
              <w:rPr>
                <w:rFonts w:hint="eastAsia" w:ascii="仿宋" w:hAnsi="仿宋" w:eastAsia="仿宋" w:cs="仿宋"/>
                <w:b w:val="0"/>
                <w:bCs w:val="0"/>
                <w:kern w:val="0"/>
                <w:sz w:val="20"/>
                <w:szCs w:val="20"/>
                <w:lang w:val="en-US" w:eastAsia="zh-CN"/>
              </w:rPr>
              <w:t>34,339.13</w:t>
            </w:r>
          </w:p>
        </w:tc>
        <w:tc>
          <w:tcPr>
            <w:tcW w:w="3613" w:type="dxa"/>
            <w:gridSpan w:val="4"/>
            <w:noWrap w:val="0"/>
            <w:vAlign w:val="center"/>
          </w:tcPr>
          <w:p w14:paraId="20C07A26">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项目支出：</w:t>
            </w:r>
            <w:r>
              <w:rPr>
                <w:rFonts w:hint="eastAsia" w:ascii="仿宋" w:hAnsi="仿宋" w:eastAsia="仿宋" w:cs="仿宋"/>
                <w:b w:val="0"/>
                <w:bCs w:val="0"/>
                <w:kern w:val="0"/>
                <w:sz w:val="20"/>
                <w:szCs w:val="20"/>
                <w:lang w:val="en-US" w:eastAsia="zh-CN"/>
              </w:rPr>
              <w:t>33,929.14</w:t>
            </w:r>
          </w:p>
        </w:tc>
      </w:tr>
      <w:tr w14:paraId="4FFAA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143" w:type="dxa"/>
            <w:vMerge w:val="continue"/>
            <w:noWrap w:val="0"/>
            <w:vAlign w:val="center"/>
          </w:tcPr>
          <w:p w14:paraId="181DC78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06" w:type="dxa"/>
            <w:gridSpan w:val="4"/>
            <w:noWrap w:val="0"/>
            <w:vAlign w:val="center"/>
          </w:tcPr>
          <w:p w14:paraId="3BA8552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纳入专户管理的非税收入拨款：</w:t>
            </w:r>
          </w:p>
        </w:tc>
        <w:tc>
          <w:tcPr>
            <w:tcW w:w="3613" w:type="dxa"/>
            <w:gridSpan w:val="4"/>
            <w:noWrap w:val="0"/>
            <w:vAlign w:val="center"/>
          </w:tcPr>
          <w:p w14:paraId="01389A6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7FFEA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43" w:type="dxa"/>
            <w:vMerge w:val="continue"/>
            <w:noWrap w:val="0"/>
            <w:vAlign w:val="center"/>
          </w:tcPr>
          <w:p w14:paraId="1D642DC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06" w:type="dxa"/>
            <w:gridSpan w:val="4"/>
            <w:noWrap w:val="0"/>
            <w:vAlign w:val="center"/>
          </w:tcPr>
          <w:p w14:paraId="7A6A096E">
            <w:pPr>
              <w:keepNext w:val="0"/>
              <w:keepLines w:val="0"/>
              <w:pageBreakBefore w:val="0"/>
              <w:widowControl/>
              <w:kinsoku/>
              <w:wordWrap/>
              <w:overflowPunct/>
              <w:topLinePunct w:val="0"/>
              <w:autoSpaceDE/>
              <w:autoSpaceDN/>
              <w:bidi w:val="0"/>
              <w:adjustRightInd/>
              <w:snapToGrid/>
              <w:spacing w:line="240" w:lineRule="exact"/>
              <w:ind w:firstLine="1400" w:firstLineChars="7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3613" w:type="dxa"/>
            <w:gridSpan w:val="4"/>
            <w:noWrap w:val="0"/>
            <w:vAlign w:val="center"/>
          </w:tcPr>
          <w:p w14:paraId="7107DF7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6D6B0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143" w:type="dxa"/>
            <w:vMerge w:val="restart"/>
            <w:noWrap w:val="0"/>
            <w:vAlign w:val="center"/>
          </w:tcPr>
          <w:p w14:paraId="6C25623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06" w:type="dxa"/>
            <w:gridSpan w:val="4"/>
            <w:noWrap w:val="0"/>
            <w:vAlign w:val="center"/>
          </w:tcPr>
          <w:p w14:paraId="7D8E40D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3613" w:type="dxa"/>
            <w:gridSpan w:val="4"/>
            <w:noWrap w:val="0"/>
            <w:vAlign w:val="center"/>
          </w:tcPr>
          <w:p w14:paraId="6A78104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0099A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143" w:type="dxa"/>
            <w:vMerge w:val="continue"/>
            <w:noWrap w:val="0"/>
            <w:vAlign w:val="center"/>
          </w:tcPr>
          <w:p w14:paraId="5F476A9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06" w:type="dxa"/>
            <w:gridSpan w:val="4"/>
            <w:noWrap w:val="0"/>
            <w:vAlign w:val="center"/>
          </w:tcPr>
          <w:p w14:paraId="5ECC2089">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sz w:val="20"/>
                <w:szCs w:val="20"/>
                <w:highlight w:val="none"/>
                <w:lang w:val="en-US" w:eastAsia="zh-CN"/>
              </w:rPr>
              <w:t>一是保</w:t>
            </w:r>
            <w:r>
              <w:rPr>
                <w:rFonts w:hint="eastAsia" w:ascii="仿宋" w:hAnsi="仿宋" w:eastAsia="仿宋" w:cs="仿宋"/>
                <w:sz w:val="20"/>
                <w:szCs w:val="20"/>
                <w:highlight w:val="none"/>
                <w:lang w:eastAsia="zh-CN"/>
              </w:rPr>
              <w:t>障本年度单位人员</w:t>
            </w:r>
            <w:r>
              <w:rPr>
                <w:rFonts w:hint="eastAsia" w:ascii="仿宋" w:hAnsi="仿宋" w:eastAsia="仿宋" w:cs="仿宋"/>
                <w:sz w:val="20"/>
                <w:szCs w:val="20"/>
                <w:highlight w:val="none"/>
                <w:lang w:val="en-US" w:eastAsia="zh-CN"/>
              </w:rPr>
              <w:t>及公用</w:t>
            </w:r>
            <w:r>
              <w:rPr>
                <w:rFonts w:hint="eastAsia" w:ascii="仿宋" w:hAnsi="仿宋" w:eastAsia="仿宋" w:cs="仿宋"/>
                <w:sz w:val="20"/>
                <w:szCs w:val="20"/>
                <w:highlight w:val="none"/>
                <w:lang w:eastAsia="zh-CN"/>
              </w:rPr>
              <w:t>经费</w:t>
            </w:r>
            <w:r>
              <w:rPr>
                <w:rFonts w:hint="eastAsia" w:ascii="仿宋" w:hAnsi="仿宋" w:eastAsia="仿宋" w:cs="仿宋"/>
                <w:sz w:val="20"/>
                <w:szCs w:val="20"/>
                <w:highlight w:val="none"/>
                <w:lang w:val="en-US" w:eastAsia="zh-CN"/>
              </w:rPr>
              <w:t>；二是完成土地供应计划，保证项目建设用地；二是完成2024年城镇建设用地报批工作；三是完成土地成片区开发方案制定等土地收储相关工作。</w:t>
            </w:r>
            <w:r>
              <w:rPr>
                <w:rFonts w:hint="eastAsia" w:ascii="仿宋" w:hAnsi="仿宋" w:eastAsia="仿宋" w:cs="仿宋"/>
                <w:sz w:val="20"/>
                <w:szCs w:val="20"/>
                <w:highlight w:val="none"/>
              </w:rPr>
              <w:t>　</w:t>
            </w:r>
            <w:r>
              <w:rPr>
                <w:rFonts w:hint="eastAsia" w:ascii="仿宋" w:hAnsi="仿宋" w:eastAsia="仿宋" w:cs="仿宋"/>
                <w:color w:val="000000"/>
                <w:kern w:val="0"/>
                <w:sz w:val="20"/>
                <w:szCs w:val="20"/>
              </w:rPr>
              <w:t>　</w:t>
            </w:r>
          </w:p>
        </w:tc>
        <w:tc>
          <w:tcPr>
            <w:tcW w:w="3613" w:type="dxa"/>
            <w:gridSpan w:val="4"/>
            <w:noWrap w:val="0"/>
            <w:vAlign w:val="center"/>
          </w:tcPr>
          <w:p w14:paraId="697328BF">
            <w:pPr>
              <w:keepNext w:val="0"/>
              <w:keepLines w:val="0"/>
              <w:pageBreakBefore w:val="0"/>
              <w:widowControl/>
              <w:shd w:val="clear"/>
              <w:kinsoku/>
              <w:wordWrap/>
              <w:overflowPunct/>
              <w:topLinePunct w:val="0"/>
              <w:autoSpaceDE/>
              <w:autoSpaceDN/>
              <w:bidi w:val="0"/>
              <w:adjustRightInd/>
              <w:snapToGrid/>
              <w:spacing w:line="240" w:lineRule="exact"/>
              <w:jc w:val="both"/>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完成了本年度单位人员经费保障任务,</w:t>
            </w:r>
          </w:p>
          <w:p w14:paraId="34C574F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rPr>
            </w:pPr>
            <w:r>
              <w:rPr>
                <w:rFonts w:hint="eastAsia" w:ascii="仿宋" w:hAnsi="仿宋" w:eastAsia="仿宋" w:cs="仿宋"/>
                <w:sz w:val="20"/>
                <w:szCs w:val="20"/>
                <w:lang w:val="en-US" w:eastAsia="zh-CN"/>
              </w:rPr>
              <w:t>完成了2024年度储备土地进储、供应工作。</w:t>
            </w:r>
          </w:p>
        </w:tc>
      </w:tr>
      <w:tr w14:paraId="10050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143" w:type="dxa"/>
            <w:vMerge w:val="restart"/>
            <w:noWrap w:val="0"/>
            <w:vAlign w:val="center"/>
          </w:tcPr>
          <w:p w14:paraId="3F978E2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4E2BACB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3975784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1936354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141" w:type="dxa"/>
            <w:noWrap w:val="0"/>
            <w:vAlign w:val="center"/>
          </w:tcPr>
          <w:p w14:paraId="4D2736D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935" w:type="dxa"/>
            <w:noWrap w:val="0"/>
            <w:vAlign w:val="center"/>
          </w:tcPr>
          <w:p w14:paraId="4C44CE0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50" w:type="dxa"/>
            <w:noWrap w:val="0"/>
            <w:vAlign w:val="center"/>
          </w:tcPr>
          <w:p w14:paraId="063616E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80" w:type="dxa"/>
            <w:noWrap w:val="0"/>
            <w:vAlign w:val="center"/>
          </w:tcPr>
          <w:p w14:paraId="368D6C3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0D2999C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40" w:type="dxa"/>
            <w:noWrap w:val="0"/>
            <w:vAlign w:val="center"/>
          </w:tcPr>
          <w:p w14:paraId="2FFC00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774CF9A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700" w:type="dxa"/>
            <w:noWrap w:val="0"/>
            <w:vAlign w:val="center"/>
          </w:tcPr>
          <w:p w14:paraId="41F802C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616" w:type="dxa"/>
            <w:noWrap w:val="0"/>
            <w:vAlign w:val="center"/>
          </w:tcPr>
          <w:p w14:paraId="7C30489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157" w:type="dxa"/>
            <w:noWrap w:val="0"/>
            <w:vAlign w:val="top"/>
          </w:tcPr>
          <w:p w14:paraId="1DE8193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75AE273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624FB11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00D88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143" w:type="dxa"/>
            <w:vMerge w:val="continue"/>
            <w:noWrap w:val="0"/>
            <w:vAlign w:val="center"/>
          </w:tcPr>
          <w:p w14:paraId="276D071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41" w:type="dxa"/>
            <w:vMerge w:val="restart"/>
            <w:noWrap w:val="0"/>
            <w:vAlign w:val="center"/>
          </w:tcPr>
          <w:p w14:paraId="0BCC092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935" w:type="dxa"/>
            <w:noWrap w:val="0"/>
            <w:vAlign w:val="center"/>
          </w:tcPr>
          <w:p w14:paraId="7C73645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50" w:type="dxa"/>
            <w:noWrap w:val="0"/>
            <w:vAlign w:val="center"/>
          </w:tcPr>
          <w:p w14:paraId="4B9E497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项目成本控制率</w:t>
            </w:r>
          </w:p>
        </w:tc>
        <w:tc>
          <w:tcPr>
            <w:tcW w:w="1280" w:type="dxa"/>
            <w:noWrap w:val="0"/>
            <w:vAlign w:val="center"/>
          </w:tcPr>
          <w:p w14:paraId="6A92563D">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r>
              <w:rPr>
                <w:rFonts w:hint="eastAsia" w:ascii="仿宋" w:hAnsi="仿宋" w:eastAsia="仿宋" w:cs="仿宋"/>
                <w:b w:val="0"/>
                <w:bCs w:val="0"/>
                <w:kern w:val="0"/>
                <w:sz w:val="20"/>
                <w:szCs w:val="20"/>
                <w:lang w:val="en-US" w:eastAsia="zh-CN"/>
              </w:rPr>
              <w:t>34,339.13</w:t>
            </w:r>
          </w:p>
        </w:tc>
        <w:tc>
          <w:tcPr>
            <w:tcW w:w="1140" w:type="dxa"/>
            <w:noWrap w:val="0"/>
            <w:vAlign w:val="center"/>
          </w:tcPr>
          <w:p w14:paraId="2817CC5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b w:val="0"/>
                <w:bCs w:val="0"/>
                <w:kern w:val="0"/>
                <w:sz w:val="20"/>
                <w:szCs w:val="20"/>
                <w:lang w:val="en-US" w:eastAsia="zh-CN"/>
              </w:rPr>
              <w:t>34,339.13</w:t>
            </w:r>
          </w:p>
        </w:tc>
        <w:tc>
          <w:tcPr>
            <w:tcW w:w="700" w:type="dxa"/>
            <w:noWrap w:val="0"/>
            <w:vAlign w:val="center"/>
          </w:tcPr>
          <w:p w14:paraId="4B0CE42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616" w:type="dxa"/>
            <w:noWrap w:val="0"/>
            <w:vAlign w:val="center"/>
          </w:tcPr>
          <w:p w14:paraId="3B98CBB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157" w:type="dxa"/>
            <w:noWrap w:val="0"/>
            <w:vAlign w:val="center"/>
          </w:tcPr>
          <w:p w14:paraId="7FB5B36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r>
      <w:tr w14:paraId="40F1E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43" w:type="dxa"/>
            <w:vMerge w:val="continue"/>
            <w:noWrap w:val="0"/>
            <w:vAlign w:val="center"/>
          </w:tcPr>
          <w:p w14:paraId="6363EA7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41" w:type="dxa"/>
            <w:vMerge w:val="continue"/>
            <w:noWrap w:val="0"/>
            <w:vAlign w:val="center"/>
          </w:tcPr>
          <w:p w14:paraId="6125E47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935" w:type="dxa"/>
            <w:noWrap w:val="0"/>
            <w:vAlign w:val="center"/>
          </w:tcPr>
          <w:p w14:paraId="5A28DDE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50" w:type="dxa"/>
            <w:noWrap w:val="0"/>
            <w:vAlign w:val="center"/>
          </w:tcPr>
          <w:p w14:paraId="3CFDD77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社会成本节约率</w:t>
            </w:r>
          </w:p>
        </w:tc>
        <w:tc>
          <w:tcPr>
            <w:tcW w:w="1280" w:type="dxa"/>
            <w:noWrap w:val="0"/>
            <w:vAlign w:val="center"/>
          </w:tcPr>
          <w:p w14:paraId="2F49BCB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0</w:t>
            </w:r>
          </w:p>
        </w:tc>
        <w:tc>
          <w:tcPr>
            <w:tcW w:w="1140" w:type="dxa"/>
            <w:noWrap w:val="0"/>
            <w:vAlign w:val="center"/>
          </w:tcPr>
          <w:p w14:paraId="2609C88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700" w:type="dxa"/>
            <w:noWrap w:val="0"/>
            <w:vAlign w:val="center"/>
          </w:tcPr>
          <w:p w14:paraId="34415B6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616" w:type="dxa"/>
            <w:noWrap w:val="0"/>
            <w:vAlign w:val="center"/>
          </w:tcPr>
          <w:p w14:paraId="1180B5B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57" w:type="dxa"/>
            <w:noWrap w:val="0"/>
            <w:vAlign w:val="center"/>
          </w:tcPr>
          <w:p w14:paraId="505947B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r>
      <w:tr w14:paraId="6F3F1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43" w:type="dxa"/>
            <w:vMerge w:val="continue"/>
            <w:noWrap w:val="0"/>
            <w:vAlign w:val="center"/>
          </w:tcPr>
          <w:p w14:paraId="6D83FE9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41" w:type="dxa"/>
            <w:vMerge w:val="continue"/>
            <w:noWrap w:val="0"/>
            <w:vAlign w:val="center"/>
          </w:tcPr>
          <w:p w14:paraId="30BEE61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935" w:type="dxa"/>
            <w:noWrap w:val="0"/>
            <w:vAlign w:val="center"/>
          </w:tcPr>
          <w:p w14:paraId="0E593B0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生态成本指标</w:t>
            </w:r>
          </w:p>
        </w:tc>
        <w:tc>
          <w:tcPr>
            <w:tcW w:w="1150" w:type="dxa"/>
            <w:noWrap w:val="0"/>
            <w:vAlign w:val="center"/>
          </w:tcPr>
          <w:p w14:paraId="33AE985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生态环境成本节约率</w:t>
            </w:r>
          </w:p>
        </w:tc>
        <w:tc>
          <w:tcPr>
            <w:tcW w:w="1280" w:type="dxa"/>
            <w:noWrap w:val="0"/>
            <w:vAlign w:val="center"/>
          </w:tcPr>
          <w:p w14:paraId="3BEEE16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0</w:t>
            </w:r>
          </w:p>
        </w:tc>
        <w:tc>
          <w:tcPr>
            <w:tcW w:w="1140" w:type="dxa"/>
            <w:noWrap w:val="0"/>
            <w:vAlign w:val="center"/>
          </w:tcPr>
          <w:p w14:paraId="5C9C397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0%</w:t>
            </w:r>
          </w:p>
        </w:tc>
        <w:tc>
          <w:tcPr>
            <w:tcW w:w="700" w:type="dxa"/>
            <w:shd w:val="clear"/>
            <w:noWrap w:val="0"/>
            <w:vAlign w:val="center"/>
          </w:tcPr>
          <w:p w14:paraId="707D856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616" w:type="dxa"/>
            <w:shd w:val="clear"/>
            <w:noWrap w:val="0"/>
            <w:vAlign w:val="center"/>
          </w:tcPr>
          <w:p w14:paraId="1E4BFE3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1157" w:type="dxa"/>
            <w:noWrap w:val="0"/>
            <w:vAlign w:val="center"/>
          </w:tcPr>
          <w:p w14:paraId="1D8A1D0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r>
      <w:tr w14:paraId="17247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143" w:type="dxa"/>
            <w:vMerge w:val="continue"/>
            <w:noWrap w:val="0"/>
            <w:vAlign w:val="center"/>
          </w:tcPr>
          <w:p w14:paraId="2558464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41" w:type="dxa"/>
            <w:vMerge w:val="restart"/>
            <w:noWrap w:val="0"/>
            <w:vAlign w:val="center"/>
          </w:tcPr>
          <w:p w14:paraId="2E21AB8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4104B11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935" w:type="dxa"/>
            <w:noWrap w:val="0"/>
            <w:vAlign w:val="center"/>
          </w:tcPr>
          <w:p w14:paraId="0467875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w:t>
            </w:r>
          </w:p>
          <w:p w14:paraId="1E7696B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150" w:type="dxa"/>
            <w:noWrap w:val="0"/>
            <w:vAlign w:val="center"/>
          </w:tcPr>
          <w:p w14:paraId="2B3FDD7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业务工作完成率</w:t>
            </w:r>
          </w:p>
        </w:tc>
        <w:tc>
          <w:tcPr>
            <w:tcW w:w="1280" w:type="dxa"/>
            <w:noWrap w:val="0"/>
            <w:vAlign w:val="center"/>
          </w:tcPr>
          <w:p w14:paraId="1AF5210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140" w:type="dxa"/>
            <w:noWrap w:val="0"/>
            <w:vAlign w:val="center"/>
          </w:tcPr>
          <w:p w14:paraId="6AABE7F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100</w:t>
            </w:r>
            <w:r>
              <w:rPr>
                <w:rFonts w:hint="eastAsia" w:ascii="仿宋" w:hAnsi="仿宋" w:eastAsia="仿宋" w:cs="仿宋"/>
                <w:color w:val="000000"/>
                <w:kern w:val="0"/>
                <w:sz w:val="20"/>
                <w:szCs w:val="20"/>
                <w:lang w:val="en-US" w:eastAsia="zh-CN"/>
              </w:rPr>
              <w:t>%</w:t>
            </w:r>
          </w:p>
        </w:tc>
        <w:tc>
          <w:tcPr>
            <w:tcW w:w="700" w:type="dxa"/>
            <w:noWrap w:val="0"/>
            <w:vAlign w:val="center"/>
          </w:tcPr>
          <w:p w14:paraId="5E18AEF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616" w:type="dxa"/>
            <w:noWrap w:val="0"/>
            <w:vAlign w:val="center"/>
          </w:tcPr>
          <w:p w14:paraId="6D0A009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1157" w:type="dxa"/>
            <w:noWrap w:val="0"/>
            <w:vAlign w:val="center"/>
          </w:tcPr>
          <w:p w14:paraId="3339EE5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r>
      <w:tr w14:paraId="34760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43" w:type="dxa"/>
            <w:vMerge w:val="continue"/>
            <w:noWrap w:val="0"/>
            <w:vAlign w:val="center"/>
          </w:tcPr>
          <w:p w14:paraId="7E03D4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41" w:type="dxa"/>
            <w:vMerge w:val="continue"/>
            <w:noWrap w:val="0"/>
            <w:vAlign w:val="center"/>
          </w:tcPr>
          <w:p w14:paraId="3C574A4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935" w:type="dxa"/>
            <w:noWrap w:val="0"/>
            <w:vAlign w:val="center"/>
          </w:tcPr>
          <w:p w14:paraId="341CD79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w:t>
            </w:r>
          </w:p>
          <w:p w14:paraId="491D790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150" w:type="dxa"/>
            <w:noWrap w:val="0"/>
            <w:vAlign w:val="center"/>
          </w:tcPr>
          <w:p w14:paraId="45C5280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项目验收合格率</w:t>
            </w:r>
          </w:p>
        </w:tc>
        <w:tc>
          <w:tcPr>
            <w:tcW w:w="1280" w:type="dxa"/>
            <w:noWrap w:val="0"/>
            <w:vAlign w:val="center"/>
          </w:tcPr>
          <w:p w14:paraId="57A0083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140" w:type="dxa"/>
            <w:noWrap w:val="0"/>
            <w:vAlign w:val="center"/>
          </w:tcPr>
          <w:p w14:paraId="2AE24C0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r>
              <w:rPr>
                <w:rFonts w:hint="eastAsia" w:ascii="仿宋" w:hAnsi="仿宋" w:eastAsia="仿宋" w:cs="仿宋"/>
                <w:color w:val="000000"/>
                <w:kern w:val="0"/>
                <w:sz w:val="20"/>
                <w:szCs w:val="20"/>
                <w:lang w:val="en-US" w:eastAsia="zh-CN"/>
              </w:rPr>
              <w:t>%</w:t>
            </w:r>
          </w:p>
        </w:tc>
        <w:tc>
          <w:tcPr>
            <w:tcW w:w="700" w:type="dxa"/>
            <w:shd w:val="clear"/>
            <w:noWrap w:val="0"/>
            <w:vAlign w:val="center"/>
          </w:tcPr>
          <w:p w14:paraId="3624F29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15</w:t>
            </w:r>
          </w:p>
        </w:tc>
        <w:tc>
          <w:tcPr>
            <w:tcW w:w="616" w:type="dxa"/>
            <w:shd w:val="clear"/>
            <w:noWrap w:val="0"/>
            <w:vAlign w:val="center"/>
          </w:tcPr>
          <w:p w14:paraId="24AF832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15</w:t>
            </w:r>
          </w:p>
        </w:tc>
        <w:tc>
          <w:tcPr>
            <w:tcW w:w="1157" w:type="dxa"/>
            <w:shd w:val="clear"/>
            <w:noWrap w:val="0"/>
            <w:vAlign w:val="center"/>
          </w:tcPr>
          <w:p w14:paraId="553550E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p>
        </w:tc>
      </w:tr>
      <w:tr w14:paraId="6271F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43" w:type="dxa"/>
            <w:vMerge w:val="continue"/>
            <w:noWrap w:val="0"/>
            <w:vAlign w:val="center"/>
          </w:tcPr>
          <w:p w14:paraId="40CB358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41" w:type="dxa"/>
            <w:vMerge w:val="continue"/>
            <w:noWrap w:val="0"/>
            <w:vAlign w:val="center"/>
          </w:tcPr>
          <w:p w14:paraId="460DA12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935" w:type="dxa"/>
            <w:noWrap w:val="0"/>
            <w:vAlign w:val="center"/>
          </w:tcPr>
          <w:p w14:paraId="3F94B55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w:t>
            </w:r>
          </w:p>
          <w:p w14:paraId="53BCE07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150" w:type="dxa"/>
            <w:noWrap w:val="0"/>
            <w:vAlign w:val="center"/>
          </w:tcPr>
          <w:p w14:paraId="109C7FE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80" w:type="dxa"/>
            <w:noWrap w:val="0"/>
            <w:vAlign w:val="center"/>
          </w:tcPr>
          <w:p w14:paraId="243A602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1140" w:type="dxa"/>
            <w:noWrap w:val="0"/>
            <w:vAlign w:val="center"/>
          </w:tcPr>
          <w:p w14:paraId="461FBFE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700" w:type="dxa"/>
            <w:shd w:val="clear" w:color="auto" w:fill="auto"/>
            <w:noWrap w:val="0"/>
            <w:vAlign w:val="center"/>
          </w:tcPr>
          <w:p w14:paraId="21A58C1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616" w:type="dxa"/>
            <w:shd w:val="clear" w:color="auto" w:fill="auto"/>
            <w:noWrap w:val="0"/>
            <w:vAlign w:val="center"/>
          </w:tcPr>
          <w:p w14:paraId="2843FCF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157" w:type="dxa"/>
            <w:noWrap w:val="0"/>
            <w:vAlign w:val="center"/>
          </w:tcPr>
          <w:p w14:paraId="74513B6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r>
      <w:tr w14:paraId="09CC6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1143" w:type="dxa"/>
            <w:vMerge w:val="continue"/>
            <w:noWrap w:val="0"/>
            <w:vAlign w:val="center"/>
          </w:tcPr>
          <w:p w14:paraId="72FEEB3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41" w:type="dxa"/>
            <w:vMerge w:val="restart"/>
            <w:noWrap w:val="0"/>
            <w:vAlign w:val="center"/>
          </w:tcPr>
          <w:p w14:paraId="191E7D6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2248A18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935" w:type="dxa"/>
            <w:noWrap w:val="0"/>
            <w:vAlign w:val="center"/>
          </w:tcPr>
          <w:p w14:paraId="13801C4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3312857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50" w:type="dxa"/>
            <w:noWrap w:val="0"/>
            <w:vAlign w:val="center"/>
          </w:tcPr>
          <w:p w14:paraId="3EBBE3C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发挥专项资金使用效益，服务当地经济发展</w:t>
            </w:r>
          </w:p>
        </w:tc>
        <w:tc>
          <w:tcPr>
            <w:tcW w:w="1280" w:type="dxa"/>
            <w:noWrap w:val="0"/>
            <w:vAlign w:val="center"/>
          </w:tcPr>
          <w:p w14:paraId="474A5D2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140" w:type="dxa"/>
            <w:noWrap w:val="0"/>
            <w:vAlign w:val="center"/>
          </w:tcPr>
          <w:p w14:paraId="26DFEC3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700" w:type="dxa"/>
            <w:noWrap w:val="0"/>
            <w:vAlign w:val="center"/>
          </w:tcPr>
          <w:p w14:paraId="5215809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616" w:type="dxa"/>
            <w:noWrap w:val="0"/>
            <w:vAlign w:val="center"/>
          </w:tcPr>
          <w:p w14:paraId="6312926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57" w:type="dxa"/>
            <w:noWrap w:val="0"/>
            <w:vAlign w:val="center"/>
          </w:tcPr>
          <w:p w14:paraId="530ABEA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r>
      <w:tr w14:paraId="4013F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143" w:type="dxa"/>
            <w:vMerge w:val="continue"/>
            <w:noWrap w:val="0"/>
            <w:vAlign w:val="center"/>
          </w:tcPr>
          <w:p w14:paraId="7C194F1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41" w:type="dxa"/>
            <w:vMerge w:val="continue"/>
            <w:noWrap w:val="0"/>
            <w:vAlign w:val="center"/>
          </w:tcPr>
          <w:p w14:paraId="18D3DEA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935" w:type="dxa"/>
            <w:noWrap w:val="0"/>
            <w:vAlign w:val="center"/>
          </w:tcPr>
          <w:p w14:paraId="0528A1B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04C64D8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50" w:type="dxa"/>
            <w:noWrap w:val="0"/>
            <w:vAlign w:val="center"/>
          </w:tcPr>
          <w:p w14:paraId="3D88BD9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专项业务工作保障水平</w:t>
            </w:r>
          </w:p>
        </w:tc>
        <w:tc>
          <w:tcPr>
            <w:tcW w:w="1280" w:type="dxa"/>
            <w:noWrap w:val="0"/>
            <w:vAlign w:val="center"/>
          </w:tcPr>
          <w:p w14:paraId="5205284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140" w:type="dxa"/>
            <w:noWrap w:val="0"/>
            <w:vAlign w:val="center"/>
          </w:tcPr>
          <w:p w14:paraId="0264564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700" w:type="dxa"/>
            <w:noWrap w:val="0"/>
            <w:vAlign w:val="center"/>
          </w:tcPr>
          <w:p w14:paraId="2083A16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616" w:type="dxa"/>
            <w:noWrap w:val="0"/>
            <w:vAlign w:val="center"/>
          </w:tcPr>
          <w:p w14:paraId="4633CB5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1157" w:type="dxa"/>
            <w:noWrap w:val="0"/>
            <w:vAlign w:val="center"/>
          </w:tcPr>
          <w:p w14:paraId="735E90E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r>
      <w:tr w14:paraId="50BEB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143" w:type="dxa"/>
            <w:vMerge w:val="continue"/>
            <w:noWrap w:val="0"/>
            <w:vAlign w:val="center"/>
          </w:tcPr>
          <w:p w14:paraId="6BD16E6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41" w:type="dxa"/>
            <w:vMerge w:val="continue"/>
            <w:noWrap w:val="0"/>
            <w:vAlign w:val="center"/>
          </w:tcPr>
          <w:p w14:paraId="31B7938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935" w:type="dxa"/>
            <w:noWrap w:val="0"/>
            <w:vAlign w:val="center"/>
          </w:tcPr>
          <w:p w14:paraId="5830E2E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309FF6E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50" w:type="dxa"/>
            <w:noWrap w:val="0"/>
            <w:vAlign w:val="center"/>
          </w:tcPr>
          <w:p w14:paraId="075BE70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生态效益情况</w:t>
            </w:r>
          </w:p>
        </w:tc>
        <w:tc>
          <w:tcPr>
            <w:tcW w:w="1280" w:type="dxa"/>
            <w:shd w:val="clear"/>
            <w:noWrap w:val="0"/>
            <w:vAlign w:val="center"/>
          </w:tcPr>
          <w:p w14:paraId="14C8624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效果明显</w:t>
            </w:r>
          </w:p>
        </w:tc>
        <w:tc>
          <w:tcPr>
            <w:tcW w:w="1140" w:type="dxa"/>
            <w:shd w:val="clear"/>
            <w:noWrap w:val="0"/>
            <w:vAlign w:val="center"/>
          </w:tcPr>
          <w:p w14:paraId="00E9496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效果明显</w:t>
            </w:r>
          </w:p>
        </w:tc>
        <w:tc>
          <w:tcPr>
            <w:tcW w:w="700" w:type="dxa"/>
            <w:shd w:val="clear"/>
            <w:noWrap w:val="0"/>
            <w:vAlign w:val="center"/>
          </w:tcPr>
          <w:p w14:paraId="0A922AE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616" w:type="dxa"/>
            <w:shd w:val="clear"/>
            <w:noWrap w:val="0"/>
            <w:vAlign w:val="center"/>
          </w:tcPr>
          <w:p w14:paraId="2D00C3E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1157" w:type="dxa"/>
            <w:noWrap w:val="0"/>
            <w:vAlign w:val="center"/>
          </w:tcPr>
          <w:p w14:paraId="41B2CB9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r>
      <w:tr w14:paraId="5EBD7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trPr>
        <w:tc>
          <w:tcPr>
            <w:tcW w:w="1143" w:type="dxa"/>
            <w:vMerge w:val="continue"/>
            <w:noWrap w:val="0"/>
            <w:vAlign w:val="center"/>
          </w:tcPr>
          <w:p w14:paraId="5561D54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41" w:type="dxa"/>
            <w:vMerge w:val="continue"/>
            <w:noWrap w:val="0"/>
            <w:vAlign w:val="center"/>
          </w:tcPr>
          <w:p w14:paraId="772AAF1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935" w:type="dxa"/>
            <w:noWrap w:val="0"/>
            <w:vAlign w:val="center"/>
          </w:tcPr>
          <w:p w14:paraId="3FBC971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50" w:type="dxa"/>
            <w:noWrap w:val="0"/>
            <w:vAlign w:val="center"/>
          </w:tcPr>
          <w:p w14:paraId="11D79D1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不断完善优化相关工作，提高工作质量</w:t>
            </w:r>
          </w:p>
        </w:tc>
        <w:tc>
          <w:tcPr>
            <w:tcW w:w="1280" w:type="dxa"/>
            <w:shd w:val="clear" w:color="auto" w:fill="auto"/>
            <w:noWrap w:val="0"/>
            <w:vAlign w:val="center"/>
          </w:tcPr>
          <w:p w14:paraId="08C69CA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效果明显</w:t>
            </w:r>
          </w:p>
        </w:tc>
        <w:tc>
          <w:tcPr>
            <w:tcW w:w="1140" w:type="dxa"/>
            <w:shd w:val="clear" w:color="auto" w:fill="auto"/>
            <w:noWrap w:val="0"/>
            <w:vAlign w:val="center"/>
          </w:tcPr>
          <w:p w14:paraId="0B3C7A9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效果明显</w:t>
            </w:r>
          </w:p>
        </w:tc>
        <w:tc>
          <w:tcPr>
            <w:tcW w:w="700" w:type="dxa"/>
            <w:shd w:val="clear" w:color="auto" w:fill="auto"/>
            <w:noWrap w:val="0"/>
            <w:vAlign w:val="center"/>
          </w:tcPr>
          <w:p w14:paraId="017F888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616" w:type="dxa"/>
            <w:shd w:val="clear" w:color="auto" w:fill="auto"/>
            <w:noWrap w:val="0"/>
            <w:vAlign w:val="center"/>
          </w:tcPr>
          <w:p w14:paraId="2FC6B3E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1157" w:type="dxa"/>
            <w:noWrap w:val="0"/>
            <w:vAlign w:val="center"/>
          </w:tcPr>
          <w:p w14:paraId="6E044B6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r>
      <w:tr w14:paraId="1BC94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jc w:val="center"/>
        </w:trPr>
        <w:tc>
          <w:tcPr>
            <w:tcW w:w="1143" w:type="dxa"/>
            <w:vMerge w:val="continue"/>
            <w:noWrap w:val="0"/>
            <w:vAlign w:val="center"/>
          </w:tcPr>
          <w:p w14:paraId="4D45A32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41" w:type="dxa"/>
            <w:noWrap w:val="0"/>
            <w:vAlign w:val="center"/>
          </w:tcPr>
          <w:p w14:paraId="4853C14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03A82D9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3C2F04A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935" w:type="dxa"/>
            <w:noWrap w:val="0"/>
            <w:vAlign w:val="center"/>
          </w:tcPr>
          <w:p w14:paraId="5699FF2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服务对象满意度指标</w:t>
            </w:r>
          </w:p>
        </w:tc>
        <w:tc>
          <w:tcPr>
            <w:tcW w:w="1150" w:type="dxa"/>
            <w:noWrap w:val="0"/>
            <w:vAlign w:val="center"/>
          </w:tcPr>
          <w:p w14:paraId="02D08B5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社会公众满意度</w:t>
            </w:r>
          </w:p>
        </w:tc>
        <w:tc>
          <w:tcPr>
            <w:tcW w:w="1280" w:type="dxa"/>
            <w:noWrap w:val="0"/>
            <w:vAlign w:val="center"/>
          </w:tcPr>
          <w:p w14:paraId="11C7446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90%</w:t>
            </w:r>
          </w:p>
        </w:tc>
        <w:tc>
          <w:tcPr>
            <w:tcW w:w="1140" w:type="dxa"/>
            <w:noWrap w:val="0"/>
            <w:vAlign w:val="center"/>
          </w:tcPr>
          <w:p w14:paraId="3887171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90%</w:t>
            </w:r>
          </w:p>
        </w:tc>
        <w:tc>
          <w:tcPr>
            <w:tcW w:w="700" w:type="dxa"/>
            <w:noWrap w:val="0"/>
            <w:vAlign w:val="center"/>
          </w:tcPr>
          <w:p w14:paraId="43A7153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616" w:type="dxa"/>
            <w:noWrap w:val="0"/>
            <w:vAlign w:val="center"/>
          </w:tcPr>
          <w:p w14:paraId="7B513B2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157" w:type="dxa"/>
            <w:noWrap w:val="0"/>
            <w:vAlign w:val="center"/>
          </w:tcPr>
          <w:p w14:paraId="3E5DB12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r>
      <w:tr w14:paraId="2B141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89" w:type="dxa"/>
            <w:gridSpan w:val="6"/>
            <w:noWrap w:val="0"/>
            <w:vAlign w:val="center"/>
          </w:tcPr>
          <w:p w14:paraId="302A31D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700" w:type="dxa"/>
            <w:noWrap w:val="0"/>
            <w:vAlign w:val="center"/>
          </w:tcPr>
          <w:p w14:paraId="7121980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616" w:type="dxa"/>
            <w:noWrap w:val="0"/>
            <w:vAlign w:val="center"/>
          </w:tcPr>
          <w:p w14:paraId="7E1C4A0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157" w:type="dxa"/>
            <w:noWrap w:val="0"/>
            <w:vAlign w:val="center"/>
          </w:tcPr>
          <w:p w14:paraId="20978F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73DD7AAE">
      <w:pPr>
        <w:widowControl w:val="0"/>
        <w:kinsoku/>
        <w:autoSpaceDE/>
        <w:autoSpaceDN/>
        <w:adjustRightInd/>
        <w:snapToGrid/>
        <w:spacing w:line="600" w:lineRule="exact"/>
        <w:jc w:val="both"/>
        <w:textAlignment w:val="auto"/>
        <w:rPr>
          <w:rFonts w:hint="default" w:ascii="Times New Roman" w:hAnsi="Times New Roman" w:eastAsia="仿宋_GB2312" w:cs="Times New Roman"/>
          <w:snapToGrid/>
          <w:color w:val="000000"/>
          <w:kern w:val="0"/>
          <w:sz w:val="32"/>
          <w:szCs w:val="32"/>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 xml:space="preserve">  联系电话：</w:t>
      </w:r>
      <w:r>
        <w:rPr>
          <w:rFonts w:hint="eastAsia" w:ascii="Times New Roman" w:hAnsi="Times New Roman" w:eastAsia="仿宋_GB2312" w:cs="Times New Roman"/>
          <w:snapToGrid/>
          <w:color w:val="000000"/>
          <w:kern w:val="0"/>
          <w:sz w:val="24"/>
          <w:szCs w:val="24"/>
          <w:lang w:val="en-US" w:eastAsia="zh-CN" w:bidi="ar-SA"/>
        </w:rPr>
        <w:t xml:space="preserve"> </w:t>
      </w:r>
    </w:p>
    <w:p w14:paraId="7FF7D1BE">
      <w:pPr>
        <w:rPr>
          <w:rFonts w:hint="default"/>
          <w:lang w:val="en-US" w:eastAsia="zh-CN"/>
        </w:rPr>
      </w:pPr>
      <w:r>
        <w:rPr>
          <w:rFonts w:hint="default"/>
          <w:lang w:val="en-US" w:eastAsia="zh-CN"/>
        </w:rPr>
        <w:br w:type="page"/>
      </w:r>
    </w:p>
    <w:p w14:paraId="082BD15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w:t>
      </w:r>
    </w:p>
    <w:p w14:paraId="7394163E">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1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4"/>
        <w:gridCol w:w="919"/>
        <w:gridCol w:w="922"/>
        <w:gridCol w:w="1097"/>
        <w:gridCol w:w="1126"/>
        <w:gridCol w:w="1097"/>
        <w:gridCol w:w="699"/>
        <w:gridCol w:w="739"/>
        <w:gridCol w:w="1249"/>
      </w:tblGrid>
      <w:tr w14:paraId="10A24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507" w:type="pct"/>
            <w:noWrap w:val="0"/>
            <w:vAlign w:val="center"/>
          </w:tcPr>
          <w:p w14:paraId="7149419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0E8C983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4492" w:type="pct"/>
            <w:gridSpan w:val="8"/>
            <w:noWrap w:val="0"/>
            <w:vAlign w:val="center"/>
          </w:tcPr>
          <w:p w14:paraId="05FECAD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土地储备专项</w:t>
            </w:r>
            <w:r>
              <w:rPr>
                <w:rFonts w:hint="eastAsia" w:ascii="仿宋" w:hAnsi="仿宋" w:eastAsia="仿宋" w:cs="仿宋"/>
                <w:color w:val="000000"/>
                <w:kern w:val="0"/>
                <w:sz w:val="20"/>
                <w:szCs w:val="20"/>
              </w:rPr>
              <w:t>　</w:t>
            </w:r>
          </w:p>
        </w:tc>
      </w:tr>
      <w:tr w14:paraId="75DFE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507" w:type="pct"/>
            <w:noWrap w:val="0"/>
            <w:vAlign w:val="center"/>
          </w:tcPr>
          <w:p w14:paraId="71DF23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2327" w:type="pct"/>
            <w:gridSpan w:val="4"/>
            <w:noWrap w:val="0"/>
            <w:vAlign w:val="center"/>
          </w:tcPr>
          <w:p w14:paraId="46C4249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625" w:type="pct"/>
            <w:noWrap w:val="0"/>
            <w:vAlign w:val="center"/>
          </w:tcPr>
          <w:p w14:paraId="4E0AD5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1539" w:type="pct"/>
            <w:gridSpan w:val="3"/>
            <w:noWrap w:val="0"/>
            <w:vAlign w:val="center"/>
          </w:tcPr>
          <w:p w14:paraId="6D0A23B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6F8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7" w:type="pct"/>
            <w:vMerge w:val="restart"/>
            <w:noWrap w:val="0"/>
            <w:vAlign w:val="center"/>
          </w:tcPr>
          <w:p w14:paraId="01F01E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1054" w:type="pct"/>
            <w:gridSpan w:val="2"/>
            <w:noWrap w:val="0"/>
            <w:vAlign w:val="center"/>
          </w:tcPr>
          <w:p w14:paraId="315DDF2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628" w:type="pct"/>
            <w:noWrap w:val="0"/>
            <w:vAlign w:val="center"/>
          </w:tcPr>
          <w:p w14:paraId="3DEA5A5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1F876E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644" w:type="pct"/>
            <w:noWrap w:val="0"/>
            <w:vAlign w:val="center"/>
          </w:tcPr>
          <w:p w14:paraId="283319E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340436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625" w:type="pct"/>
            <w:noWrap w:val="0"/>
            <w:vAlign w:val="center"/>
          </w:tcPr>
          <w:p w14:paraId="7803C3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708518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400" w:type="pct"/>
            <w:noWrap w:val="0"/>
            <w:vAlign w:val="center"/>
          </w:tcPr>
          <w:p w14:paraId="56A8B3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423" w:type="pct"/>
            <w:noWrap w:val="0"/>
            <w:vAlign w:val="center"/>
          </w:tcPr>
          <w:p w14:paraId="3B5335A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715" w:type="pct"/>
            <w:noWrap w:val="0"/>
            <w:vAlign w:val="center"/>
          </w:tcPr>
          <w:p w14:paraId="407FA8E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08E4B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507" w:type="pct"/>
            <w:vMerge w:val="continue"/>
            <w:noWrap w:val="0"/>
            <w:vAlign w:val="center"/>
          </w:tcPr>
          <w:p w14:paraId="390E6A7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54" w:type="pct"/>
            <w:gridSpan w:val="2"/>
            <w:noWrap w:val="0"/>
            <w:vAlign w:val="center"/>
          </w:tcPr>
          <w:p w14:paraId="35916AA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628" w:type="pct"/>
            <w:noWrap w:val="0"/>
            <w:vAlign w:val="center"/>
          </w:tcPr>
          <w:p w14:paraId="48BDF8A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23.00</w:t>
            </w:r>
          </w:p>
        </w:tc>
        <w:tc>
          <w:tcPr>
            <w:tcW w:w="644" w:type="pct"/>
            <w:noWrap w:val="0"/>
            <w:vAlign w:val="center"/>
          </w:tcPr>
          <w:p w14:paraId="3FBD9DF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33929.</w:t>
            </w:r>
            <w:r>
              <w:rPr>
                <w:rFonts w:hint="eastAsia" w:ascii="仿宋" w:hAnsi="仿宋" w:eastAsia="仿宋" w:cs="仿宋"/>
                <w:color w:val="000000"/>
                <w:kern w:val="0"/>
                <w:sz w:val="20"/>
                <w:szCs w:val="20"/>
                <w:lang w:val="en-US" w:eastAsia="zh-CN"/>
              </w:rPr>
              <w:t>14</w:t>
            </w:r>
          </w:p>
        </w:tc>
        <w:tc>
          <w:tcPr>
            <w:tcW w:w="625" w:type="pct"/>
            <w:noWrap w:val="0"/>
            <w:vAlign w:val="center"/>
          </w:tcPr>
          <w:p w14:paraId="3308881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33929.</w:t>
            </w:r>
            <w:r>
              <w:rPr>
                <w:rFonts w:hint="eastAsia" w:ascii="仿宋" w:hAnsi="仿宋" w:eastAsia="仿宋" w:cs="仿宋"/>
                <w:color w:val="000000"/>
                <w:kern w:val="0"/>
                <w:sz w:val="20"/>
                <w:szCs w:val="20"/>
                <w:lang w:val="en-US" w:eastAsia="zh-CN"/>
              </w:rPr>
              <w:t>14</w:t>
            </w:r>
          </w:p>
        </w:tc>
        <w:tc>
          <w:tcPr>
            <w:tcW w:w="400" w:type="pct"/>
            <w:noWrap w:val="0"/>
            <w:vAlign w:val="center"/>
          </w:tcPr>
          <w:p w14:paraId="143FCBE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423" w:type="pct"/>
            <w:shd w:val="clear"/>
            <w:noWrap w:val="0"/>
            <w:vAlign w:val="center"/>
          </w:tcPr>
          <w:p w14:paraId="1B57F241">
            <w:pPr>
              <w:keepNext w:val="0"/>
              <w:keepLines w:val="0"/>
              <w:pageBreakBefore w:val="0"/>
              <w:widowControl/>
              <w:shd w:val="clear"/>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100%</w:t>
            </w:r>
            <w:r>
              <w:rPr>
                <w:rFonts w:hint="eastAsia" w:ascii="仿宋" w:hAnsi="仿宋" w:eastAsia="仿宋" w:cs="仿宋"/>
                <w:color w:val="000000"/>
                <w:kern w:val="0"/>
                <w:sz w:val="20"/>
                <w:szCs w:val="20"/>
              </w:rPr>
              <w:t>　</w:t>
            </w:r>
          </w:p>
        </w:tc>
        <w:tc>
          <w:tcPr>
            <w:tcW w:w="715" w:type="pct"/>
            <w:shd w:val="clear"/>
            <w:noWrap w:val="0"/>
            <w:vAlign w:val="center"/>
          </w:tcPr>
          <w:p w14:paraId="000439D8">
            <w:pPr>
              <w:keepNext w:val="0"/>
              <w:keepLines w:val="0"/>
              <w:pageBreakBefore w:val="0"/>
              <w:widowControl/>
              <w:shd w:val="clear"/>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 xml:space="preserve">  10</w:t>
            </w:r>
          </w:p>
        </w:tc>
      </w:tr>
      <w:tr w14:paraId="40897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7" w:type="pct"/>
            <w:vMerge w:val="continue"/>
            <w:noWrap w:val="0"/>
            <w:vAlign w:val="center"/>
          </w:tcPr>
          <w:p w14:paraId="65A7C87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54" w:type="pct"/>
            <w:gridSpan w:val="2"/>
            <w:noWrap w:val="0"/>
            <w:vAlign w:val="center"/>
          </w:tcPr>
          <w:p w14:paraId="59F39A6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628" w:type="pct"/>
            <w:noWrap w:val="0"/>
            <w:vAlign w:val="center"/>
          </w:tcPr>
          <w:p w14:paraId="733C80E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644" w:type="pct"/>
            <w:noWrap w:val="0"/>
            <w:vAlign w:val="center"/>
          </w:tcPr>
          <w:p w14:paraId="3FDF8C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625" w:type="pct"/>
            <w:noWrap w:val="0"/>
            <w:vAlign w:val="center"/>
          </w:tcPr>
          <w:p w14:paraId="0DFB80F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400" w:type="pct"/>
            <w:noWrap w:val="0"/>
            <w:vAlign w:val="center"/>
          </w:tcPr>
          <w:p w14:paraId="1FC36FF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423" w:type="pct"/>
            <w:noWrap w:val="0"/>
            <w:vAlign w:val="center"/>
          </w:tcPr>
          <w:p w14:paraId="1751F1E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715" w:type="pct"/>
            <w:noWrap w:val="0"/>
            <w:vAlign w:val="center"/>
          </w:tcPr>
          <w:p w14:paraId="1E591DC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51F68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7" w:type="pct"/>
            <w:vMerge w:val="continue"/>
            <w:noWrap w:val="0"/>
            <w:vAlign w:val="center"/>
          </w:tcPr>
          <w:p w14:paraId="0CBAAE8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54" w:type="pct"/>
            <w:gridSpan w:val="2"/>
            <w:noWrap w:val="0"/>
            <w:vAlign w:val="center"/>
          </w:tcPr>
          <w:p w14:paraId="253C8814">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628" w:type="pct"/>
            <w:noWrap w:val="0"/>
            <w:vAlign w:val="center"/>
          </w:tcPr>
          <w:p w14:paraId="105225A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644" w:type="pct"/>
            <w:noWrap w:val="0"/>
            <w:vAlign w:val="center"/>
          </w:tcPr>
          <w:p w14:paraId="539FA6B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625" w:type="pct"/>
            <w:noWrap w:val="0"/>
            <w:vAlign w:val="center"/>
          </w:tcPr>
          <w:p w14:paraId="20B0AE4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400" w:type="pct"/>
            <w:noWrap w:val="0"/>
            <w:vAlign w:val="center"/>
          </w:tcPr>
          <w:p w14:paraId="13977C4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423" w:type="pct"/>
            <w:noWrap w:val="0"/>
            <w:vAlign w:val="center"/>
          </w:tcPr>
          <w:p w14:paraId="55AE997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715" w:type="pct"/>
            <w:noWrap w:val="0"/>
            <w:vAlign w:val="center"/>
          </w:tcPr>
          <w:p w14:paraId="277542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7E30E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507" w:type="pct"/>
            <w:vMerge w:val="continue"/>
            <w:noWrap w:val="0"/>
            <w:vAlign w:val="center"/>
          </w:tcPr>
          <w:p w14:paraId="250AD52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54" w:type="pct"/>
            <w:gridSpan w:val="2"/>
            <w:noWrap w:val="0"/>
            <w:vAlign w:val="center"/>
          </w:tcPr>
          <w:p w14:paraId="48055734">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628" w:type="pct"/>
            <w:noWrap w:val="0"/>
            <w:vAlign w:val="center"/>
          </w:tcPr>
          <w:p w14:paraId="134579D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644" w:type="pct"/>
            <w:noWrap w:val="0"/>
            <w:vAlign w:val="center"/>
          </w:tcPr>
          <w:p w14:paraId="4E737C5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625" w:type="pct"/>
            <w:noWrap w:val="0"/>
            <w:vAlign w:val="center"/>
          </w:tcPr>
          <w:p w14:paraId="296D470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400" w:type="pct"/>
            <w:noWrap w:val="0"/>
            <w:vAlign w:val="center"/>
          </w:tcPr>
          <w:p w14:paraId="7E7E0FC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423" w:type="pct"/>
            <w:noWrap w:val="0"/>
            <w:vAlign w:val="center"/>
          </w:tcPr>
          <w:p w14:paraId="1BD7CD9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715" w:type="pct"/>
            <w:noWrap w:val="0"/>
            <w:vAlign w:val="center"/>
          </w:tcPr>
          <w:p w14:paraId="64C0FBF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6CDF9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507" w:type="pct"/>
            <w:vMerge w:val="restart"/>
            <w:noWrap w:val="0"/>
            <w:vAlign w:val="center"/>
          </w:tcPr>
          <w:p w14:paraId="341A7F4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2327" w:type="pct"/>
            <w:gridSpan w:val="4"/>
            <w:noWrap w:val="0"/>
            <w:vAlign w:val="center"/>
          </w:tcPr>
          <w:p w14:paraId="7A2D859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2165" w:type="pct"/>
            <w:gridSpan w:val="4"/>
            <w:noWrap w:val="0"/>
            <w:vAlign w:val="center"/>
          </w:tcPr>
          <w:p w14:paraId="2BDC5E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7D0B8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0" w:hRule="atLeast"/>
          <w:jc w:val="center"/>
        </w:trPr>
        <w:tc>
          <w:tcPr>
            <w:tcW w:w="507" w:type="pct"/>
            <w:vMerge w:val="continue"/>
            <w:noWrap w:val="0"/>
            <w:vAlign w:val="center"/>
          </w:tcPr>
          <w:p w14:paraId="2CAB80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327" w:type="pct"/>
            <w:gridSpan w:val="4"/>
            <w:noWrap w:val="0"/>
            <w:vAlign w:val="center"/>
          </w:tcPr>
          <w:p w14:paraId="19DC2B6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（一）精准编制土储供地计划。在认真研判我市经济形势和土地市场的基础上，以重大产业项目、重点项目、民生项目为重点，坚持“以供定储”的基本原则，扎实精准做好2024年土地储备供地计划编制工作。</w:t>
            </w:r>
          </w:p>
          <w:p w14:paraId="740ED8A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加大片区服务力度。积极向先进地区学习储备管理经验，进一步解放思想，开拓思路，守正创新，并结合我市实际情况，积极融入片区开发、招商引资工作中，积极探索片区开发项目的运作及与平台公司的结算模式，不断提高服务质量和办事效率。</w:t>
            </w:r>
          </w:p>
          <w:p w14:paraId="104BC1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（三）主动服务土地超市。主动服务我市土地超市平台，承载产品上架和更新工作，为我市土地市场健康发展助力。　　</w:t>
            </w:r>
          </w:p>
        </w:tc>
        <w:tc>
          <w:tcPr>
            <w:tcW w:w="2165" w:type="pct"/>
            <w:gridSpan w:val="4"/>
            <w:noWrap w:val="0"/>
            <w:vAlign w:val="center"/>
          </w:tcPr>
          <w:p w14:paraId="393EB38B">
            <w:pPr>
              <w:pStyle w:val="5"/>
              <w:keepNext w:val="0"/>
              <w:keepLines w:val="0"/>
              <w:pageBreakBefore w:val="0"/>
              <w:widowControl w:val="0"/>
              <w:numPr>
                <w:ilvl w:val="0"/>
                <w:numId w:val="0"/>
              </w:numPr>
              <w:kinsoku/>
              <w:wordWrap/>
              <w:overflowPunct/>
              <w:topLinePunct w:val="0"/>
              <w:autoSpaceDE/>
              <w:autoSpaceDN/>
              <w:bidi w:val="0"/>
              <w:adjustRightInd/>
              <w:snapToGrid/>
              <w:spacing w:after="0" w:line="240" w:lineRule="auto"/>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bidi="ar-SA"/>
              </w:rPr>
              <w:t>(一）经论证优化，共筛选了146个全民所有土地资产管理和供地计划项目，总面积约651.17公顷（约9767.55亩），其中，2024年度供地计划项目共计97个，拟供应面积310.48公顷（约4657.20亩），含商住类供地项目43个，用地面积约70.31公顷（约1054.65亩）。2024年5月16日，经我局报请市人民政府同意，已批准下达《关于怀化市2024年全民所有土地资产管理和土地供应计划的批复》（怀政函[2024]46号），计划已向省厅完成备案。（二）全力推进重点项目收储。重点以湘商大会、旅发大会及仙人桥、高铁新城片区等重点项目为抓手，2024年先后完成了温德姆酒周边配套用地（全球湘商大会项目）、原莱孚铝厂（招商新华集团项目）、盛唐绿洲、高铁新城片区鹏飞电脑学校（新树仁驾校）、鸭嘴岩加油站、中央储粮怀化直属库公司用地新址等一批重点项目收储工作，确保</w:t>
            </w:r>
            <w:r>
              <w:rPr>
                <w:rFonts w:hint="eastAsia" w:ascii="仿宋" w:hAnsi="仿宋" w:eastAsia="仿宋" w:cs="仿宋"/>
                <w:color w:val="000000"/>
                <w:kern w:val="0"/>
                <w:sz w:val="20"/>
                <w:szCs w:val="20"/>
                <w:lang w:val="en-US" w:eastAsia="zh-CN" w:bidi="ar-SA"/>
              </w:rPr>
              <w:t>了重点</w:t>
            </w:r>
            <w:r>
              <w:rPr>
                <w:rFonts w:hint="eastAsia" w:ascii="仿宋" w:hAnsi="仿宋" w:eastAsia="仿宋" w:cs="仿宋"/>
                <w:color w:val="000000"/>
                <w:kern w:val="0"/>
                <w:sz w:val="20"/>
                <w:szCs w:val="20"/>
                <w:lang w:val="en-US" w:eastAsia="zh-CN" w:bidi="ar-SA"/>
              </w:rPr>
              <w:t>项目的供应。（三）认真落实为民办实事。1、积极化解零星处遗用地问题。2、积极处理解决信访交办问题。3、积极解决征拆安置遗留问题。</w:t>
            </w:r>
          </w:p>
        </w:tc>
      </w:tr>
      <w:tr w14:paraId="756F7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507" w:type="pct"/>
            <w:vMerge w:val="restart"/>
            <w:noWrap w:val="0"/>
            <w:vAlign w:val="center"/>
          </w:tcPr>
          <w:p w14:paraId="3BF25AD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3D68820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5D8FE8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57C70FA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526" w:type="pct"/>
            <w:noWrap w:val="0"/>
            <w:vAlign w:val="center"/>
          </w:tcPr>
          <w:p w14:paraId="259FE3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527" w:type="pct"/>
            <w:noWrap w:val="0"/>
            <w:vAlign w:val="center"/>
          </w:tcPr>
          <w:p w14:paraId="618AEF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628" w:type="pct"/>
            <w:noWrap w:val="0"/>
            <w:vAlign w:val="center"/>
          </w:tcPr>
          <w:p w14:paraId="0C0D862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644" w:type="pct"/>
            <w:noWrap w:val="0"/>
            <w:vAlign w:val="center"/>
          </w:tcPr>
          <w:p w14:paraId="3C4712F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4CF1D9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625" w:type="pct"/>
            <w:noWrap w:val="0"/>
            <w:vAlign w:val="center"/>
          </w:tcPr>
          <w:p w14:paraId="52AC483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0A374F9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400" w:type="pct"/>
            <w:noWrap w:val="0"/>
            <w:vAlign w:val="center"/>
          </w:tcPr>
          <w:p w14:paraId="5E39151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423" w:type="pct"/>
            <w:noWrap w:val="0"/>
            <w:vAlign w:val="center"/>
          </w:tcPr>
          <w:p w14:paraId="55852CB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715" w:type="pct"/>
            <w:noWrap w:val="0"/>
            <w:vAlign w:val="center"/>
          </w:tcPr>
          <w:p w14:paraId="73222F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4FB88FA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1C1E8E8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2AD4D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507" w:type="pct"/>
            <w:vMerge w:val="continue"/>
            <w:noWrap w:val="0"/>
            <w:vAlign w:val="center"/>
          </w:tcPr>
          <w:p w14:paraId="3E4B072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526" w:type="pct"/>
            <w:vMerge w:val="restart"/>
            <w:noWrap w:val="0"/>
            <w:vAlign w:val="center"/>
          </w:tcPr>
          <w:p w14:paraId="07BF347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527" w:type="pct"/>
            <w:noWrap w:val="0"/>
            <w:vAlign w:val="center"/>
          </w:tcPr>
          <w:p w14:paraId="502A294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628" w:type="pct"/>
            <w:noWrap w:val="0"/>
            <w:vAlign w:val="center"/>
          </w:tcPr>
          <w:p w14:paraId="3FF80F7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sz w:val="20"/>
                <w:szCs w:val="20"/>
                <w:lang w:val="en-US" w:eastAsia="zh-CN"/>
              </w:rPr>
              <w:t>投入经费成本</w:t>
            </w:r>
          </w:p>
        </w:tc>
        <w:tc>
          <w:tcPr>
            <w:tcW w:w="644" w:type="pct"/>
            <w:shd w:val="clear"/>
            <w:noWrap w:val="0"/>
            <w:vAlign w:val="center"/>
          </w:tcPr>
          <w:p w14:paraId="5D8797D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33929.</w:t>
            </w:r>
            <w:r>
              <w:rPr>
                <w:rFonts w:hint="eastAsia" w:ascii="仿宋" w:hAnsi="仿宋" w:eastAsia="仿宋" w:cs="仿宋"/>
                <w:color w:val="000000"/>
                <w:kern w:val="0"/>
                <w:sz w:val="20"/>
                <w:szCs w:val="20"/>
                <w:lang w:val="en-US" w:eastAsia="zh-CN"/>
              </w:rPr>
              <w:t>14</w:t>
            </w:r>
          </w:p>
        </w:tc>
        <w:tc>
          <w:tcPr>
            <w:tcW w:w="625" w:type="pct"/>
            <w:noWrap w:val="0"/>
            <w:vAlign w:val="center"/>
          </w:tcPr>
          <w:p w14:paraId="258594C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33929.</w:t>
            </w:r>
            <w:r>
              <w:rPr>
                <w:rFonts w:hint="eastAsia" w:ascii="仿宋" w:hAnsi="仿宋" w:eastAsia="仿宋" w:cs="仿宋"/>
                <w:color w:val="000000"/>
                <w:kern w:val="0"/>
                <w:sz w:val="20"/>
                <w:szCs w:val="20"/>
                <w:lang w:val="en-US" w:eastAsia="zh-CN"/>
              </w:rPr>
              <w:t>14</w:t>
            </w:r>
          </w:p>
        </w:tc>
        <w:tc>
          <w:tcPr>
            <w:tcW w:w="400" w:type="pct"/>
            <w:noWrap w:val="0"/>
            <w:vAlign w:val="center"/>
          </w:tcPr>
          <w:p w14:paraId="0A606AF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423" w:type="pct"/>
            <w:noWrap w:val="0"/>
            <w:vAlign w:val="center"/>
          </w:tcPr>
          <w:p w14:paraId="0A2E37E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715" w:type="pct"/>
            <w:noWrap w:val="0"/>
            <w:vAlign w:val="center"/>
          </w:tcPr>
          <w:p w14:paraId="4309BEE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5558D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507" w:type="pct"/>
            <w:vMerge w:val="continue"/>
            <w:noWrap w:val="0"/>
            <w:vAlign w:val="center"/>
          </w:tcPr>
          <w:p w14:paraId="29C893F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526" w:type="pct"/>
            <w:vMerge w:val="continue"/>
            <w:noWrap w:val="0"/>
            <w:vAlign w:val="center"/>
          </w:tcPr>
          <w:p w14:paraId="3DF339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527" w:type="pct"/>
            <w:noWrap w:val="0"/>
            <w:vAlign w:val="center"/>
          </w:tcPr>
          <w:p w14:paraId="255836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628" w:type="pct"/>
            <w:noWrap w:val="0"/>
            <w:vAlign w:val="center"/>
          </w:tcPr>
          <w:p w14:paraId="502BEAB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社会成本节约率</w:t>
            </w:r>
          </w:p>
        </w:tc>
        <w:tc>
          <w:tcPr>
            <w:tcW w:w="644" w:type="pct"/>
            <w:noWrap w:val="0"/>
            <w:vAlign w:val="center"/>
          </w:tcPr>
          <w:p w14:paraId="6EDF71B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0</w:t>
            </w:r>
          </w:p>
        </w:tc>
        <w:tc>
          <w:tcPr>
            <w:tcW w:w="625" w:type="pct"/>
            <w:noWrap w:val="0"/>
            <w:vAlign w:val="center"/>
          </w:tcPr>
          <w:p w14:paraId="62F2AB8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0%</w:t>
            </w:r>
          </w:p>
        </w:tc>
        <w:tc>
          <w:tcPr>
            <w:tcW w:w="400" w:type="pct"/>
            <w:noWrap w:val="0"/>
            <w:vAlign w:val="center"/>
          </w:tcPr>
          <w:p w14:paraId="590D74E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423" w:type="pct"/>
            <w:noWrap w:val="0"/>
            <w:vAlign w:val="center"/>
          </w:tcPr>
          <w:p w14:paraId="3A4EFB4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715" w:type="pct"/>
            <w:noWrap w:val="0"/>
            <w:vAlign w:val="center"/>
          </w:tcPr>
          <w:p w14:paraId="47502DC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61E62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507" w:type="pct"/>
            <w:vMerge w:val="continue"/>
            <w:noWrap w:val="0"/>
            <w:vAlign w:val="center"/>
          </w:tcPr>
          <w:p w14:paraId="691D36F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526" w:type="pct"/>
            <w:vMerge w:val="continue"/>
            <w:noWrap w:val="0"/>
            <w:vAlign w:val="center"/>
          </w:tcPr>
          <w:p w14:paraId="5E3528F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527" w:type="pct"/>
            <w:noWrap w:val="0"/>
            <w:vAlign w:val="center"/>
          </w:tcPr>
          <w:p w14:paraId="3B3B86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628" w:type="pct"/>
            <w:shd w:val="clear"/>
            <w:noWrap w:val="0"/>
            <w:vAlign w:val="center"/>
          </w:tcPr>
          <w:p w14:paraId="6A3F15F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生态环境成本节约率</w:t>
            </w:r>
          </w:p>
        </w:tc>
        <w:tc>
          <w:tcPr>
            <w:tcW w:w="644" w:type="pct"/>
            <w:shd w:val="clear"/>
            <w:noWrap w:val="0"/>
            <w:vAlign w:val="center"/>
          </w:tcPr>
          <w:p w14:paraId="0CC801D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0</w:t>
            </w:r>
          </w:p>
        </w:tc>
        <w:tc>
          <w:tcPr>
            <w:tcW w:w="625" w:type="pct"/>
            <w:shd w:val="clear"/>
            <w:noWrap w:val="0"/>
            <w:vAlign w:val="center"/>
          </w:tcPr>
          <w:p w14:paraId="56E8068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0%</w:t>
            </w:r>
          </w:p>
        </w:tc>
        <w:tc>
          <w:tcPr>
            <w:tcW w:w="400" w:type="pct"/>
            <w:shd w:val="clear" w:color="auto" w:fill="auto"/>
            <w:noWrap w:val="0"/>
            <w:vAlign w:val="center"/>
          </w:tcPr>
          <w:p w14:paraId="1A93B45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423" w:type="pct"/>
            <w:shd w:val="clear" w:color="auto" w:fill="auto"/>
            <w:noWrap w:val="0"/>
            <w:vAlign w:val="center"/>
          </w:tcPr>
          <w:p w14:paraId="7B20AC8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715" w:type="pct"/>
            <w:noWrap w:val="0"/>
            <w:vAlign w:val="center"/>
          </w:tcPr>
          <w:p w14:paraId="6550A7B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70E34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507" w:type="pct"/>
            <w:vMerge w:val="continue"/>
            <w:noWrap w:val="0"/>
            <w:vAlign w:val="center"/>
          </w:tcPr>
          <w:p w14:paraId="78561D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526" w:type="pct"/>
            <w:vMerge w:val="restart"/>
            <w:noWrap w:val="0"/>
            <w:vAlign w:val="center"/>
          </w:tcPr>
          <w:p w14:paraId="4DBB53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3A956EA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527" w:type="pct"/>
            <w:noWrap w:val="0"/>
            <w:vAlign w:val="center"/>
          </w:tcPr>
          <w:p w14:paraId="67EF586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628" w:type="pct"/>
            <w:noWrap w:val="0"/>
            <w:vAlign w:val="center"/>
          </w:tcPr>
          <w:p w14:paraId="2DC0BFC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供地计划项目备案个数</w:t>
            </w:r>
          </w:p>
        </w:tc>
        <w:tc>
          <w:tcPr>
            <w:tcW w:w="644" w:type="pct"/>
            <w:noWrap w:val="0"/>
            <w:vAlign w:val="center"/>
          </w:tcPr>
          <w:p w14:paraId="5A55B05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97个</w:t>
            </w:r>
          </w:p>
        </w:tc>
        <w:tc>
          <w:tcPr>
            <w:tcW w:w="625" w:type="pct"/>
            <w:noWrap w:val="0"/>
            <w:vAlign w:val="center"/>
          </w:tcPr>
          <w:p w14:paraId="47F9DC3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97个</w:t>
            </w:r>
          </w:p>
        </w:tc>
        <w:tc>
          <w:tcPr>
            <w:tcW w:w="400" w:type="pct"/>
            <w:noWrap w:val="0"/>
            <w:vAlign w:val="center"/>
          </w:tcPr>
          <w:p w14:paraId="56EE862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423" w:type="pct"/>
            <w:noWrap w:val="0"/>
            <w:vAlign w:val="center"/>
          </w:tcPr>
          <w:p w14:paraId="63EB25A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715" w:type="pct"/>
            <w:noWrap w:val="0"/>
            <w:vAlign w:val="center"/>
          </w:tcPr>
          <w:p w14:paraId="4D4917B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r>
      <w:tr w14:paraId="13A74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507" w:type="pct"/>
            <w:vMerge w:val="continue"/>
            <w:noWrap w:val="0"/>
            <w:vAlign w:val="center"/>
          </w:tcPr>
          <w:p w14:paraId="3ED590C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526" w:type="pct"/>
            <w:vMerge w:val="continue"/>
            <w:noWrap w:val="0"/>
            <w:vAlign w:val="center"/>
          </w:tcPr>
          <w:p w14:paraId="7F2A300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527" w:type="pct"/>
            <w:noWrap w:val="0"/>
            <w:vAlign w:val="center"/>
          </w:tcPr>
          <w:p w14:paraId="55C725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628" w:type="pct"/>
            <w:shd w:val="clear"/>
            <w:noWrap w:val="0"/>
            <w:vAlign w:val="center"/>
          </w:tcPr>
          <w:p w14:paraId="109070F3">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kern w:val="2"/>
                <w:sz w:val="20"/>
                <w:szCs w:val="20"/>
                <w:lang w:val="en-US" w:eastAsia="zh-CN" w:bidi="ar-SA"/>
              </w:rPr>
            </w:pPr>
            <w:r>
              <w:rPr>
                <w:rFonts w:hint="eastAsia" w:ascii="仿宋" w:hAnsi="仿宋" w:eastAsia="仿宋" w:cs="仿宋"/>
                <w:sz w:val="20"/>
                <w:szCs w:val="20"/>
                <w:lang w:val="en-US" w:eastAsia="zh-CN"/>
              </w:rPr>
              <w:t xml:space="preserve"> 项目绩效目标完成率</w:t>
            </w:r>
          </w:p>
        </w:tc>
        <w:tc>
          <w:tcPr>
            <w:tcW w:w="644" w:type="pct"/>
            <w:shd w:val="clear"/>
            <w:noWrap w:val="0"/>
            <w:vAlign w:val="center"/>
          </w:tcPr>
          <w:p w14:paraId="194F17A9">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kern w:val="2"/>
                <w:sz w:val="20"/>
                <w:szCs w:val="20"/>
                <w:lang w:val="en-US" w:eastAsia="zh-CN" w:bidi="ar-SA"/>
              </w:rPr>
            </w:pPr>
            <w:r>
              <w:rPr>
                <w:rFonts w:hint="eastAsia" w:ascii="仿宋" w:hAnsi="仿宋" w:eastAsia="仿宋" w:cs="仿宋"/>
                <w:sz w:val="20"/>
                <w:szCs w:val="20"/>
                <w:lang w:val="en-US" w:eastAsia="zh-CN"/>
              </w:rPr>
              <w:t>效果明显</w:t>
            </w:r>
          </w:p>
        </w:tc>
        <w:tc>
          <w:tcPr>
            <w:tcW w:w="625" w:type="pct"/>
            <w:noWrap w:val="0"/>
            <w:vAlign w:val="center"/>
          </w:tcPr>
          <w:p w14:paraId="2FCBDB7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sz w:val="20"/>
                <w:szCs w:val="20"/>
                <w:lang w:val="en-US" w:eastAsia="zh-CN"/>
              </w:rPr>
              <w:t>效果明显</w:t>
            </w:r>
          </w:p>
        </w:tc>
        <w:tc>
          <w:tcPr>
            <w:tcW w:w="400" w:type="pct"/>
            <w:shd w:val="clear"/>
            <w:noWrap w:val="0"/>
            <w:vAlign w:val="center"/>
          </w:tcPr>
          <w:p w14:paraId="113D000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15</w:t>
            </w:r>
          </w:p>
        </w:tc>
        <w:tc>
          <w:tcPr>
            <w:tcW w:w="423" w:type="pct"/>
            <w:shd w:val="clear"/>
            <w:noWrap w:val="0"/>
            <w:vAlign w:val="center"/>
          </w:tcPr>
          <w:p w14:paraId="59AEFBA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15</w:t>
            </w:r>
          </w:p>
        </w:tc>
        <w:tc>
          <w:tcPr>
            <w:tcW w:w="715" w:type="pct"/>
            <w:noWrap w:val="0"/>
            <w:vAlign w:val="center"/>
          </w:tcPr>
          <w:p w14:paraId="2FACC73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r>
      <w:tr w14:paraId="3C31D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507" w:type="pct"/>
            <w:vMerge w:val="continue"/>
            <w:noWrap w:val="0"/>
            <w:vAlign w:val="center"/>
          </w:tcPr>
          <w:p w14:paraId="7FD96EA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526" w:type="pct"/>
            <w:vMerge w:val="continue"/>
            <w:noWrap w:val="0"/>
            <w:vAlign w:val="center"/>
          </w:tcPr>
          <w:p w14:paraId="38BC67F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527" w:type="pct"/>
            <w:noWrap w:val="0"/>
            <w:vAlign w:val="center"/>
          </w:tcPr>
          <w:p w14:paraId="4B904B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628" w:type="pct"/>
            <w:shd w:val="clear"/>
            <w:noWrap w:val="0"/>
            <w:vAlign w:val="center"/>
          </w:tcPr>
          <w:p w14:paraId="2FF5FCE4">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kern w:val="2"/>
                <w:sz w:val="20"/>
                <w:szCs w:val="20"/>
                <w:lang w:val="en-US" w:eastAsia="zh-CN" w:bidi="ar-SA"/>
              </w:rPr>
            </w:pPr>
            <w:r>
              <w:rPr>
                <w:rFonts w:hint="eastAsia" w:ascii="仿宋" w:hAnsi="仿宋" w:eastAsia="仿宋" w:cs="仿宋"/>
                <w:sz w:val="20"/>
                <w:szCs w:val="20"/>
                <w:lang w:val="en-US" w:eastAsia="zh-CN"/>
              </w:rPr>
              <w:t>完成及时率</w:t>
            </w:r>
          </w:p>
        </w:tc>
        <w:tc>
          <w:tcPr>
            <w:tcW w:w="644" w:type="pct"/>
            <w:shd w:val="clear"/>
            <w:noWrap w:val="0"/>
            <w:vAlign w:val="center"/>
          </w:tcPr>
          <w:p w14:paraId="0E9E7968">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kern w:val="2"/>
                <w:sz w:val="20"/>
                <w:szCs w:val="20"/>
                <w:lang w:val="en-US" w:eastAsia="zh-CN" w:bidi="ar-SA"/>
              </w:rPr>
            </w:pPr>
            <w:r>
              <w:rPr>
                <w:rFonts w:hint="eastAsia" w:ascii="仿宋" w:hAnsi="仿宋" w:eastAsia="仿宋" w:cs="仿宋"/>
                <w:sz w:val="20"/>
                <w:szCs w:val="20"/>
                <w:lang w:val="en-US" w:eastAsia="zh-CN"/>
              </w:rPr>
              <w:t>2024年12月之前完成</w:t>
            </w:r>
          </w:p>
        </w:tc>
        <w:tc>
          <w:tcPr>
            <w:tcW w:w="625" w:type="pct"/>
            <w:shd w:val="clear"/>
            <w:noWrap w:val="0"/>
            <w:vAlign w:val="center"/>
          </w:tcPr>
          <w:p w14:paraId="4DF7B56B">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kern w:val="2"/>
                <w:sz w:val="20"/>
                <w:szCs w:val="20"/>
                <w:lang w:val="en-US" w:eastAsia="zh-CN" w:bidi="ar-SA"/>
              </w:rPr>
            </w:pPr>
            <w:r>
              <w:rPr>
                <w:rFonts w:hint="eastAsia" w:ascii="仿宋" w:hAnsi="仿宋" w:eastAsia="仿宋" w:cs="仿宋"/>
                <w:sz w:val="20"/>
                <w:szCs w:val="20"/>
                <w:lang w:val="en-US" w:eastAsia="zh-CN"/>
              </w:rPr>
              <w:t>2024年12月之前完成</w:t>
            </w:r>
          </w:p>
        </w:tc>
        <w:tc>
          <w:tcPr>
            <w:tcW w:w="400" w:type="pct"/>
            <w:shd w:val="clear"/>
            <w:noWrap w:val="0"/>
            <w:vAlign w:val="center"/>
          </w:tcPr>
          <w:p w14:paraId="43F6BF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423" w:type="pct"/>
            <w:shd w:val="clear"/>
            <w:noWrap w:val="0"/>
            <w:vAlign w:val="center"/>
          </w:tcPr>
          <w:p w14:paraId="5B4F90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715" w:type="pct"/>
            <w:noWrap w:val="0"/>
            <w:vAlign w:val="center"/>
          </w:tcPr>
          <w:p w14:paraId="07E9FA7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r>
      <w:tr w14:paraId="4C89D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507" w:type="pct"/>
            <w:vMerge w:val="continue"/>
            <w:noWrap w:val="0"/>
            <w:vAlign w:val="center"/>
          </w:tcPr>
          <w:p w14:paraId="6E7E81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526" w:type="pct"/>
            <w:vMerge w:val="restart"/>
            <w:noWrap w:val="0"/>
            <w:vAlign w:val="center"/>
          </w:tcPr>
          <w:p w14:paraId="32FCD14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5FE926E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527" w:type="pct"/>
            <w:noWrap w:val="0"/>
            <w:vAlign w:val="center"/>
          </w:tcPr>
          <w:p w14:paraId="7F5A79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14E691D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628" w:type="pct"/>
            <w:noWrap w:val="0"/>
            <w:vAlign w:val="center"/>
          </w:tcPr>
          <w:p w14:paraId="5ADEAE4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sz w:val="20"/>
                <w:szCs w:val="20"/>
                <w:lang w:val="en-US" w:eastAsia="zh-CN"/>
              </w:rPr>
              <w:t>为促进经济发展，提供支持</w:t>
            </w:r>
          </w:p>
        </w:tc>
        <w:tc>
          <w:tcPr>
            <w:tcW w:w="644" w:type="pct"/>
            <w:shd w:val="clear"/>
            <w:noWrap w:val="0"/>
            <w:vAlign w:val="center"/>
          </w:tcPr>
          <w:p w14:paraId="5093FEB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效果明显</w:t>
            </w:r>
          </w:p>
        </w:tc>
        <w:tc>
          <w:tcPr>
            <w:tcW w:w="625" w:type="pct"/>
            <w:shd w:val="clear"/>
            <w:noWrap w:val="0"/>
            <w:vAlign w:val="center"/>
          </w:tcPr>
          <w:p w14:paraId="243479D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效果明显</w:t>
            </w:r>
          </w:p>
        </w:tc>
        <w:tc>
          <w:tcPr>
            <w:tcW w:w="400" w:type="pct"/>
            <w:shd w:val="clear" w:color="auto" w:fill="auto"/>
            <w:noWrap w:val="0"/>
            <w:vAlign w:val="center"/>
          </w:tcPr>
          <w:p w14:paraId="70A0993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423" w:type="pct"/>
            <w:shd w:val="clear" w:color="auto" w:fill="auto"/>
            <w:noWrap w:val="0"/>
            <w:vAlign w:val="center"/>
          </w:tcPr>
          <w:p w14:paraId="247EEEF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715" w:type="pct"/>
            <w:noWrap w:val="0"/>
            <w:vAlign w:val="center"/>
          </w:tcPr>
          <w:p w14:paraId="7B6FBA5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r>
      <w:tr w14:paraId="3F799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07" w:type="pct"/>
            <w:vMerge w:val="continue"/>
            <w:noWrap w:val="0"/>
            <w:vAlign w:val="center"/>
          </w:tcPr>
          <w:p w14:paraId="3E86C8A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526" w:type="pct"/>
            <w:vMerge w:val="continue"/>
            <w:noWrap w:val="0"/>
            <w:vAlign w:val="center"/>
          </w:tcPr>
          <w:p w14:paraId="5D93E7D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527" w:type="pct"/>
            <w:noWrap w:val="0"/>
            <w:vAlign w:val="center"/>
          </w:tcPr>
          <w:p w14:paraId="256255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5F6E802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628" w:type="pct"/>
            <w:shd w:val="clear"/>
            <w:noWrap w:val="0"/>
            <w:vAlign w:val="center"/>
          </w:tcPr>
          <w:p w14:paraId="277E1B73">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kern w:val="2"/>
                <w:sz w:val="20"/>
                <w:szCs w:val="20"/>
                <w:lang w:val="en-US" w:eastAsia="zh-CN" w:bidi="ar-SA"/>
              </w:rPr>
            </w:pPr>
            <w:r>
              <w:rPr>
                <w:rFonts w:hint="eastAsia" w:ascii="仿宋" w:hAnsi="仿宋" w:eastAsia="仿宋" w:cs="仿宋"/>
                <w:sz w:val="20"/>
                <w:szCs w:val="20"/>
                <w:lang w:val="en-US" w:eastAsia="zh-CN"/>
              </w:rPr>
              <w:t>维护社会稳定</w:t>
            </w:r>
          </w:p>
        </w:tc>
        <w:tc>
          <w:tcPr>
            <w:tcW w:w="644" w:type="pct"/>
            <w:shd w:val="clear"/>
            <w:noWrap w:val="0"/>
            <w:vAlign w:val="center"/>
          </w:tcPr>
          <w:p w14:paraId="359B39A5">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kern w:val="2"/>
                <w:sz w:val="20"/>
                <w:szCs w:val="20"/>
                <w:lang w:val="en-US" w:eastAsia="zh-CN" w:bidi="ar-SA"/>
              </w:rPr>
            </w:pPr>
            <w:r>
              <w:rPr>
                <w:rFonts w:hint="eastAsia" w:ascii="仿宋" w:hAnsi="仿宋" w:eastAsia="仿宋" w:cs="仿宋"/>
                <w:sz w:val="20"/>
                <w:szCs w:val="20"/>
                <w:lang w:val="en-US" w:eastAsia="zh-CN"/>
              </w:rPr>
              <w:t>效果明显</w:t>
            </w:r>
          </w:p>
        </w:tc>
        <w:tc>
          <w:tcPr>
            <w:tcW w:w="625" w:type="pct"/>
            <w:shd w:val="clear"/>
            <w:noWrap w:val="0"/>
            <w:vAlign w:val="center"/>
          </w:tcPr>
          <w:p w14:paraId="75905C56">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kern w:val="2"/>
                <w:sz w:val="20"/>
                <w:szCs w:val="20"/>
                <w:lang w:val="en-US" w:eastAsia="zh-CN" w:bidi="ar-SA"/>
              </w:rPr>
            </w:pPr>
            <w:r>
              <w:rPr>
                <w:rFonts w:hint="eastAsia" w:ascii="仿宋" w:hAnsi="仿宋" w:eastAsia="仿宋" w:cs="仿宋"/>
                <w:sz w:val="20"/>
                <w:szCs w:val="20"/>
                <w:lang w:val="en-US" w:eastAsia="zh-CN"/>
              </w:rPr>
              <w:t>效果明显</w:t>
            </w:r>
          </w:p>
        </w:tc>
        <w:tc>
          <w:tcPr>
            <w:tcW w:w="400" w:type="pct"/>
            <w:noWrap w:val="0"/>
            <w:vAlign w:val="center"/>
          </w:tcPr>
          <w:p w14:paraId="4DF34FC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423" w:type="pct"/>
            <w:noWrap w:val="0"/>
            <w:vAlign w:val="center"/>
          </w:tcPr>
          <w:p w14:paraId="71ED0F1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715" w:type="pct"/>
            <w:noWrap w:val="0"/>
            <w:vAlign w:val="center"/>
          </w:tcPr>
          <w:p w14:paraId="2D23D6A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r>
      <w:tr w14:paraId="3FBEB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507" w:type="pct"/>
            <w:vMerge w:val="continue"/>
            <w:noWrap w:val="0"/>
            <w:vAlign w:val="center"/>
          </w:tcPr>
          <w:p w14:paraId="4F7336B2">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lang w:val="en-US" w:eastAsia="zh-CN"/>
              </w:rPr>
            </w:pPr>
          </w:p>
        </w:tc>
        <w:tc>
          <w:tcPr>
            <w:tcW w:w="526" w:type="pct"/>
            <w:vMerge w:val="continue"/>
            <w:noWrap w:val="0"/>
            <w:vAlign w:val="center"/>
          </w:tcPr>
          <w:p w14:paraId="3F012EAD">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lang w:val="en-US" w:eastAsia="zh-CN"/>
              </w:rPr>
            </w:pPr>
          </w:p>
        </w:tc>
        <w:tc>
          <w:tcPr>
            <w:tcW w:w="527" w:type="pct"/>
            <w:noWrap w:val="0"/>
            <w:vAlign w:val="center"/>
          </w:tcPr>
          <w:p w14:paraId="242A068F">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lang w:val="en-US" w:eastAsia="zh-CN"/>
              </w:rPr>
            </w:pPr>
            <w:r>
              <w:rPr>
                <w:rFonts w:hint="eastAsia" w:ascii="仿宋" w:hAnsi="仿宋" w:eastAsia="仿宋" w:cs="仿宋"/>
                <w:sz w:val="20"/>
                <w:szCs w:val="20"/>
                <w:lang w:val="en-US" w:eastAsia="zh-CN"/>
              </w:rPr>
              <w:t>生态效</w:t>
            </w:r>
          </w:p>
          <w:p w14:paraId="61C61D4F">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lang w:val="en-US" w:eastAsia="zh-CN"/>
              </w:rPr>
            </w:pPr>
            <w:r>
              <w:rPr>
                <w:rFonts w:hint="eastAsia" w:ascii="仿宋" w:hAnsi="仿宋" w:eastAsia="仿宋" w:cs="仿宋"/>
                <w:sz w:val="20"/>
                <w:szCs w:val="20"/>
                <w:lang w:val="en-US" w:eastAsia="zh-CN"/>
              </w:rPr>
              <w:t>益指标</w:t>
            </w:r>
          </w:p>
        </w:tc>
        <w:tc>
          <w:tcPr>
            <w:tcW w:w="628" w:type="pct"/>
            <w:noWrap w:val="0"/>
            <w:vAlign w:val="center"/>
          </w:tcPr>
          <w:p w14:paraId="097FA526">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拟定复绿方案，美化了城市形象，提升环境质量</w:t>
            </w:r>
          </w:p>
        </w:tc>
        <w:tc>
          <w:tcPr>
            <w:tcW w:w="644" w:type="pct"/>
            <w:shd w:val="clear" w:color="auto" w:fill="auto"/>
            <w:noWrap w:val="0"/>
            <w:vAlign w:val="center"/>
          </w:tcPr>
          <w:p w14:paraId="1F57024F">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kern w:val="2"/>
                <w:sz w:val="20"/>
                <w:szCs w:val="20"/>
                <w:lang w:val="en-US" w:eastAsia="zh-CN" w:bidi="ar-SA"/>
              </w:rPr>
            </w:pPr>
            <w:r>
              <w:rPr>
                <w:rFonts w:hint="eastAsia" w:ascii="仿宋" w:hAnsi="仿宋" w:eastAsia="仿宋" w:cs="仿宋"/>
                <w:sz w:val="20"/>
                <w:szCs w:val="20"/>
                <w:lang w:val="en-US" w:eastAsia="zh-CN"/>
              </w:rPr>
              <w:t>效果明显</w:t>
            </w:r>
          </w:p>
        </w:tc>
        <w:tc>
          <w:tcPr>
            <w:tcW w:w="625" w:type="pct"/>
            <w:shd w:val="clear" w:color="auto" w:fill="auto"/>
            <w:noWrap w:val="0"/>
            <w:vAlign w:val="center"/>
          </w:tcPr>
          <w:p w14:paraId="77A349DD">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kern w:val="2"/>
                <w:sz w:val="20"/>
                <w:szCs w:val="20"/>
                <w:lang w:val="en-US" w:eastAsia="zh-CN" w:bidi="ar-SA"/>
              </w:rPr>
            </w:pPr>
            <w:r>
              <w:rPr>
                <w:rFonts w:hint="eastAsia" w:ascii="仿宋" w:hAnsi="仿宋" w:eastAsia="仿宋" w:cs="仿宋"/>
                <w:sz w:val="20"/>
                <w:szCs w:val="20"/>
                <w:lang w:val="en-US" w:eastAsia="zh-CN"/>
              </w:rPr>
              <w:t>效果明显</w:t>
            </w:r>
          </w:p>
        </w:tc>
        <w:tc>
          <w:tcPr>
            <w:tcW w:w="400" w:type="pct"/>
            <w:shd w:val="clear" w:color="auto" w:fill="auto"/>
            <w:noWrap w:val="0"/>
            <w:vAlign w:val="center"/>
          </w:tcPr>
          <w:p w14:paraId="3635D09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423" w:type="pct"/>
            <w:shd w:val="clear" w:color="auto" w:fill="auto"/>
            <w:noWrap w:val="0"/>
            <w:vAlign w:val="center"/>
          </w:tcPr>
          <w:p w14:paraId="261329E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715" w:type="pct"/>
            <w:noWrap w:val="0"/>
            <w:vAlign w:val="center"/>
          </w:tcPr>
          <w:p w14:paraId="0043A5D3">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lang w:val="en-US" w:eastAsia="zh-CN"/>
              </w:rPr>
            </w:pPr>
          </w:p>
        </w:tc>
      </w:tr>
      <w:tr w14:paraId="42757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507" w:type="pct"/>
            <w:vMerge w:val="continue"/>
            <w:noWrap w:val="0"/>
            <w:vAlign w:val="center"/>
          </w:tcPr>
          <w:p w14:paraId="23111AC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526" w:type="pct"/>
            <w:vMerge w:val="continue"/>
            <w:noWrap w:val="0"/>
            <w:vAlign w:val="center"/>
          </w:tcPr>
          <w:p w14:paraId="58D30CE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527" w:type="pct"/>
            <w:noWrap w:val="0"/>
            <w:vAlign w:val="center"/>
          </w:tcPr>
          <w:p w14:paraId="671DB2F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628" w:type="pct"/>
            <w:noWrap w:val="0"/>
            <w:vAlign w:val="center"/>
          </w:tcPr>
          <w:p w14:paraId="7933512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不适用</w:t>
            </w:r>
          </w:p>
        </w:tc>
        <w:tc>
          <w:tcPr>
            <w:tcW w:w="644" w:type="pct"/>
            <w:noWrap w:val="0"/>
            <w:vAlign w:val="center"/>
          </w:tcPr>
          <w:p w14:paraId="064DAD0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625" w:type="pct"/>
            <w:noWrap w:val="0"/>
            <w:vAlign w:val="center"/>
          </w:tcPr>
          <w:p w14:paraId="66CD106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400" w:type="pct"/>
            <w:noWrap w:val="0"/>
            <w:vAlign w:val="center"/>
          </w:tcPr>
          <w:p w14:paraId="1C5C1EB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423" w:type="pct"/>
            <w:noWrap w:val="0"/>
            <w:vAlign w:val="center"/>
          </w:tcPr>
          <w:p w14:paraId="1243118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15" w:type="pct"/>
            <w:noWrap w:val="0"/>
            <w:vAlign w:val="center"/>
          </w:tcPr>
          <w:p w14:paraId="6B1F65B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r>
      <w:tr w14:paraId="4FAA3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507" w:type="pct"/>
            <w:vMerge w:val="continue"/>
            <w:noWrap w:val="0"/>
            <w:vAlign w:val="center"/>
          </w:tcPr>
          <w:p w14:paraId="6ADC2D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526" w:type="pct"/>
            <w:noWrap w:val="0"/>
            <w:vAlign w:val="center"/>
          </w:tcPr>
          <w:p w14:paraId="12340A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26D7CC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4F27DE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527" w:type="pct"/>
            <w:noWrap w:val="0"/>
            <w:vAlign w:val="center"/>
          </w:tcPr>
          <w:p w14:paraId="5D9C248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628" w:type="pct"/>
            <w:shd w:val="clear"/>
            <w:noWrap w:val="0"/>
            <w:vAlign w:val="center"/>
          </w:tcPr>
          <w:p w14:paraId="7CE7ED8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社会公众满意度</w:t>
            </w:r>
          </w:p>
        </w:tc>
        <w:tc>
          <w:tcPr>
            <w:tcW w:w="644" w:type="pct"/>
            <w:shd w:val="clear"/>
            <w:noWrap w:val="0"/>
            <w:vAlign w:val="center"/>
          </w:tcPr>
          <w:p w14:paraId="458E705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90%</w:t>
            </w:r>
          </w:p>
        </w:tc>
        <w:tc>
          <w:tcPr>
            <w:tcW w:w="625" w:type="pct"/>
            <w:shd w:val="clear"/>
            <w:noWrap w:val="0"/>
            <w:vAlign w:val="center"/>
          </w:tcPr>
          <w:p w14:paraId="4405DE7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90%</w:t>
            </w:r>
          </w:p>
        </w:tc>
        <w:tc>
          <w:tcPr>
            <w:tcW w:w="400" w:type="pct"/>
            <w:shd w:val="clear"/>
            <w:noWrap w:val="0"/>
            <w:vAlign w:val="center"/>
          </w:tcPr>
          <w:p w14:paraId="6F9D3A6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423" w:type="pct"/>
            <w:shd w:val="clear"/>
            <w:noWrap w:val="0"/>
            <w:vAlign w:val="center"/>
          </w:tcPr>
          <w:p w14:paraId="3C44913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715" w:type="pct"/>
            <w:noWrap w:val="0"/>
            <w:vAlign w:val="center"/>
          </w:tcPr>
          <w:p w14:paraId="6ECCFD8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r>
      <w:tr w14:paraId="52D64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60" w:type="pct"/>
            <w:gridSpan w:val="6"/>
            <w:noWrap w:val="0"/>
            <w:vAlign w:val="center"/>
          </w:tcPr>
          <w:p w14:paraId="5E05A6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400" w:type="pct"/>
            <w:noWrap w:val="0"/>
            <w:vAlign w:val="center"/>
          </w:tcPr>
          <w:p w14:paraId="35D952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423" w:type="pct"/>
            <w:noWrap w:val="0"/>
            <w:vAlign w:val="center"/>
          </w:tcPr>
          <w:p w14:paraId="6A45BC5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715" w:type="pct"/>
            <w:noWrap w:val="0"/>
            <w:vAlign w:val="center"/>
          </w:tcPr>
          <w:p w14:paraId="51C7A3F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bl>
    <w:p w14:paraId="68AA738E">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 xml:space="preserve">  联系电话</w:t>
      </w:r>
      <w:r>
        <w:rPr>
          <w:rFonts w:hint="eastAsia" w:ascii="Times New Roman" w:hAnsi="Times New Roman" w:eastAsia="仿宋_GB2312" w:cs="Times New Roman"/>
          <w:snapToGrid/>
          <w:color w:val="000000"/>
          <w:kern w:val="0"/>
          <w:sz w:val="24"/>
          <w:szCs w:val="24"/>
          <w:lang w:val="en-US" w:eastAsia="zh-CN" w:bidi="ar-SA"/>
        </w:rPr>
        <w:t>：</w:t>
      </w:r>
    </w:p>
    <w:p w14:paraId="2B064EE8">
      <w:pPr>
        <w:widowControl w:val="0"/>
        <w:kinsoku/>
        <w:autoSpaceDE/>
        <w:autoSpaceDN/>
        <w:adjustRightInd/>
        <w:snapToGrid/>
        <w:spacing w:line="600" w:lineRule="exact"/>
        <w:jc w:val="both"/>
        <w:textAlignment w:val="auto"/>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75933DCB">
      <w:pPr>
        <w:widowControl w:val="0"/>
        <w:kinsoku/>
        <w:autoSpaceDE/>
        <w:autoSpaceDN/>
        <w:adjustRightInd/>
        <w:snapToGrid/>
        <w:spacing w:line="600" w:lineRule="exact"/>
        <w:jc w:val="both"/>
        <w:textAlignment w:val="auto"/>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0E971113">
      <w:pPr>
        <w:widowControl w:val="0"/>
        <w:kinsoku/>
        <w:autoSpaceDE/>
        <w:autoSpaceDN/>
        <w:adjustRightInd/>
        <w:snapToGrid/>
        <w:spacing w:line="600" w:lineRule="exact"/>
        <w:jc w:val="both"/>
        <w:textAlignment w:val="auto"/>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6E695107">
      <w:pPr>
        <w:widowControl w:val="0"/>
        <w:kinsoku/>
        <w:autoSpaceDE/>
        <w:autoSpaceDN/>
        <w:adjustRightInd/>
        <w:snapToGrid/>
        <w:spacing w:line="240" w:lineRule="auto"/>
        <w:jc w:val="both"/>
        <w:textAlignment w:val="auto"/>
        <w:rPr>
          <w:rFonts w:hint="default" w:ascii="Times New Roman" w:hAnsi="Times New Roman" w:eastAsia="仿宋_GB2312" w:cs="Times New Roman"/>
          <w:snapToGrid/>
          <w:color w:val="000000"/>
          <w:kern w:val="0"/>
          <w:sz w:val="24"/>
          <w:szCs w:val="24"/>
          <w:lang w:val="en-US" w:eastAsia="zh-CN" w:bidi="ar-SA"/>
        </w:rPr>
      </w:pPr>
      <w:r>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t>附件</w:t>
      </w:r>
      <w:r>
        <w:rPr>
          <w:rFonts w:hint="eastAsia" w:ascii="Times New Roman" w:hAnsi="Times New Roman" w:eastAsia="仿宋_GB2312" w:cs="Times New Roman"/>
          <w:snapToGrid/>
          <w:color w:val="000000"/>
          <w:kern w:val="0"/>
          <w:sz w:val="24"/>
          <w:szCs w:val="24"/>
          <w:lang w:val="en-US" w:eastAsia="zh-CN" w:bidi="ar-SA"/>
        </w:rPr>
        <w:t>4</w:t>
      </w:r>
    </w:p>
    <w:p w14:paraId="16A39887">
      <w:pPr>
        <w:jc w:val="center"/>
        <w:rPr>
          <w:rFonts w:hint="eastAsia" w:ascii="方正小标宋简体" w:hAnsi="Arial" w:eastAsia="方正小标宋简体" w:cs="Arial"/>
          <w:sz w:val="40"/>
          <w:szCs w:val="40"/>
        </w:rPr>
      </w:pPr>
      <w:r>
        <w:rPr>
          <w:rFonts w:hint="eastAsia" w:ascii="方正小标宋简体" w:hAnsi="Arial" w:eastAsia="方正小标宋简体" w:cs="Arial"/>
          <w:sz w:val="40"/>
          <w:szCs w:val="40"/>
        </w:rPr>
        <w:t>项目</w:t>
      </w:r>
      <w:r>
        <w:rPr>
          <w:rFonts w:hint="eastAsia" w:ascii="方正小标宋简体" w:hAnsi="Arial" w:eastAsia="方正小标宋简体" w:cs="Arial"/>
          <w:sz w:val="40"/>
          <w:szCs w:val="40"/>
          <w:lang w:eastAsia="zh-CN"/>
        </w:rPr>
        <w:t>支出</w:t>
      </w:r>
      <w:r>
        <w:rPr>
          <w:rFonts w:hint="eastAsia" w:ascii="方正小标宋简体" w:hAnsi="Arial" w:eastAsia="方正小标宋简体" w:cs="Arial"/>
          <w:sz w:val="40"/>
          <w:szCs w:val="40"/>
        </w:rPr>
        <w:t>自评</w:t>
      </w:r>
      <w:r>
        <w:rPr>
          <w:rFonts w:hint="eastAsia" w:ascii="方正小标宋简体" w:hAnsi="Arial" w:eastAsia="方正小标宋简体" w:cs="Arial"/>
          <w:sz w:val="40"/>
          <w:szCs w:val="40"/>
          <w:lang w:eastAsia="zh-CN"/>
        </w:rPr>
        <w:t>结果汇总分析</w:t>
      </w:r>
      <w:r>
        <w:rPr>
          <w:rFonts w:hint="eastAsia" w:ascii="方正小标宋简体" w:hAnsi="Arial" w:eastAsia="方正小标宋简体" w:cs="Arial"/>
          <w:sz w:val="40"/>
          <w:szCs w:val="40"/>
        </w:rPr>
        <w:t>报告</w:t>
      </w:r>
    </w:p>
    <w:p w14:paraId="6F91B6AE">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5A0365E4">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一、项目支出基本情况</w:t>
      </w:r>
    </w:p>
    <w:p w14:paraId="6EDA59B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（一）项目决策背景</w:t>
      </w:r>
    </w:p>
    <w:p w14:paraId="5E2847A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怀化市土地储备中心部门中长期目标是围绕加快建设怀化，立足于保障城建计划和市政府重大项目顺利推进，以提升城市品质、完善城市功能、促进房地产市场平稳健康发展为目标，紧密结合“十四五规划”、国民经济和社会发展计划、土地利用总体规划、城市总体规划、土地储备规划和土地市场供需情况，科学编制土地储备计划，实施精准供地，防范土地储备资金风险，助推全市经济社会发展目标的顺利实现。</w:t>
      </w:r>
    </w:p>
    <w:p w14:paraId="5E9D922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（二）</w:t>
      </w:r>
      <w:r>
        <w:rPr>
          <w:rFonts w:hint="eastAsia" w:ascii="仿宋" w:hAnsi="仿宋" w:eastAsia="仿宋" w:cs="Times New Roman"/>
          <w:spacing w:val="-2"/>
          <w:kern w:val="2"/>
          <w:sz w:val="32"/>
          <w:szCs w:val="32"/>
          <w:lang w:val="en-US" w:eastAsia="zh-CN" w:bidi="ar-SA"/>
        </w:rPr>
        <w:t>项目主要内容</w:t>
      </w:r>
    </w:p>
    <w:p w14:paraId="315A175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根据本地区国民经济和社会发展规划、城镇发展规划、土地储备计划等申报了土地储备合作项目，编制了项目可行性研究报告、实施方案等，明确了项目的具体实施内容及实施期限。</w:t>
      </w:r>
    </w:p>
    <w:p w14:paraId="62388C9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（三）项目组织管理机构</w:t>
      </w:r>
    </w:p>
    <w:p w14:paraId="201207E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项目组织管理机构为怀化市土地储备中心，主管部门为怀化市自然资源和规划局。</w:t>
      </w:r>
    </w:p>
    <w:p w14:paraId="40A7943F">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二、项目自评工作开展情况</w:t>
      </w:r>
    </w:p>
    <w:p w14:paraId="496B17E2">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包括项目单位自评工作覆盖情况，组织开展程序，责任单位等。</w:t>
      </w:r>
    </w:p>
    <w:p w14:paraId="52399434">
      <w:pPr>
        <w:keepNext w:val="0"/>
        <w:keepLines w:val="0"/>
        <w:pageBreakBefore w:val="0"/>
        <w:widowControl w:val="0"/>
        <w:kinsoku/>
        <w:wordWrap/>
        <w:overflowPunct/>
        <w:topLinePunct w:val="0"/>
        <w:autoSpaceDE/>
        <w:autoSpaceDN/>
        <w:bidi w:val="0"/>
        <w:adjustRightInd/>
        <w:snapToGrid w:val="0"/>
        <w:spacing w:line="560" w:lineRule="exact"/>
        <w:ind w:firstLine="632" w:firstLineChars="200"/>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（一）</w:t>
      </w:r>
      <w:r>
        <w:rPr>
          <w:rFonts w:hint="eastAsia" w:ascii="Times New Roman Regular" w:hAnsi="Times New Roman Regular" w:eastAsia="仿宋_GB2312" w:cs="Times New Roman Regular"/>
          <w:color w:val="auto"/>
          <w:sz w:val="32"/>
          <w:szCs w:val="32"/>
          <w:highlight w:val="none"/>
          <w:lang w:val="en-US" w:eastAsia="zh-CN"/>
        </w:rPr>
        <w:t>项目单位自评工作覆盖情况</w:t>
      </w:r>
    </w:p>
    <w:p w14:paraId="58015861">
      <w:pPr>
        <w:keepNext w:val="0"/>
        <w:keepLines w:val="0"/>
        <w:pageBreakBefore w:val="0"/>
        <w:widowControl w:val="0"/>
        <w:kinsoku/>
        <w:wordWrap/>
        <w:overflowPunct/>
        <w:topLinePunct w:val="0"/>
        <w:autoSpaceDE/>
        <w:autoSpaceDN/>
        <w:bidi w:val="0"/>
        <w:adjustRightInd/>
        <w:snapToGrid w:val="0"/>
        <w:spacing w:line="560" w:lineRule="exact"/>
        <w:ind w:firstLine="632" w:firstLineChars="200"/>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根据预算绩效管理要求，本次项目支出绩效自评的对象和范围为我中心2024年度市本级财政批复的预算项目1个，涉及市级财政资金</w:t>
      </w:r>
      <w:r>
        <w:rPr>
          <w:rFonts w:hint="eastAsia" w:ascii="仿宋" w:hAnsi="仿宋" w:eastAsia="仿宋" w:cs="Times New Roman"/>
          <w:spacing w:val="-2"/>
          <w:kern w:val="2"/>
          <w:sz w:val="32"/>
          <w:szCs w:val="32"/>
          <w:lang w:val="en-US" w:eastAsia="zh-CN" w:bidi="ar-SA"/>
        </w:rPr>
        <w:t>33,929.14</w:t>
      </w:r>
      <w:r>
        <w:rPr>
          <w:rFonts w:hint="eastAsia" w:ascii="仿宋" w:hAnsi="仿宋" w:eastAsia="仿宋" w:cs="Times New Roman"/>
          <w:spacing w:val="-2"/>
          <w:kern w:val="2"/>
          <w:sz w:val="32"/>
          <w:szCs w:val="32"/>
          <w:lang w:val="en-US" w:eastAsia="zh-CN" w:bidi="ar-SA"/>
        </w:rPr>
        <w:t>万元，自评覆盖率为100%。</w:t>
      </w:r>
    </w:p>
    <w:p w14:paraId="4E8FECDD">
      <w:pPr>
        <w:keepNext w:val="0"/>
        <w:keepLines w:val="0"/>
        <w:pageBreakBefore w:val="0"/>
        <w:widowControl w:val="0"/>
        <w:kinsoku/>
        <w:wordWrap/>
        <w:overflowPunct/>
        <w:topLinePunct w:val="0"/>
        <w:autoSpaceDE/>
        <w:autoSpaceDN/>
        <w:bidi w:val="0"/>
        <w:adjustRightInd/>
        <w:snapToGrid w:val="0"/>
        <w:spacing w:line="560" w:lineRule="exact"/>
        <w:ind w:firstLine="632" w:firstLineChars="200"/>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（二）</w:t>
      </w:r>
      <w:r>
        <w:rPr>
          <w:rFonts w:hint="eastAsia" w:ascii="Times New Roman Regular" w:hAnsi="Times New Roman Regular" w:eastAsia="仿宋_GB2312" w:cs="Times New Roman Regular"/>
          <w:color w:val="auto"/>
          <w:sz w:val="32"/>
          <w:szCs w:val="32"/>
          <w:highlight w:val="none"/>
          <w:lang w:val="en-US" w:eastAsia="zh-CN"/>
        </w:rPr>
        <w:t>组织开展程序</w:t>
      </w:r>
    </w:p>
    <w:p w14:paraId="35361031">
      <w:pPr>
        <w:keepNext w:val="0"/>
        <w:keepLines w:val="0"/>
        <w:pageBreakBefore w:val="0"/>
        <w:widowControl w:val="0"/>
        <w:kinsoku/>
        <w:wordWrap/>
        <w:overflowPunct/>
        <w:topLinePunct w:val="0"/>
        <w:autoSpaceDE/>
        <w:autoSpaceDN/>
        <w:bidi w:val="0"/>
        <w:adjustRightInd/>
        <w:snapToGrid w:val="0"/>
        <w:spacing w:line="560" w:lineRule="exact"/>
        <w:ind w:firstLine="632" w:firstLineChars="200"/>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根据《怀化市财政局关于开展2024年度市级预算部门绩效自评和部门评价的通知》（怀财绩〔2025〕32号）要求，本单位对2024年度项目资金开展自评，主要包括土地储备专项项目。我单位成立由办公室以及其他业务科室组成的绩效自评工作小组，明确责任分工，细化评价指标和流程。项目负责人在评价执行过程中对各项目进行数据收集与分析，采用合理的评价方法，对项目整体执行情况进行合理的评价与分析，得出合理的结论。</w:t>
      </w:r>
    </w:p>
    <w:p w14:paraId="0CE59B2F">
      <w:pPr>
        <w:keepNext w:val="0"/>
        <w:keepLines w:val="0"/>
        <w:pageBreakBefore w:val="0"/>
        <w:widowControl w:val="0"/>
        <w:kinsoku/>
        <w:wordWrap/>
        <w:overflowPunct/>
        <w:topLinePunct w:val="0"/>
        <w:autoSpaceDE/>
        <w:autoSpaceDN/>
        <w:bidi w:val="0"/>
        <w:adjustRightInd/>
        <w:snapToGrid w:val="0"/>
        <w:spacing w:line="560" w:lineRule="exact"/>
        <w:ind w:firstLine="632" w:firstLineChars="200"/>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(三)责任单位</w:t>
      </w:r>
    </w:p>
    <w:p w14:paraId="4A75AA09">
      <w:pPr>
        <w:keepNext w:val="0"/>
        <w:keepLines w:val="0"/>
        <w:pageBreakBefore w:val="0"/>
        <w:widowControl w:val="0"/>
        <w:kinsoku/>
        <w:wordWrap/>
        <w:overflowPunct/>
        <w:topLinePunct w:val="0"/>
        <w:autoSpaceDE/>
        <w:autoSpaceDN/>
        <w:bidi w:val="0"/>
        <w:adjustRightInd/>
        <w:snapToGrid w:val="0"/>
        <w:spacing w:line="560" w:lineRule="exact"/>
        <w:ind w:firstLine="632" w:firstLineChars="200"/>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项目支出责任单位为</w:t>
      </w:r>
      <w:r>
        <w:rPr>
          <w:rFonts w:hint="eastAsia" w:ascii="仿宋" w:hAnsi="仿宋" w:eastAsia="仿宋" w:cs="Times New Roman"/>
          <w:spacing w:val="-2"/>
          <w:kern w:val="2"/>
          <w:sz w:val="32"/>
          <w:szCs w:val="32"/>
          <w:lang w:val="en-US" w:eastAsia="zh-CN" w:bidi="ar-SA"/>
        </w:rPr>
        <w:t>怀化市土地储备中心</w:t>
      </w:r>
      <w:r>
        <w:rPr>
          <w:rFonts w:hint="eastAsia" w:ascii="仿宋" w:hAnsi="仿宋" w:eastAsia="仿宋" w:cs="Times New Roman"/>
          <w:spacing w:val="-2"/>
          <w:kern w:val="2"/>
          <w:sz w:val="32"/>
          <w:szCs w:val="32"/>
          <w:lang w:val="en-US" w:eastAsia="zh-CN" w:bidi="ar-SA"/>
        </w:rPr>
        <w:t>，</w:t>
      </w:r>
      <w:r>
        <w:rPr>
          <w:rFonts w:hint="eastAsia" w:ascii="仿宋" w:hAnsi="仿宋" w:eastAsia="仿宋" w:cs="Times New Roman"/>
          <w:spacing w:val="-2"/>
          <w:kern w:val="2"/>
          <w:sz w:val="32"/>
          <w:szCs w:val="32"/>
          <w:lang w:val="en-US" w:eastAsia="zh-CN" w:bidi="ar-SA"/>
        </w:rPr>
        <w:t>为国家和人民生活建设提供土地储备保障，储备土地管理、土地储备规划和计划的编制及执行土地储备资金的筹措规划区内储备土地的前期开发（相关社会服务），同时承接市政府以及我局交办的其他任务。项目主管部门为怀化市自然资源和规划局。</w:t>
      </w:r>
    </w:p>
    <w:p w14:paraId="5D5647AD">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三、项目自评结果及分析</w:t>
      </w:r>
    </w:p>
    <w:p w14:paraId="4CCFB028">
      <w:pPr>
        <w:keepNext w:val="0"/>
        <w:keepLines w:val="0"/>
        <w:pageBreakBefore w:val="0"/>
        <w:widowControl w:val="0"/>
        <w:kinsoku/>
        <w:wordWrap/>
        <w:overflowPunct/>
        <w:topLinePunct w:val="0"/>
        <w:autoSpaceDE/>
        <w:autoSpaceDN/>
        <w:bidi w:val="0"/>
        <w:adjustRightInd/>
        <w:snapToGrid w:val="0"/>
        <w:spacing w:line="560" w:lineRule="exact"/>
        <w:ind w:firstLine="632" w:firstLineChars="200"/>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包括项目支出单位自评分数情况及分析，预算执行情况分析、资金管理情况分析、总体绩效目标完成情况分析、绩效指标完成情况分析等。对年度总体绩效目标没有完成的项目、绩效指标完成情况存在偏差的（没有完成、超额完成30%及以上），要分析原因。</w:t>
      </w:r>
    </w:p>
    <w:p w14:paraId="46794692">
      <w:pPr>
        <w:keepNext w:val="0"/>
        <w:keepLines w:val="0"/>
        <w:pageBreakBefore w:val="0"/>
        <w:widowControl w:val="0"/>
        <w:kinsoku/>
        <w:wordWrap/>
        <w:overflowPunct/>
        <w:topLinePunct w:val="0"/>
        <w:autoSpaceDE/>
        <w:autoSpaceDN/>
        <w:bidi w:val="0"/>
        <w:adjustRightInd/>
        <w:snapToGrid w:val="0"/>
        <w:spacing w:line="560" w:lineRule="exact"/>
        <w:ind w:firstLine="635" w:firstLineChars="200"/>
        <w:textAlignment w:val="auto"/>
        <w:rPr>
          <w:rFonts w:hint="eastAsia" w:ascii="仿宋" w:hAnsi="仿宋" w:eastAsia="仿宋" w:cs="Times New Roman"/>
          <w:b/>
          <w:bCs/>
          <w:spacing w:val="-2"/>
          <w:kern w:val="2"/>
          <w:sz w:val="32"/>
          <w:szCs w:val="32"/>
          <w:lang w:val="en-US" w:eastAsia="zh-CN" w:bidi="ar-SA"/>
        </w:rPr>
      </w:pPr>
      <w:r>
        <w:rPr>
          <w:rFonts w:hint="eastAsia" w:ascii="仿宋" w:hAnsi="仿宋" w:eastAsia="仿宋" w:cs="Times New Roman"/>
          <w:b/>
          <w:bCs/>
          <w:spacing w:val="-2"/>
          <w:kern w:val="2"/>
          <w:sz w:val="32"/>
          <w:szCs w:val="32"/>
          <w:lang w:val="en-US" w:eastAsia="zh-CN" w:bidi="ar-SA"/>
        </w:rPr>
        <w:t>（一）项目支出单位自评分数情况及分析</w:t>
      </w:r>
    </w:p>
    <w:p w14:paraId="4FD6896E">
      <w:pPr>
        <w:keepNext w:val="0"/>
        <w:keepLines w:val="0"/>
        <w:pageBreakBefore w:val="0"/>
        <w:widowControl w:val="0"/>
        <w:kinsoku/>
        <w:wordWrap/>
        <w:overflowPunct/>
        <w:topLinePunct w:val="0"/>
        <w:autoSpaceDE/>
        <w:autoSpaceDN/>
        <w:bidi w:val="0"/>
        <w:adjustRightInd/>
        <w:snapToGrid w:val="0"/>
        <w:spacing w:line="560" w:lineRule="exact"/>
        <w:ind w:firstLine="632" w:firstLineChars="200"/>
        <w:textAlignment w:val="auto"/>
        <w:rPr>
          <w:rFonts w:hint="default"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highlight w:val="none"/>
          <w:lang w:val="en-US" w:eastAsia="zh-CN" w:bidi="ar-SA"/>
        </w:rPr>
        <w:t>我中心本次项目支出自评结果为:土地储备资金专项项目自评得分100分。从</w:t>
      </w:r>
      <w:r>
        <w:rPr>
          <w:rFonts w:hint="eastAsia" w:ascii="仿宋" w:hAnsi="仿宋" w:eastAsia="仿宋" w:cs="Times New Roman"/>
          <w:spacing w:val="-2"/>
          <w:kern w:val="2"/>
          <w:sz w:val="32"/>
          <w:szCs w:val="32"/>
          <w:lang w:val="en-US" w:eastAsia="zh-CN" w:bidi="ar-SA"/>
        </w:rPr>
        <w:t>本次绩效自评的整体情况来看，项目支出决策依据充分资金下达及时，资金分配合理，组织实施有序，管理制度完善，项目管理整体情况良好，充分发挥了财政资金使用效益。</w:t>
      </w:r>
    </w:p>
    <w:p w14:paraId="7B3065F4">
      <w:pPr>
        <w:keepNext w:val="0"/>
        <w:keepLines w:val="0"/>
        <w:pageBreakBefore w:val="0"/>
        <w:widowControl w:val="0"/>
        <w:kinsoku/>
        <w:wordWrap/>
        <w:overflowPunct/>
        <w:topLinePunct w:val="0"/>
        <w:autoSpaceDE/>
        <w:autoSpaceDN/>
        <w:bidi w:val="0"/>
        <w:adjustRightInd/>
        <w:snapToGrid w:val="0"/>
        <w:spacing w:line="560" w:lineRule="exact"/>
        <w:ind w:firstLine="632" w:firstLineChars="200"/>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土地储备专项资金项目，符合国家、省、州、县相关规划的要求，项目立项规范，目标合理、明确、细化、量化，项目资金能及时到账，遵循专人管理、专账核算、专项使用的专项资金管理原则，相关管理制度完备，并能严格遵守，达到了预期的各项绩效指标，经济社会效益比较显著，项目生态环境效益良好。</w:t>
      </w:r>
    </w:p>
    <w:p w14:paraId="1481163C">
      <w:pPr>
        <w:keepNext w:val="0"/>
        <w:keepLines w:val="0"/>
        <w:pageBreakBefore w:val="0"/>
        <w:widowControl w:val="0"/>
        <w:kinsoku/>
        <w:wordWrap/>
        <w:overflowPunct/>
        <w:topLinePunct w:val="0"/>
        <w:autoSpaceDE/>
        <w:autoSpaceDN/>
        <w:bidi w:val="0"/>
        <w:adjustRightInd/>
        <w:snapToGrid w:val="0"/>
        <w:spacing w:line="560" w:lineRule="exact"/>
        <w:ind w:firstLine="635" w:firstLineChars="200"/>
        <w:textAlignment w:val="auto"/>
        <w:rPr>
          <w:rFonts w:hint="eastAsia" w:ascii="仿宋" w:hAnsi="仿宋" w:eastAsia="仿宋" w:cs="Times New Roman"/>
          <w:b/>
          <w:bCs/>
          <w:spacing w:val="-2"/>
          <w:kern w:val="2"/>
          <w:sz w:val="32"/>
          <w:szCs w:val="32"/>
          <w:lang w:val="en-US" w:eastAsia="zh-CN" w:bidi="ar-SA"/>
        </w:rPr>
      </w:pPr>
      <w:r>
        <w:rPr>
          <w:rFonts w:hint="eastAsia" w:ascii="仿宋" w:hAnsi="仿宋" w:eastAsia="仿宋" w:cs="Times New Roman"/>
          <w:b/>
          <w:bCs/>
          <w:spacing w:val="-2"/>
          <w:kern w:val="2"/>
          <w:sz w:val="32"/>
          <w:szCs w:val="32"/>
          <w:lang w:val="en-US" w:eastAsia="zh-CN" w:bidi="ar-SA"/>
        </w:rPr>
        <w:t>（二）预算执行情况分析</w:t>
      </w:r>
    </w:p>
    <w:p w14:paraId="2308B171">
      <w:pPr>
        <w:keepNext w:val="0"/>
        <w:keepLines w:val="0"/>
        <w:pageBreakBefore w:val="0"/>
        <w:widowControl w:val="0"/>
        <w:kinsoku/>
        <w:wordWrap/>
        <w:overflowPunct/>
        <w:topLinePunct w:val="0"/>
        <w:autoSpaceDE/>
        <w:autoSpaceDN/>
        <w:bidi w:val="0"/>
        <w:adjustRightInd/>
        <w:snapToGrid w:val="0"/>
        <w:spacing w:line="560" w:lineRule="exact"/>
        <w:ind w:firstLine="632"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仿宋" w:hAnsi="仿宋" w:eastAsia="仿宋" w:cs="Times New Roman"/>
          <w:spacing w:val="-2"/>
          <w:kern w:val="2"/>
          <w:sz w:val="32"/>
          <w:szCs w:val="32"/>
          <w:lang w:val="en-US" w:eastAsia="zh-CN" w:bidi="ar-SA"/>
        </w:rPr>
        <w:t>我中心</w:t>
      </w:r>
      <w:r>
        <w:rPr>
          <w:rFonts w:hint="eastAsia" w:ascii="仿宋" w:hAnsi="仿宋" w:eastAsia="仿宋" w:cs="Times New Roman"/>
          <w:spacing w:val="-2"/>
          <w:kern w:val="2"/>
          <w:sz w:val="32"/>
          <w:szCs w:val="32"/>
          <w:lang w:val="en-US" w:eastAsia="zh-CN" w:bidi="ar-SA"/>
        </w:rPr>
        <w:t>本部门项目支出主要是土地储备资金专项经费，年初资金专户未纳入本单位预算，纳入财政大预算；2024年度预算执行33,929.14万元</w:t>
      </w:r>
      <w:r>
        <w:rPr>
          <w:rFonts w:hint="eastAsia" w:ascii="仿宋" w:hAnsi="仿宋" w:eastAsia="仿宋" w:cs="Times New Roman"/>
          <w:spacing w:val="-2"/>
          <w:kern w:val="2"/>
          <w:sz w:val="32"/>
          <w:szCs w:val="32"/>
          <w:lang w:val="en-US" w:eastAsia="zh-CN" w:bidi="ar-SA"/>
        </w:rPr>
        <w:t>，预算执行率为100%。</w:t>
      </w:r>
    </w:p>
    <w:p w14:paraId="3584AA88">
      <w:pPr>
        <w:keepNext w:val="0"/>
        <w:keepLines w:val="0"/>
        <w:pageBreakBefore w:val="0"/>
        <w:widowControl w:val="0"/>
        <w:kinsoku/>
        <w:wordWrap/>
        <w:overflowPunct/>
        <w:topLinePunct w:val="0"/>
        <w:autoSpaceDE/>
        <w:autoSpaceDN/>
        <w:bidi w:val="0"/>
        <w:adjustRightInd/>
        <w:snapToGrid w:val="0"/>
        <w:spacing w:line="560" w:lineRule="exact"/>
        <w:ind w:firstLine="635" w:firstLineChars="200"/>
        <w:textAlignment w:val="auto"/>
        <w:rPr>
          <w:rFonts w:hint="eastAsia" w:ascii="仿宋" w:hAnsi="仿宋" w:eastAsia="仿宋" w:cs="Times New Roman"/>
          <w:b/>
          <w:bCs/>
          <w:spacing w:val="-2"/>
          <w:kern w:val="2"/>
          <w:sz w:val="32"/>
          <w:szCs w:val="32"/>
          <w:lang w:val="en-US" w:eastAsia="zh-CN" w:bidi="ar-SA"/>
        </w:rPr>
      </w:pPr>
      <w:r>
        <w:rPr>
          <w:rFonts w:hint="eastAsia" w:ascii="仿宋" w:hAnsi="仿宋" w:eastAsia="仿宋" w:cs="Times New Roman"/>
          <w:b/>
          <w:bCs/>
          <w:spacing w:val="-2"/>
          <w:kern w:val="2"/>
          <w:sz w:val="32"/>
          <w:szCs w:val="32"/>
          <w:lang w:val="en-US" w:eastAsia="zh-CN" w:bidi="ar-SA"/>
        </w:rPr>
        <w:t>(三)资金管理情况分析</w:t>
      </w:r>
    </w:p>
    <w:p w14:paraId="7A53A609">
      <w:pPr>
        <w:keepNext w:val="0"/>
        <w:keepLines w:val="0"/>
        <w:pageBreakBefore w:val="0"/>
        <w:widowControl w:val="0"/>
        <w:kinsoku/>
        <w:wordWrap/>
        <w:overflowPunct/>
        <w:topLinePunct w:val="0"/>
        <w:autoSpaceDE/>
        <w:autoSpaceDN/>
        <w:bidi w:val="0"/>
        <w:adjustRightInd/>
        <w:snapToGrid w:val="0"/>
        <w:spacing w:line="560" w:lineRule="exact"/>
        <w:ind w:firstLine="632" w:firstLineChars="200"/>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1.资金到位率。2024年本单位专项项目资金投入</w:t>
      </w:r>
      <w:r>
        <w:rPr>
          <w:rFonts w:hint="eastAsia" w:ascii="仿宋" w:hAnsi="仿宋" w:eastAsia="仿宋" w:cs="Times New Roman"/>
          <w:spacing w:val="-2"/>
          <w:kern w:val="2"/>
          <w:sz w:val="32"/>
          <w:szCs w:val="32"/>
          <w:lang w:val="en-US" w:eastAsia="zh-CN" w:bidi="ar-SA"/>
        </w:rPr>
        <w:t>33,929.14</w:t>
      </w:r>
      <w:r>
        <w:rPr>
          <w:rFonts w:hint="eastAsia" w:ascii="仿宋" w:hAnsi="仿宋" w:eastAsia="仿宋" w:cs="Times New Roman"/>
          <w:spacing w:val="-2"/>
          <w:kern w:val="2"/>
          <w:sz w:val="32"/>
          <w:szCs w:val="32"/>
          <w:lang w:val="en-US" w:eastAsia="zh-CN" w:bidi="ar-SA"/>
        </w:rPr>
        <w:t>万元，实际到位</w:t>
      </w:r>
      <w:r>
        <w:rPr>
          <w:rFonts w:hint="eastAsia" w:ascii="仿宋" w:hAnsi="仿宋" w:eastAsia="仿宋" w:cs="Times New Roman"/>
          <w:spacing w:val="-2"/>
          <w:kern w:val="2"/>
          <w:sz w:val="32"/>
          <w:szCs w:val="32"/>
          <w:lang w:val="en-US" w:eastAsia="zh-CN" w:bidi="ar-SA"/>
        </w:rPr>
        <w:t>33,929.14</w:t>
      </w:r>
      <w:r>
        <w:rPr>
          <w:rFonts w:hint="eastAsia" w:ascii="仿宋" w:hAnsi="仿宋" w:eastAsia="仿宋" w:cs="Times New Roman"/>
          <w:spacing w:val="-2"/>
          <w:kern w:val="2"/>
          <w:sz w:val="32"/>
          <w:szCs w:val="32"/>
          <w:lang w:val="en-US" w:eastAsia="zh-CN" w:bidi="ar-SA"/>
        </w:rPr>
        <w:t>万元，资金到位率100%。</w:t>
      </w:r>
    </w:p>
    <w:p w14:paraId="113DF66A">
      <w:pPr>
        <w:keepNext w:val="0"/>
        <w:keepLines w:val="0"/>
        <w:pageBreakBefore w:val="0"/>
        <w:widowControl w:val="0"/>
        <w:kinsoku/>
        <w:wordWrap/>
        <w:overflowPunct/>
        <w:topLinePunct w:val="0"/>
        <w:autoSpaceDE/>
        <w:autoSpaceDN/>
        <w:bidi w:val="0"/>
        <w:adjustRightInd/>
        <w:snapToGrid w:val="0"/>
        <w:spacing w:line="560" w:lineRule="exact"/>
        <w:ind w:firstLine="632" w:firstLineChars="200"/>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2.资金管理制度及执行情况。资金支付符合国家财经法规和财务管理制度以及有关专项资金管理办法的规定，支付手续齐全、审批流程规范，支付凭证合规，不存在现金支付、不合规票据支出等违规现象，没有截留、虚列支出等情况。</w:t>
      </w:r>
    </w:p>
    <w:p w14:paraId="56D865B1">
      <w:pPr>
        <w:keepNext w:val="0"/>
        <w:keepLines w:val="0"/>
        <w:pageBreakBefore w:val="0"/>
        <w:widowControl w:val="0"/>
        <w:kinsoku/>
        <w:wordWrap/>
        <w:overflowPunct/>
        <w:topLinePunct w:val="0"/>
        <w:autoSpaceDE/>
        <w:autoSpaceDN/>
        <w:bidi w:val="0"/>
        <w:adjustRightInd/>
        <w:snapToGrid w:val="0"/>
        <w:spacing w:line="560" w:lineRule="exact"/>
        <w:ind w:firstLine="632" w:firstLineChars="200"/>
        <w:textAlignment w:val="auto"/>
        <w:rPr>
          <w:rFonts w:hint="eastAsia" w:ascii="方正黑体_GBK" w:hAnsi="方正黑体_GBK" w:eastAsia="方正黑体_GBK" w:cs="方正黑体_GBK"/>
          <w:b w:val="0"/>
          <w:bCs w:val="0"/>
          <w:color w:val="auto"/>
          <w:sz w:val="32"/>
          <w:szCs w:val="32"/>
          <w:highlight w:val="none"/>
          <w:lang w:val="en-US" w:eastAsia="zh-CN"/>
        </w:rPr>
      </w:pPr>
      <w:r>
        <w:rPr>
          <w:rFonts w:hint="eastAsia" w:ascii="仿宋" w:hAnsi="仿宋" w:eastAsia="仿宋" w:cs="Times New Roman"/>
          <w:spacing w:val="-2"/>
          <w:kern w:val="2"/>
          <w:sz w:val="32"/>
          <w:szCs w:val="32"/>
          <w:lang w:val="en-US" w:eastAsia="zh-CN" w:bidi="ar-SA"/>
        </w:rPr>
        <w:t>（四）总体绩效目标完成情况分析</w:t>
      </w:r>
    </w:p>
    <w:p w14:paraId="5F9B65EF">
      <w:pPr>
        <w:keepNext w:val="0"/>
        <w:keepLines w:val="0"/>
        <w:pageBreakBefore w:val="0"/>
        <w:widowControl w:val="0"/>
        <w:kinsoku/>
        <w:wordWrap/>
        <w:overflowPunct/>
        <w:topLinePunct w:val="0"/>
        <w:autoSpaceDE/>
        <w:autoSpaceDN/>
        <w:bidi w:val="0"/>
        <w:adjustRightInd/>
        <w:snapToGrid w:val="0"/>
        <w:spacing w:line="560" w:lineRule="exact"/>
        <w:ind w:firstLine="632" w:firstLineChars="200"/>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1.总体预期目标</w:t>
      </w:r>
    </w:p>
    <w:p w14:paraId="573A865A">
      <w:pPr>
        <w:keepNext w:val="0"/>
        <w:keepLines w:val="0"/>
        <w:pageBreakBefore w:val="0"/>
        <w:widowControl w:val="0"/>
        <w:kinsoku/>
        <w:wordWrap/>
        <w:overflowPunct/>
        <w:topLinePunct w:val="0"/>
        <w:autoSpaceDE/>
        <w:autoSpaceDN/>
        <w:bidi w:val="0"/>
        <w:adjustRightInd/>
        <w:snapToGrid w:val="0"/>
        <w:spacing w:line="560" w:lineRule="exact"/>
        <w:ind w:firstLine="632" w:firstLineChars="200"/>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（1）精准编制土储供地计划。在认真研判我市经济形势和土地市场的基础上，以重大产业项目、重点项目、民生项目为重点，坚持“以供定储”的基本原则，扎实精准做好2024年土地储备供地计划编制工作。</w:t>
      </w:r>
    </w:p>
    <w:p w14:paraId="7FC3BD76">
      <w:pPr>
        <w:keepNext w:val="0"/>
        <w:keepLines w:val="0"/>
        <w:pageBreakBefore w:val="0"/>
        <w:widowControl w:val="0"/>
        <w:kinsoku/>
        <w:wordWrap/>
        <w:overflowPunct/>
        <w:topLinePunct w:val="0"/>
        <w:autoSpaceDE/>
        <w:autoSpaceDN/>
        <w:bidi w:val="0"/>
        <w:adjustRightInd/>
        <w:snapToGrid w:val="0"/>
        <w:spacing w:line="560" w:lineRule="exact"/>
        <w:ind w:firstLine="632" w:firstLineChars="200"/>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2）加大片区服务力度。积极向先进地区学习储备管理经验，进一步解放思想，开拓思路，守正创新，并结合我市实际情况，积极融入片区开发、招商引资工作中，积极探索片区开发项目的运作及与平台公司的结算模式，不断提高服务质量和办事效率。</w:t>
      </w:r>
    </w:p>
    <w:p w14:paraId="1757AAC4">
      <w:pPr>
        <w:keepNext w:val="0"/>
        <w:keepLines w:val="0"/>
        <w:pageBreakBefore w:val="0"/>
        <w:widowControl w:val="0"/>
        <w:kinsoku/>
        <w:wordWrap/>
        <w:overflowPunct/>
        <w:topLinePunct w:val="0"/>
        <w:autoSpaceDE/>
        <w:autoSpaceDN/>
        <w:bidi w:val="0"/>
        <w:adjustRightInd/>
        <w:snapToGrid w:val="0"/>
        <w:spacing w:line="560" w:lineRule="exact"/>
        <w:ind w:firstLine="632" w:firstLineChars="200"/>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（3）主动服务土地超市。主动服务我市土地超市平台，承载产品上架和更新工作，为我市土地市场健康发展助力。</w:t>
      </w:r>
    </w:p>
    <w:p w14:paraId="624E98E6">
      <w:pPr>
        <w:keepNext w:val="0"/>
        <w:keepLines w:val="0"/>
        <w:pageBreakBefore w:val="0"/>
        <w:widowControl w:val="0"/>
        <w:kinsoku/>
        <w:wordWrap/>
        <w:overflowPunct/>
        <w:topLinePunct w:val="0"/>
        <w:autoSpaceDE/>
        <w:autoSpaceDN/>
        <w:bidi w:val="0"/>
        <w:adjustRightInd/>
        <w:snapToGrid w:val="0"/>
        <w:spacing w:line="560" w:lineRule="exact"/>
        <w:ind w:firstLine="632" w:firstLineChars="200"/>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2.实际完成情况</w:t>
      </w:r>
    </w:p>
    <w:p w14:paraId="648683F0">
      <w:pPr>
        <w:keepNext w:val="0"/>
        <w:keepLines w:val="0"/>
        <w:pageBreakBefore w:val="0"/>
        <w:widowControl w:val="0"/>
        <w:kinsoku/>
        <w:wordWrap/>
        <w:overflowPunct/>
        <w:topLinePunct w:val="0"/>
        <w:autoSpaceDE/>
        <w:autoSpaceDN/>
        <w:bidi w:val="0"/>
        <w:adjustRightInd/>
        <w:snapToGrid w:val="0"/>
        <w:spacing w:line="560" w:lineRule="exact"/>
        <w:ind w:firstLine="632" w:firstLineChars="200"/>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w:t>
      </w:r>
      <w:r>
        <w:rPr>
          <w:rFonts w:hint="eastAsia" w:ascii="仿宋" w:hAnsi="仿宋" w:eastAsia="仿宋" w:cs="Times New Roman"/>
          <w:spacing w:val="-2"/>
          <w:kern w:val="2"/>
          <w:sz w:val="32"/>
          <w:szCs w:val="32"/>
          <w:lang w:val="en-US" w:eastAsia="zh-CN" w:bidi="ar-SA"/>
        </w:rPr>
        <w:t>1）科学编制全民所有土地资产管理和土地供应计划。全民所有土地资产管理和供应计划是储备供应工作开展、预算编制的重要依据。根据省厅的工作安排，2024年2月，我局及时向市政府作了请示汇报，落实选定技术单位的方式和编制工作经费，经市政府批准同意后，我中心通过竞争性谈判的方式选定了技术单位，正式启动了计划编制工作。初步成果拟定后，2024年4月9日，我局召集了市发改、交通、民政、城管、住建、教育局及平台公司等相关部门对上报项目进行了会审。4月16日，我局又组织相关科室进行了内部会审。按照“保民生、保重点、保招商引资项目”的原则，经论证优化，共筛选了146个全民所有土地资产管理和供地计划项目，总面积约651.17公顷（约9767.55亩），其中，2024年度供地计划项目共计97个，拟供应面积310.48公顷（约4657.20亩），含商住类供地项目43个，用地面积约70.31公顷（约1054.65亩）。2024年5月16日，经我局报请市人民政府同意，已批准下达《关于怀化市2024年全民所有土地资产管理和土地供应计划的批复》（怀政函[2024]46号），计划已向省厅完成备案。</w:t>
      </w:r>
    </w:p>
    <w:p w14:paraId="64B0AEB3">
      <w:pPr>
        <w:keepNext w:val="0"/>
        <w:keepLines w:val="0"/>
        <w:pageBreakBefore w:val="0"/>
        <w:widowControl w:val="0"/>
        <w:kinsoku/>
        <w:wordWrap/>
        <w:overflowPunct/>
        <w:topLinePunct w:val="0"/>
        <w:autoSpaceDE/>
        <w:autoSpaceDN/>
        <w:bidi w:val="0"/>
        <w:adjustRightInd/>
        <w:snapToGrid w:val="0"/>
        <w:spacing w:line="560" w:lineRule="exact"/>
        <w:ind w:firstLine="632" w:firstLineChars="200"/>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2）全力推进重点项目收储。重点以湘商大会、旅发大会及仙人桥、高铁新城片区等重点项目为抓手，2024年先后完成了温德姆酒周边配套用地（全球湘商大会项目）、原莱孚铝厂（招商新华集团项目）、盛唐绿洲、高铁新城片区鹏飞电脑学校（新树仁驾校）、鸭嘴岩加油站、中央储粮怀化直属库公司用地新址等一批重点项目收储工作，确保了重点项目的供应。特别是鹏飞电脑学校（新树仁驾校）系社会重大风险点项目，矛盾多，问题复杂，为完成政府下达的收回任务，我们通过大量努力，拟定方案，积极沟通汇报，最终在政府及相关部门的共同推进下，顺利完成了收储，有利地消除了社会不稳定因素。另，中储粮项目，我们根据政府和市发改委的要求也做了大量工作，通过沟通协调，2024年初已完成初步评估工作。</w:t>
      </w:r>
    </w:p>
    <w:p w14:paraId="44CA1E21">
      <w:pPr>
        <w:keepNext w:val="0"/>
        <w:keepLines w:val="0"/>
        <w:pageBreakBefore w:val="0"/>
        <w:widowControl w:val="0"/>
        <w:kinsoku/>
        <w:wordWrap/>
        <w:overflowPunct/>
        <w:topLinePunct w:val="0"/>
        <w:autoSpaceDE/>
        <w:autoSpaceDN/>
        <w:bidi w:val="0"/>
        <w:adjustRightInd/>
        <w:snapToGrid w:val="0"/>
        <w:spacing w:line="560" w:lineRule="exact"/>
        <w:ind w:firstLine="632" w:firstLineChars="200"/>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（3）认真落实为民办实事</w:t>
      </w:r>
    </w:p>
    <w:p w14:paraId="7F790E2C">
      <w:pPr>
        <w:keepNext w:val="0"/>
        <w:keepLines w:val="0"/>
        <w:pageBreakBefore w:val="0"/>
        <w:widowControl w:val="0"/>
        <w:kinsoku/>
        <w:wordWrap/>
        <w:overflowPunct/>
        <w:topLinePunct w:val="0"/>
        <w:autoSpaceDE/>
        <w:autoSpaceDN/>
        <w:bidi w:val="0"/>
        <w:adjustRightInd/>
        <w:snapToGrid w:val="0"/>
        <w:spacing w:line="560" w:lineRule="exact"/>
        <w:ind w:firstLine="632" w:firstLineChars="200"/>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积极化解零星处遗用地问题。根据局工作安排，由我中心负责对8个零星处遗项目开发情况及存在问题进行核实，2024年初，我中心积极主动对接市区两级处遗部门，因相关部门所反映的项目情况不够详实，又通过逐一对接开发企业，对项目用地、规划、消防质检、征拆及成本等有关情况进行梳理，将有关情况形成了汇报材料报市处遗办。截止目前，我中心按照工作职能职责分工，已完成了石门农贸市场、“蔚蓝水岸”、“宏大榆树湾”等3个项目土地出入库及滚动资金池请款工作，为企业代缴土地出让价款5801.9625万元，解决了土地出让及办证问题，其中宏大榆树湾项目按忠建书记接访批示要求，10月1日已开工；飞达新世纪广场已进入供地程序，正在走处遗资金池请款拨付程序，待财政资金下达后完成土地出让代缴工作；中医新村项目、凤凰城、碧水河畔正在走规划、成本复核等认定程序。</w:t>
      </w:r>
    </w:p>
    <w:p w14:paraId="6E386914">
      <w:pPr>
        <w:keepNext w:val="0"/>
        <w:keepLines w:val="0"/>
        <w:pageBreakBefore w:val="0"/>
        <w:widowControl w:val="0"/>
        <w:kinsoku/>
        <w:wordWrap/>
        <w:overflowPunct/>
        <w:topLinePunct w:val="0"/>
        <w:autoSpaceDE/>
        <w:autoSpaceDN/>
        <w:bidi w:val="0"/>
        <w:adjustRightInd/>
        <w:snapToGrid w:val="0"/>
        <w:spacing w:line="560" w:lineRule="exact"/>
        <w:ind w:firstLine="632" w:firstLineChars="200"/>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积极处理解决信访交办问题。根据局领导对信访交办件的批示要求，我中心及时对李传武、京城房地产公司、宏大榆树湾、石门客车厂、湖天5号安置区、王志考、华团公司、仙人桥片区湖天桥村村民等土地补偿及安置信访问题进行了调查，并根据有关政策认真耐心地对信访人进行答复，积极化解矛盾纠纷，消除了社会不稳定因素。</w:t>
      </w:r>
    </w:p>
    <w:p w14:paraId="0EDB4353">
      <w:pPr>
        <w:keepNext w:val="0"/>
        <w:keepLines w:val="0"/>
        <w:pageBreakBefore w:val="0"/>
        <w:widowControl w:val="0"/>
        <w:kinsoku/>
        <w:wordWrap/>
        <w:overflowPunct/>
        <w:topLinePunct w:val="0"/>
        <w:autoSpaceDE/>
        <w:autoSpaceDN/>
        <w:bidi w:val="0"/>
        <w:adjustRightInd/>
        <w:snapToGrid w:val="0"/>
        <w:spacing w:line="560" w:lineRule="exact"/>
        <w:ind w:firstLine="632" w:firstLineChars="200"/>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积极解决征拆安置遗留问题。因土地市场下行，财政紧张等原因，我市部分已启动实施的征拆项目不得已暂时停滞，从而导致部分村民安置问题未得到解决，对此，村民曾多次到政府上访。为解决安置补偿问题，我中心及时对接了项目部及鹤城区相关部门，也向政府领导多次作了汇报，提出解决方案，对签订了征拆协议已倒房的，通过货币补偿的由财政安排资金先行支付，采取就地安置的，经多次做村民思想工作，采取了异地安置方式处理。截止目前，已将应民路片区约55户纳入异地安置方案。另，对签订协议未倒房的，我们通过加大政策宣导，稳定村民情绪，告之项目后续征拆实施时会补偿到位。</w:t>
      </w:r>
    </w:p>
    <w:p w14:paraId="133A04AA">
      <w:pPr>
        <w:keepNext w:val="0"/>
        <w:keepLines w:val="0"/>
        <w:pageBreakBefore w:val="0"/>
        <w:widowControl w:val="0"/>
        <w:kinsoku/>
        <w:wordWrap/>
        <w:overflowPunct/>
        <w:topLinePunct w:val="0"/>
        <w:autoSpaceDE/>
        <w:autoSpaceDN/>
        <w:bidi w:val="0"/>
        <w:adjustRightInd/>
        <w:snapToGrid w:val="0"/>
        <w:spacing w:line="560" w:lineRule="exact"/>
        <w:ind w:firstLine="632" w:firstLineChars="200"/>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4）配合市绿化办完成绿化工作。根据市人民政府、市绿化办关于开展“三城同创”的要求，今年我中心对金丰地块、金为潇湘首座旁、汽车东站对面用地、汽车南站旁项目等项目拟定了复绿方案，并按程序由施工方对项目进行了绿化，美化了城市形象。</w:t>
      </w:r>
    </w:p>
    <w:p w14:paraId="18F48BD4">
      <w:pPr>
        <w:keepNext w:val="0"/>
        <w:keepLines w:val="0"/>
        <w:pageBreakBefore w:val="0"/>
        <w:widowControl w:val="0"/>
        <w:kinsoku/>
        <w:wordWrap/>
        <w:overflowPunct/>
        <w:topLinePunct w:val="0"/>
        <w:autoSpaceDE/>
        <w:autoSpaceDN/>
        <w:bidi w:val="0"/>
        <w:adjustRightInd/>
        <w:snapToGrid w:val="0"/>
        <w:spacing w:line="560" w:lineRule="exact"/>
        <w:ind w:firstLine="632" w:firstLineChars="200"/>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（五）绩效指标完成情况分析</w:t>
      </w:r>
    </w:p>
    <w:p w14:paraId="2EB1FE65">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jc w:val="both"/>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 xml:space="preserve">    1.成本指标</w:t>
      </w:r>
    </w:p>
    <w:p w14:paraId="288E44CC">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32" w:firstLineChars="200"/>
        <w:jc w:val="both"/>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投入经费成本</w:t>
      </w:r>
      <w:r>
        <w:rPr>
          <w:rFonts w:hint="eastAsia" w:ascii="仿宋" w:hAnsi="仿宋" w:eastAsia="仿宋" w:cs="Times New Roman"/>
          <w:spacing w:val="-2"/>
          <w:kern w:val="2"/>
          <w:sz w:val="32"/>
          <w:szCs w:val="32"/>
          <w:lang w:val="en-US" w:eastAsia="zh-CN" w:bidi="ar-SA"/>
        </w:rPr>
        <w:t>33,929.14万元;社会成本节约率0%；生态环境成本节约率</w:t>
      </w:r>
      <w:r>
        <w:rPr>
          <w:rFonts w:hint="eastAsia" w:ascii="仿宋" w:hAnsi="仿宋" w:eastAsia="仿宋" w:cs="Times New Roman"/>
          <w:spacing w:val="-2"/>
          <w:kern w:val="2"/>
          <w:sz w:val="32"/>
          <w:szCs w:val="32"/>
          <w:lang w:val="en-US" w:eastAsia="zh-CN" w:bidi="ar-SA"/>
        </w:rPr>
        <w:t>0%，完成年初目标。</w:t>
      </w:r>
    </w:p>
    <w:p w14:paraId="7651F78F">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32" w:firstLineChars="200"/>
        <w:jc w:val="both"/>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2.产出指标</w:t>
      </w:r>
    </w:p>
    <w:p w14:paraId="51CAACA9">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32"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Times New Roman"/>
          <w:spacing w:val="-2"/>
          <w:kern w:val="2"/>
          <w:sz w:val="32"/>
          <w:szCs w:val="32"/>
          <w:lang w:val="en-US" w:eastAsia="zh-CN" w:bidi="ar-SA"/>
        </w:rPr>
        <w:t>（1）数量指标：</w:t>
      </w:r>
      <w:r>
        <w:rPr>
          <w:rFonts w:hint="eastAsia" w:ascii="仿宋" w:hAnsi="仿宋" w:eastAsia="仿宋" w:cs="仿宋"/>
          <w:b w:val="0"/>
          <w:bCs w:val="0"/>
          <w:sz w:val="32"/>
          <w:szCs w:val="32"/>
          <w:lang w:val="en-US" w:eastAsia="zh-CN"/>
        </w:rPr>
        <w:t>共筛选了146个全民所有土地资产管理和供地计划项目，总面积约651.17公顷（约9767.55亩），</w:t>
      </w:r>
      <w:r>
        <w:rPr>
          <w:rFonts w:hint="eastAsia" w:ascii="仿宋" w:hAnsi="仿宋" w:eastAsia="仿宋" w:cs="仿宋"/>
          <w:b w:val="0"/>
          <w:bCs w:val="0"/>
          <w:color w:val="auto"/>
          <w:sz w:val="32"/>
          <w:szCs w:val="32"/>
          <w:lang w:val="en-US" w:eastAsia="zh-CN"/>
        </w:rPr>
        <w:t>其中，2024年度供地计划项目共计97个，拟供应面积</w:t>
      </w:r>
      <w:r>
        <w:rPr>
          <w:rFonts w:hint="eastAsia" w:ascii="仿宋" w:hAnsi="仿宋" w:eastAsia="仿宋" w:cs="仿宋"/>
          <w:b w:val="0"/>
          <w:bCs w:val="0"/>
          <w:sz w:val="32"/>
          <w:szCs w:val="32"/>
          <w:lang w:val="en-US" w:eastAsia="zh-CN"/>
        </w:rPr>
        <w:t>310.48公顷（约4657.20亩），含商住类供地项目43</w:t>
      </w:r>
      <w:r>
        <w:rPr>
          <w:rFonts w:hint="eastAsia" w:ascii="仿宋" w:hAnsi="仿宋" w:eastAsia="仿宋" w:cs="仿宋"/>
          <w:b w:val="0"/>
          <w:bCs w:val="0"/>
          <w:sz w:val="32"/>
          <w:szCs w:val="32"/>
          <w:lang w:eastAsia="zh-CN"/>
        </w:rPr>
        <w:t>个，用地面积约</w:t>
      </w:r>
      <w:r>
        <w:rPr>
          <w:rFonts w:hint="eastAsia" w:ascii="仿宋" w:hAnsi="仿宋" w:eastAsia="仿宋" w:cs="仿宋"/>
          <w:b w:val="0"/>
          <w:bCs w:val="0"/>
          <w:sz w:val="32"/>
          <w:szCs w:val="32"/>
          <w:lang w:val="en-US" w:eastAsia="zh-CN"/>
        </w:rPr>
        <w:t>70.31公顷（约1054.65</w:t>
      </w:r>
      <w:r>
        <w:rPr>
          <w:rFonts w:hint="eastAsia" w:ascii="仿宋" w:hAnsi="仿宋" w:eastAsia="仿宋" w:cs="仿宋"/>
          <w:b w:val="0"/>
          <w:bCs w:val="0"/>
          <w:sz w:val="32"/>
          <w:szCs w:val="32"/>
          <w:lang w:eastAsia="zh-CN"/>
        </w:rPr>
        <w:t>亩）</w:t>
      </w:r>
      <w:r>
        <w:rPr>
          <w:rFonts w:hint="eastAsia" w:ascii="仿宋" w:hAnsi="仿宋" w:eastAsia="仿宋" w:cs="仿宋"/>
          <w:b w:val="0"/>
          <w:bCs w:val="0"/>
          <w:sz w:val="32"/>
          <w:szCs w:val="32"/>
          <w:lang w:val="en-US" w:eastAsia="zh-CN"/>
        </w:rPr>
        <w:t>。</w:t>
      </w:r>
    </w:p>
    <w:p w14:paraId="129052DB">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32"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Times New Roman"/>
          <w:spacing w:val="-2"/>
          <w:kern w:val="2"/>
          <w:sz w:val="32"/>
          <w:szCs w:val="32"/>
          <w:lang w:val="en-US" w:eastAsia="zh-CN" w:bidi="ar-SA"/>
        </w:rPr>
        <w:t>（2）质量指标：</w:t>
      </w:r>
      <w:r>
        <w:rPr>
          <w:rFonts w:hint="eastAsia" w:ascii="仿宋" w:hAnsi="仿宋" w:eastAsia="仿宋" w:cs="仿宋"/>
          <w:b w:val="0"/>
          <w:bCs w:val="0"/>
          <w:sz w:val="32"/>
          <w:szCs w:val="32"/>
          <w:lang w:val="en-US" w:eastAsia="zh-CN"/>
        </w:rPr>
        <w:t>2024年5月16日，经我局报请市人民政府同意，已批准下达《关于怀化市2024年全民所有土地资产管理和土地供应计划的批复》（怀政函[2024]46号），计划已向省厅完成备案；</w:t>
      </w:r>
      <w:r>
        <w:rPr>
          <w:rFonts w:hint="eastAsia" w:ascii="仿宋" w:hAnsi="仿宋" w:eastAsia="仿宋" w:cs="仿宋"/>
          <w:b w:val="0"/>
          <w:bCs w:val="0"/>
          <w:sz w:val="32"/>
          <w:szCs w:val="32"/>
          <w:u w:val="none"/>
          <w:lang w:val="en-US" w:eastAsia="zh-CN"/>
        </w:rPr>
        <w:t>重点以湘商大会、旅发大会及仙人桥、高铁新城片区等重点项目为抓手，2024年先后</w:t>
      </w:r>
      <w:r>
        <w:rPr>
          <w:rFonts w:hint="eastAsia" w:ascii="仿宋" w:hAnsi="仿宋" w:eastAsia="仿宋" w:cs="仿宋"/>
          <w:b w:val="0"/>
          <w:bCs w:val="0"/>
          <w:color w:val="auto"/>
          <w:sz w:val="30"/>
          <w:szCs w:val="30"/>
          <w:u w:val="none"/>
          <w:lang w:val="en-US" w:eastAsia="zh-CN"/>
        </w:rPr>
        <w:t>完成了温德姆酒周边配套用地（全球湘商大会项目）、原莱孚铝厂（招商新华集团项目）、盛唐绿洲、高铁新城片区鹏飞电脑学校（新树仁驾校）、鸭嘴岩加油站、中央储粮怀化直属库公司用地新址等一批重点项目收储工作，确保了重点项目的供应。</w:t>
      </w:r>
    </w:p>
    <w:p w14:paraId="4350B547">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32" w:firstLineChars="200"/>
        <w:jc w:val="both"/>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（3）时效指标：完成及时，2024年12月底之前完成。</w:t>
      </w:r>
    </w:p>
    <w:p w14:paraId="71934869">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32" w:firstLineChars="200"/>
        <w:jc w:val="both"/>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3.效益指标</w:t>
      </w:r>
    </w:p>
    <w:p w14:paraId="48760EB4">
      <w:pPr>
        <w:keepNext w:val="0"/>
        <w:keepLines w:val="0"/>
        <w:pageBreakBefore w:val="0"/>
        <w:widowControl w:val="0"/>
        <w:kinsoku/>
        <w:wordWrap/>
        <w:overflowPunct/>
        <w:topLinePunct w:val="0"/>
        <w:autoSpaceDE/>
        <w:autoSpaceDN/>
        <w:bidi w:val="0"/>
        <w:adjustRightInd/>
        <w:snapToGrid w:val="0"/>
        <w:spacing w:line="560" w:lineRule="exact"/>
        <w:ind w:firstLine="632" w:firstLineChars="200"/>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（1）项目的经济效益</w:t>
      </w:r>
    </w:p>
    <w:p w14:paraId="025769E4">
      <w:pPr>
        <w:keepNext w:val="0"/>
        <w:keepLines w:val="0"/>
        <w:pageBreakBefore w:val="0"/>
        <w:widowControl w:val="0"/>
        <w:kinsoku/>
        <w:wordWrap/>
        <w:overflowPunct/>
        <w:topLinePunct w:val="0"/>
        <w:autoSpaceDE/>
        <w:autoSpaceDN/>
        <w:bidi w:val="0"/>
        <w:adjustRightInd/>
        <w:snapToGrid w:val="0"/>
        <w:spacing w:line="560" w:lineRule="exact"/>
        <w:ind w:firstLine="632" w:firstLineChars="200"/>
        <w:textAlignment w:val="auto"/>
        <w:rPr>
          <w:rFonts w:hint="eastAsia" w:ascii="仿宋" w:hAnsi="仿宋" w:eastAsia="仿宋" w:cs="Times New Roman"/>
          <w:spacing w:val="-2"/>
          <w:kern w:val="2"/>
          <w:sz w:val="32"/>
          <w:szCs w:val="32"/>
          <w:highlight w:val="none"/>
          <w:lang w:val="en-US" w:eastAsia="zh-CN" w:bidi="ar-SA"/>
        </w:rPr>
      </w:pPr>
      <w:r>
        <w:rPr>
          <w:rFonts w:hint="eastAsia" w:ascii="仿宋" w:hAnsi="仿宋" w:eastAsia="仿宋" w:cs="Times New Roman"/>
          <w:spacing w:val="-2"/>
          <w:kern w:val="2"/>
          <w:sz w:val="32"/>
          <w:szCs w:val="32"/>
          <w:highlight w:val="none"/>
          <w:lang w:val="en-US" w:eastAsia="zh-CN" w:bidi="ar-SA"/>
        </w:rPr>
        <w:t>通过实施该项目，</w:t>
      </w:r>
      <w:r>
        <w:rPr>
          <w:rFonts w:hint="eastAsia" w:ascii="仿宋" w:hAnsi="仿宋" w:eastAsia="仿宋" w:cs="Times New Roman"/>
          <w:spacing w:val="-2"/>
          <w:kern w:val="2"/>
          <w:sz w:val="32"/>
          <w:szCs w:val="32"/>
          <w:highlight w:val="none"/>
          <w:lang w:val="en-US" w:eastAsia="zh-CN" w:bidi="ar-SA"/>
        </w:rPr>
        <w:t>积极开展怀化市建设用地项目的报批工作，推进公共设施事业发展；依法征地拆迁，积极开展征拆工作，为项目的建设提供了充足的土地储备保障，加快了经济全面发展；坚持城乡规划引领城镇发展，科学合理布局生产建设、生活居住、公共设施，减少了重复建设，提高了经济效益；发放征地拆迁补偿资金，增加了农民的收入。该项目经济效益显著。</w:t>
      </w:r>
    </w:p>
    <w:p w14:paraId="5EC0979F">
      <w:pPr>
        <w:keepNext w:val="0"/>
        <w:keepLines w:val="0"/>
        <w:pageBreakBefore w:val="0"/>
        <w:widowControl w:val="0"/>
        <w:kinsoku/>
        <w:wordWrap/>
        <w:overflowPunct/>
        <w:topLinePunct w:val="0"/>
        <w:autoSpaceDE/>
        <w:autoSpaceDN/>
        <w:bidi w:val="0"/>
        <w:adjustRightInd/>
        <w:snapToGrid w:val="0"/>
        <w:spacing w:line="560" w:lineRule="exact"/>
        <w:ind w:firstLine="632" w:firstLineChars="200"/>
        <w:textAlignment w:val="auto"/>
        <w:rPr>
          <w:rFonts w:hint="eastAsia" w:ascii="仿宋" w:hAnsi="仿宋" w:eastAsia="仿宋" w:cs="Times New Roman"/>
          <w:spacing w:val="-2"/>
          <w:kern w:val="2"/>
          <w:sz w:val="32"/>
          <w:szCs w:val="32"/>
          <w:highlight w:val="none"/>
          <w:lang w:val="en-US" w:eastAsia="zh-CN" w:bidi="ar-SA"/>
        </w:rPr>
      </w:pPr>
      <w:r>
        <w:rPr>
          <w:rFonts w:hint="eastAsia" w:ascii="仿宋" w:hAnsi="仿宋" w:eastAsia="仿宋" w:cs="Times New Roman"/>
          <w:spacing w:val="-2"/>
          <w:kern w:val="2"/>
          <w:sz w:val="32"/>
          <w:szCs w:val="32"/>
          <w:highlight w:val="none"/>
          <w:lang w:val="en-US" w:eastAsia="zh-CN" w:bidi="ar-SA"/>
        </w:rPr>
        <w:t>（2）项目的社会效益。</w:t>
      </w:r>
    </w:p>
    <w:p w14:paraId="21A5F87E">
      <w:pPr>
        <w:keepNext w:val="0"/>
        <w:keepLines w:val="0"/>
        <w:pageBreakBefore w:val="0"/>
        <w:widowControl w:val="0"/>
        <w:kinsoku/>
        <w:wordWrap/>
        <w:overflowPunct/>
        <w:topLinePunct w:val="0"/>
        <w:autoSpaceDE/>
        <w:autoSpaceDN/>
        <w:bidi w:val="0"/>
        <w:adjustRightInd/>
        <w:snapToGrid w:val="0"/>
        <w:spacing w:line="560" w:lineRule="exact"/>
        <w:ind w:firstLine="632" w:firstLineChars="200"/>
        <w:textAlignment w:val="auto"/>
        <w:rPr>
          <w:rFonts w:hint="eastAsia" w:ascii="仿宋" w:hAnsi="仿宋" w:eastAsia="仿宋" w:cs="Times New Roman"/>
          <w:spacing w:val="-2"/>
          <w:kern w:val="2"/>
          <w:sz w:val="32"/>
          <w:szCs w:val="32"/>
          <w:highlight w:val="none"/>
          <w:lang w:val="en-US" w:eastAsia="zh-CN" w:bidi="ar-SA"/>
        </w:rPr>
      </w:pPr>
      <w:r>
        <w:rPr>
          <w:rFonts w:hint="eastAsia" w:ascii="仿宋" w:hAnsi="仿宋" w:eastAsia="仿宋" w:cs="Times New Roman"/>
          <w:spacing w:val="-2"/>
          <w:kern w:val="2"/>
          <w:sz w:val="32"/>
          <w:szCs w:val="32"/>
          <w:highlight w:val="none"/>
          <w:lang w:val="en-US" w:eastAsia="zh-CN" w:bidi="ar-SA"/>
        </w:rPr>
        <w:t>通过实施该项目，做好安置点建设，维护群众利益；依法征地拆迁，及时化解因征拆土地权属等纠纷产生的矛盾问题，密切了干群关系，维护社会稳定；各项征拆工作顺利开展，切实改变城乡面貌，不断提升城市品质。项目社会效益显著。</w:t>
      </w:r>
    </w:p>
    <w:p w14:paraId="6E4A1DCF">
      <w:pPr>
        <w:keepNext w:val="0"/>
        <w:keepLines w:val="0"/>
        <w:pageBreakBefore w:val="0"/>
        <w:widowControl w:val="0"/>
        <w:kinsoku/>
        <w:wordWrap/>
        <w:overflowPunct/>
        <w:topLinePunct w:val="0"/>
        <w:autoSpaceDE/>
        <w:autoSpaceDN/>
        <w:bidi w:val="0"/>
        <w:adjustRightInd/>
        <w:snapToGrid w:val="0"/>
        <w:spacing w:line="560" w:lineRule="exact"/>
        <w:ind w:firstLine="632" w:firstLineChars="200"/>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（3）项目的生态效益</w:t>
      </w:r>
    </w:p>
    <w:p w14:paraId="30BA0232">
      <w:pPr>
        <w:keepNext w:val="0"/>
        <w:keepLines w:val="0"/>
        <w:pageBreakBefore w:val="0"/>
        <w:widowControl w:val="0"/>
        <w:kinsoku/>
        <w:wordWrap/>
        <w:overflowPunct/>
        <w:topLinePunct w:val="0"/>
        <w:autoSpaceDE/>
        <w:autoSpaceDN/>
        <w:bidi w:val="0"/>
        <w:adjustRightInd/>
        <w:snapToGrid w:val="0"/>
        <w:spacing w:line="560" w:lineRule="exact"/>
        <w:ind w:firstLine="632" w:firstLineChars="200"/>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通过实施该项目，依法征地拆迁，坚持城乡规划引领城镇发展，科学合理布局生产建设、生活居住、公共设施，统筹工业区、商业区、生活区等的空间布局，实现人与自然的和谐，项目生态环境效益良好。</w:t>
      </w:r>
    </w:p>
    <w:p w14:paraId="6FF03530">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316" w:firstLineChars="100"/>
        <w:jc w:val="both"/>
        <w:textAlignment w:val="auto"/>
        <w:rPr>
          <w:rFonts w:hint="default"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 xml:space="preserve"> 4.满意度指标人民群众满意度达 95%。完成年初目标。</w:t>
      </w:r>
    </w:p>
    <w:p w14:paraId="63F6CDCB">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四、项目自评发现的问题及整改措施</w:t>
      </w:r>
    </w:p>
    <w:p w14:paraId="372477CD">
      <w:pPr>
        <w:keepNext w:val="0"/>
        <w:keepLines w:val="0"/>
        <w:pageBreakBefore w:val="0"/>
        <w:widowControl w:val="0"/>
        <w:kinsoku/>
        <w:wordWrap/>
        <w:overflowPunct/>
        <w:topLinePunct w:val="0"/>
        <w:autoSpaceDE/>
        <w:autoSpaceDN/>
        <w:bidi w:val="0"/>
        <w:adjustRightInd/>
        <w:snapToGrid w:val="0"/>
        <w:spacing w:line="560" w:lineRule="exact"/>
        <w:ind w:firstLine="632" w:firstLineChars="200"/>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我单位财政支出绩效管理工作还存在绩效目标申报不够全面，绩效指标量化不够，绩效评价手段和方法有待优化，绩效自评组织实施还不够规范等问题。</w:t>
      </w:r>
    </w:p>
    <w:p w14:paraId="0B4F8A4C">
      <w:pPr>
        <w:keepNext w:val="0"/>
        <w:keepLines w:val="0"/>
        <w:pageBreakBefore w:val="0"/>
        <w:widowControl w:val="0"/>
        <w:kinsoku/>
        <w:wordWrap/>
        <w:overflowPunct/>
        <w:topLinePunct w:val="0"/>
        <w:autoSpaceDE/>
        <w:autoSpaceDN/>
        <w:bidi w:val="0"/>
        <w:adjustRightInd/>
        <w:snapToGrid w:val="0"/>
        <w:spacing w:line="560" w:lineRule="exact"/>
        <w:ind w:firstLine="632" w:firstLineChars="200"/>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下一步加强对各部门申报项目的指导，使项目编制更加符合绩效评价相关要求，适时开展学习培训，提高各科室对专项资金使用绩效评价工作，重要意义的认识，牢固树立绩效管理理念，同时进一步提高绩效评价工作方式、方法，将已完成的所有工作绩效成果充分体现出来。</w:t>
      </w:r>
    </w:p>
    <w:p w14:paraId="69C528F4">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五、项目自评工作建议及预算安排建议</w:t>
      </w:r>
    </w:p>
    <w:p w14:paraId="73013219">
      <w:pPr>
        <w:keepNext w:val="0"/>
        <w:keepLines w:val="0"/>
        <w:pageBreakBefore w:val="0"/>
        <w:widowControl w:val="0"/>
        <w:kinsoku/>
        <w:wordWrap/>
        <w:overflowPunct/>
        <w:topLinePunct w:val="0"/>
        <w:autoSpaceDE/>
        <w:autoSpaceDN/>
        <w:bidi w:val="0"/>
        <w:adjustRightInd/>
        <w:snapToGrid w:val="0"/>
        <w:spacing w:line="560" w:lineRule="exact"/>
        <w:ind w:firstLine="632" w:firstLineChars="200"/>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建议强化绩效管理意识，建立科学的指标体系，明确项目的具体任务和要求，对项目关键内容进行细化、量化，进一步明确项目的具体绩效目标。健全组织机构，完善项目各项管理制度，细化制度内容，明确项目流程，建立监督体系，制定保障措施。</w:t>
      </w:r>
    </w:p>
    <w:p w14:paraId="32F85780">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六、其他需要说明的问题</w:t>
      </w:r>
      <w:r>
        <w:rPr>
          <w:rFonts w:hint="eastAsia" w:ascii="方正黑体_GBK" w:hAnsi="方正黑体_GBK" w:eastAsia="方正黑体_GBK" w:cs="方正黑体_GBK"/>
          <w:b/>
          <w:bCs/>
          <w:color w:val="auto"/>
          <w:sz w:val="32"/>
          <w:szCs w:val="32"/>
          <w:highlight w:val="none"/>
          <w:lang w:val="en-US" w:eastAsia="zh-CN"/>
        </w:rPr>
        <w:tab/>
      </w:r>
    </w:p>
    <w:p w14:paraId="3FB83A8F">
      <w:pPr>
        <w:keepNext w:val="0"/>
        <w:keepLines w:val="0"/>
        <w:pageBreakBefore w:val="0"/>
        <w:widowControl w:val="0"/>
        <w:kinsoku/>
        <w:wordWrap/>
        <w:overflowPunct/>
        <w:topLinePunct w:val="0"/>
        <w:autoSpaceDE/>
        <w:autoSpaceDN/>
        <w:bidi w:val="0"/>
        <w:adjustRightInd/>
        <w:snapToGrid w:val="0"/>
        <w:spacing w:line="560" w:lineRule="exact"/>
        <w:ind w:firstLine="632" w:firstLineChars="200"/>
        <w:textAlignment w:val="auto"/>
        <w:rPr>
          <w:rFonts w:hint="default"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无</w:t>
      </w:r>
    </w:p>
    <w:p w14:paraId="1394EE6F">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2BF6E92E">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545EBF2C">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0A4979EA">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453D5FE8">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4933F50F">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367AF592">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678A99D4">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5F847253">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5403F3AC">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333FA83E">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18719606">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72C2C3A7">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30FF3C04">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方正黑体_GBK" w:hAnsi="方正黑体_GBK" w:eastAsia="方正黑体_GBK" w:cs="方正黑体_GBK"/>
          <w:b/>
          <w:bCs/>
          <w:color w:val="auto"/>
          <w:sz w:val="32"/>
          <w:szCs w:val="32"/>
          <w:highlight w:val="none"/>
          <w:lang w:val="en-US" w:eastAsia="zh-CN"/>
        </w:rPr>
      </w:pPr>
    </w:p>
    <w:p w14:paraId="7186B26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附件5</w:t>
      </w:r>
    </w:p>
    <w:p w14:paraId="3C97A12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061C4A5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6323504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800" w:firstLineChars="200"/>
        <w:jc w:val="both"/>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r>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t>2024度怀化市土地储备中心整体支出</w:t>
      </w:r>
    </w:p>
    <w:p w14:paraId="5AD8FC5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2800" w:firstLineChars="700"/>
        <w:jc w:val="both"/>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p>
    <w:p w14:paraId="0790C8D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2800" w:firstLineChars="700"/>
        <w:jc w:val="both"/>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r>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t>绩效自评报告</w:t>
      </w:r>
    </w:p>
    <w:p w14:paraId="3EB9AEA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2800" w:firstLineChars="700"/>
        <w:jc w:val="both"/>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p>
    <w:p w14:paraId="7F33D640">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53078933">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3FB933B7">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450BFF59">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7D2BB2C3">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23739B68">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2CF4C1C0">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73271B2E">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3BD7E35D">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50F99870">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30A5BB6C">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0C2B4FFA">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6AAD874A">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774F0B8B">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w:t>
      </w:r>
    </w:p>
    <w:p w14:paraId="3C39CE2A">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default" w:ascii="仿宋" w:hAnsi="仿宋" w:eastAsia="仿宋" w:cs="Times New Roman"/>
          <w:spacing w:val="-2"/>
          <w:kern w:val="2"/>
          <w:sz w:val="32"/>
          <w:szCs w:val="32"/>
          <w:lang w:val="en-US" w:eastAsia="zh-CN" w:bidi="ar-SA"/>
        </w:rPr>
      </w:pPr>
      <w:r>
        <w:rPr>
          <w:rFonts w:hint="eastAsia" w:ascii="方正黑体_GBK" w:hAnsi="方正黑体_GBK" w:eastAsia="方正黑体_GBK" w:cs="方正黑体_GBK"/>
          <w:b/>
          <w:bCs/>
          <w:color w:val="auto"/>
          <w:sz w:val="32"/>
          <w:szCs w:val="32"/>
          <w:highlight w:val="none"/>
          <w:lang w:val="en-US" w:eastAsia="zh-CN"/>
        </w:rPr>
        <w:t xml:space="preserve"> </w:t>
      </w:r>
      <w:r>
        <w:rPr>
          <w:rFonts w:hint="eastAsia" w:ascii="方正小标宋_GBK" w:hAnsi="方正小标宋_GBK" w:eastAsia="方正小标宋_GBK" w:cs="方正小标宋_GBK"/>
          <w:i w:val="0"/>
          <w:iCs w:val="0"/>
          <w:caps w:val="0"/>
          <w:color w:val="000000"/>
          <w:spacing w:val="0"/>
          <w:kern w:val="0"/>
          <w:sz w:val="32"/>
          <w:szCs w:val="32"/>
          <w:shd w:val="clear" w:fill="FFFFFF"/>
          <w:lang w:val="en-US" w:eastAsia="zh-CN" w:bidi="ar"/>
        </w:rPr>
        <w:t xml:space="preserve"> </w:t>
      </w:r>
      <w:r>
        <w:rPr>
          <w:rFonts w:hint="eastAsia" w:ascii="仿宋" w:hAnsi="仿宋" w:eastAsia="仿宋" w:cs="Times New Roman"/>
          <w:spacing w:val="-2"/>
          <w:kern w:val="2"/>
          <w:sz w:val="32"/>
          <w:szCs w:val="32"/>
          <w:lang w:val="en-US" w:eastAsia="zh-CN" w:bidi="ar-SA"/>
        </w:rPr>
        <w:t>单位名称（盖章）：</w:t>
      </w:r>
    </w:p>
    <w:p w14:paraId="02E27710">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w:t>
      </w:r>
    </w:p>
    <w:p w14:paraId="585ADC6A">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1F16B620">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一、部门概况</w:t>
      </w:r>
    </w:p>
    <w:p w14:paraId="0B4ECFD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（一）部门（单位）基本情况。</w:t>
      </w:r>
    </w:p>
    <w:p w14:paraId="5D28B65D">
      <w:pPr>
        <w:widowControl/>
        <w:shd w:val="clear" w:color="auto" w:fill="FFFFFF"/>
        <w:spacing w:line="600" w:lineRule="atLeast"/>
        <w:ind w:firstLine="640"/>
        <w:rPr>
          <w:rFonts w:hint="eastAsia" w:ascii="仿宋" w:hAnsi="仿宋" w:eastAsia="仿宋"/>
          <w:spacing w:val="-2"/>
          <w:sz w:val="32"/>
          <w:szCs w:val="32"/>
        </w:rPr>
      </w:pPr>
      <w:r>
        <w:rPr>
          <w:rFonts w:hint="eastAsia" w:ascii="仿宋" w:hAnsi="仿宋" w:eastAsia="仿宋"/>
          <w:spacing w:val="-2"/>
          <w:sz w:val="32"/>
          <w:szCs w:val="32"/>
        </w:rPr>
        <w:t>1.机构设置</w:t>
      </w:r>
    </w:p>
    <w:p w14:paraId="31469AFA">
      <w:pPr>
        <w:widowControl/>
        <w:shd w:val="clear" w:color="auto" w:fill="FFFFFF"/>
        <w:spacing w:line="600" w:lineRule="atLeast"/>
        <w:ind w:firstLine="640"/>
        <w:rPr>
          <w:rFonts w:hint="eastAsia" w:ascii="仿宋" w:hAnsi="仿宋" w:eastAsia="仿宋"/>
          <w:spacing w:val="-2"/>
          <w:sz w:val="32"/>
          <w:szCs w:val="32"/>
          <w:lang w:eastAsia="zh-CN"/>
        </w:rPr>
      </w:pPr>
      <w:r>
        <w:rPr>
          <w:rFonts w:hint="eastAsia" w:ascii="仿宋" w:hAnsi="仿宋" w:eastAsia="仿宋"/>
          <w:spacing w:val="-2"/>
          <w:sz w:val="32"/>
          <w:szCs w:val="32"/>
          <w:lang w:val="en"/>
        </w:rPr>
        <w:t>怀化市土地储备中心（以下简称市土地储备中心）作为</w:t>
      </w:r>
      <w:r>
        <w:rPr>
          <w:rFonts w:hint="eastAsia" w:ascii="仿宋" w:hAnsi="仿宋" w:eastAsia="仿宋"/>
          <w:spacing w:val="-2"/>
          <w:sz w:val="32"/>
          <w:szCs w:val="32"/>
          <w:lang w:eastAsia="zh-CN"/>
        </w:rPr>
        <w:t>怀化市自然资源和规划局的</w:t>
      </w:r>
      <w:r>
        <w:rPr>
          <w:rFonts w:hint="eastAsia" w:ascii="仿宋" w:hAnsi="仿宋" w:eastAsia="仿宋"/>
          <w:spacing w:val="-2"/>
          <w:sz w:val="32"/>
          <w:szCs w:val="32"/>
        </w:rPr>
        <w:t>二</w:t>
      </w:r>
      <w:r>
        <w:rPr>
          <w:rFonts w:hint="eastAsia" w:ascii="仿宋" w:hAnsi="仿宋" w:eastAsia="仿宋"/>
          <w:spacing w:val="-2"/>
          <w:sz w:val="32"/>
          <w:szCs w:val="32"/>
          <w:lang w:val="en"/>
        </w:rPr>
        <w:t>级部门预算单位，内设科室为：</w:t>
      </w:r>
      <w:r>
        <w:rPr>
          <w:rFonts w:hint="eastAsia" w:ascii="仿宋" w:hAnsi="仿宋" w:eastAsia="仿宋"/>
          <w:spacing w:val="-2"/>
          <w:sz w:val="32"/>
          <w:szCs w:val="32"/>
          <w:lang w:eastAsia="zh-CN"/>
        </w:rPr>
        <w:t>报批组、存量组、办公室、财务组、土地开发组。</w:t>
      </w:r>
    </w:p>
    <w:p w14:paraId="1F73B126">
      <w:pPr>
        <w:widowControl/>
        <w:shd w:val="clear" w:color="auto" w:fill="FFFFFF"/>
        <w:spacing w:line="600" w:lineRule="atLeast"/>
        <w:ind w:firstLine="640"/>
        <w:rPr>
          <w:rFonts w:hint="eastAsia" w:ascii="仿宋" w:hAnsi="仿宋" w:eastAsia="仿宋"/>
          <w:spacing w:val="-2"/>
          <w:sz w:val="32"/>
          <w:szCs w:val="32"/>
          <w:lang w:val="en"/>
        </w:rPr>
      </w:pPr>
      <w:r>
        <w:rPr>
          <w:rFonts w:hint="eastAsia" w:ascii="仿宋" w:hAnsi="仿宋" w:eastAsia="仿宋"/>
          <w:spacing w:val="-2"/>
          <w:sz w:val="32"/>
          <w:szCs w:val="32"/>
          <w:lang w:val="en"/>
        </w:rPr>
        <w:t>市土地储备中心纳入市财政二级预算。202</w:t>
      </w:r>
      <w:r>
        <w:rPr>
          <w:rFonts w:hint="eastAsia" w:ascii="仿宋" w:hAnsi="仿宋" w:eastAsia="仿宋"/>
          <w:spacing w:val="-2"/>
          <w:sz w:val="32"/>
          <w:szCs w:val="32"/>
          <w:lang w:val="en-US" w:eastAsia="zh-CN"/>
        </w:rPr>
        <w:t>4</w:t>
      </w:r>
      <w:r>
        <w:rPr>
          <w:rFonts w:hint="eastAsia" w:ascii="仿宋" w:hAnsi="仿宋" w:eastAsia="仿宋"/>
          <w:spacing w:val="-2"/>
          <w:sz w:val="32"/>
          <w:szCs w:val="32"/>
          <w:lang w:val="en"/>
        </w:rPr>
        <w:t>年</w:t>
      </w:r>
      <w:r>
        <w:rPr>
          <w:rFonts w:hint="eastAsia" w:ascii="仿宋" w:hAnsi="仿宋" w:eastAsia="仿宋"/>
          <w:spacing w:val="-2"/>
          <w:sz w:val="32"/>
          <w:szCs w:val="32"/>
          <w:lang w:val="en-US" w:eastAsia="zh-CN"/>
        </w:rPr>
        <w:t>单位编制人数20</w:t>
      </w:r>
      <w:r>
        <w:rPr>
          <w:rFonts w:hint="eastAsia" w:ascii="仿宋" w:hAnsi="仿宋" w:eastAsia="仿宋"/>
          <w:spacing w:val="-2"/>
          <w:sz w:val="32"/>
          <w:szCs w:val="32"/>
          <w:lang w:val="en"/>
        </w:rPr>
        <w:t>人，</w:t>
      </w:r>
      <w:r>
        <w:rPr>
          <w:rFonts w:hint="eastAsia" w:ascii="仿宋" w:hAnsi="仿宋" w:eastAsia="仿宋"/>
          <w:spacing w:val="-2"/>
          <w:sz w:val="32"/>
          <w:szCs w:val="32"/>
          <w:lang w:val="en-US" w:eastAsia="zh-CN"/>
        </w:rPr>
        <w:t>实际在职人数25</w:t>
      </w:r>
      <w:r>
        <w:rPr>
          <w:rFonts w:hint="eastAsia" w:ascii="仿宋" w:hAnsi="仿宋" w:eastAsia="仿宋"/>
          <w:spacing w:val="-2"/>
          <w:sz w:val="32"/>
          <w:szCs w:val="32"/>
          <w:lang w:val="en"/>
        </w:rPr>
        <w:t>人。</w:t>
      </w:r>
    </w:p>
    <w:p w14:paraId="24986FE7">
      <w:pPr>
        <w:widowControl/>
        <w:shd w:val="clear" w:color="auto" w:fill="FFFFFF"/>
        <w:spacing w:line="600" w:lineRule="atLeast"/>
        <w:ind w:firstLine="640"/>
        <w:rPr>
          <w:rFonts w:hint="eastAsia" w:ascii="仿宋" w:hAnsi="仿宋" w:eastAsia="仿宋"/>
          <w:spacing w:val="-2"/>
          <w:sz w:val="32"/>
          <w:szCs w:val="32"/>
          <w:lang w:val="en"/>
        </w:rPr>
      </w:pPr>
      <w:r>
        <w:rPr>
          <w:rFonts w:hint="eastAsia" w:ascii="仿宋" w:hAnsi="仿宋" w:eastAsia="仿宋"/>
          <w:spacing w:val="-2"/>
          <w:sz w:val="32"/>
          <w:szCs w:val="32"/>
          <w:lang w:val="en"/>
        </w:rPr>
        <w:t>2.主要职能</w:t>
      </w:r>
    </w:p>
    <w:p w14:paraId="392B1C7B">
      <w:pPr>
        <w:widowControl/>
        <w:shd w:val="clear" w:color="auto" w:fill="FFFFFF"/>
        <w:spacing w:line="600" w:lineRule="atLeast"/>
        <w:ind w:firstLine="640"/>
        <w:rPr>
          <w:rFonts w:hint="eastAsia" w:ascii="仿宋" w:hAnsi="仿宋" w:eastAsia="仿宋"/>
          <w:spacing w:val="-2"/>
          <w:sz w:val="32"/>
          <w:szCs w:val="32"/>
          <w:lang w:val="en"/>
        </w:rPr>
      </w:pPr>
      <w:r>
        <w:rPr>
          <w:rFonts w:hint="eastAsia" w:ascii="仿宋" w:hAnsi="仿宋" w:eastAsia="仿宋"/>
          <w:spacing w:val="-2"/>
          <w:sz w:val="32"/>
          <w:szCs w:val="32"/>
          <w:lang w:val="en"/>
        </w:rPr>
        <w:t>以加强土地调控、规范土地市场运行、促进土地节约集约利用为目标，积极发挥收储职能，加大土地收储力度，不断提高建设用地保障能力。</w:t>
      </w:r>
    </w:p>
    <w:p w14:paraId="42FF960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（二）部门（单位）整体支出规模、使用方向和主要内容、涉及范围等。</w:t>
      </w:r>
    </w:p>
    <w:p w14:paraId="4B2E048E">
      <w:pPr>
        <w:widowControl/>
        <w:shd w:val="clear" w:color="auto" w:fill="FFFFFF"/>
        <w:spacing w:line="600" w:lineRule="atLeast"/>
        <w:ind w:firstLine="640"/>
        <w:rPr>
          <w:rFonts w:hint="eastAsia" w:ascii="仿宋" w:hAnsi="仿宋" w:eastAsia="仿宋"/>
          <w:spacing w:val="-2"/>
          <w:sz w:val="32"/>
          <w:szCs w:val="32"/>
          <w:lang w:val="en"/>
        </w:rPr>
      </w:pPr>
      <w:r>
        <w:rPr>
          <w:rFonts w:hint="eastAsia" w:ascii="仿宋" w:hAnsi="仿宋" w:eastAsia="仿宋"/>
          <w:spacing w:val="-2"/>
          <w:sz w:val="32"/>
          <w:szCs w:val="32"/>
          <w:lang w:val="en"/>
        </w:rPr>
        <w:t>1</w:t>
      </w:r>
      <w:r>
        <w:rPr>
          <w:rFonts w:hint="eastAsia" w:ascii="仿宋" w:hAnsi="仿宋" w:eastAsia="仿宋"/>
          <w:spacing w:val="-2"/>
          <w:sz w:val="32"/>
          <w:szCs w:val="32"/>
          <w:lang w:val="en" w:eastAsia="zh-CN"/>
        </w:rPr>
        <w:t>、</w:t>
      </w:r>
      <w:r>
        <w:rPr>
          <w:rFonts w:hint="eastAsia" w:ascii="仿宋" w:hAnsi="仿宋" w:eastAsia="仿宋"/>
          <w:spacing w:val="-2"/>
          <w:sz w:val="32"/>
          <w:szCs w:val="32"/>
          <w:lang w:val="en"/>
        </w:rPr>
        <w:t>202</w:t>
      </w:r>
      <w:r>
        <w:rPr>
          <w:rFonts w:hint="eastAsia" w:ascii="仿宋" w:hAnsi="仿宋" w:eastAsia="仿宋"/>
          <w:spacing w:val="-2"/>
          <w:sz w:val="32"/>
          <w:szCs w:val="32"/>
          <w:lang w:val="en-US" w:eastAsia="zh-CN"/>
        </w:rPr>
        <w:t>4</w:t>
      </w:r>
      <w:r>
        <w:rPr>
          <w:rFonts w:hint="eastAsia" w:ascii="仿宋" w:hAnsi="仿宋" w:eastAsia="仿宋"/>
          <w:spacing w:val="-2"/>
          <w:sz w:val="32"/>
          <w:szCs w:val="32"/>
          <w:lang w:val="en"/>
        </w:rPr>
        <w:t>年部门预算情况</w:t>
      </w:r>
    </w:p>
    <w:p w14:paraId="766C7BA5">
      <w:pPr>
        <w:widowControl/>
        <w:shd w:val="clear" w:color="auto" w:fill="FFFFFF"/>
        <w:spacing w:line="600" w:lineRule="atLeast"/>
        <w:ind w:firstLine="640"/>
        <w:rPr>
          <w:rFonts w:hint="eastAsia" w:ascii="仿宋" w:hAnsi="仿宋" w:eastAsia="仿宋"/>
          <w:spacing w:val="-2"/>
          <w:sz w:val="32"/>
          <w:szCs w:val="32"/>
          <w:lang w:val="en"/>
        </w:rPr>
      </w:pPr>
      <w:r>
        <w:rPr>
          <w:rFonts w:hint="eastAsia" w:ascii="仿宋" w:hAnsi="仿宋" w:eastAsia="仿宋"/>
          <w:spacing w:val="-2"/>
          <w:sz w:val="32"/>
          <w:szCs w:val="32"/>
          <w:lang w:val="en"/>
        </w:rPr>
        <w:t>收入预算，202</w:t>
      </w:r>
      <w:r>
        <w:rPr>
          <w:rFonts w:hint="eastAsia" w:ascii="仿宋" w:hAnsi="仿宋" w:eastAsia="仿宋"/>
          <w:spacing w:val="-2"/>
          <w:sz w:val="32"/>
          <w:szCs w:val="32"/>
          <w:lang w:val="en-US" w:eastAsia="zh-CN"/>
        </w:rPr>
        <w:t>4</w:t>
      </w:r>
      <w:r>
        <w:rPr>
          <w:rFonts w:hint="eastAsia" w:ascii="仿宋" w:hAnsi="仿宋" w:eastAsia="仿宋"/>
          <w:spacing w:val="-2"/>
          <w:sz w:val="32"/>
          <w:szCs w:val="32"/>
          <w:lang w:val="en"/>
        </w:rPr>
        <w:t>年年初预算数</w:t>
      </w:r>
      <w:r>
        <w:rPr>
          <w:rFonts w:hint="eastAsia" w:ascii="仿宋" w:hAnsi="仿宋" w:eastAsia="仿宋"/>
          <w:spacing w:val="-2"/>
          <w:sz w:val="32"/>
          <w:szCs w:val="32"/>
          <w:lang w:val="en-US" w:eastAsia="zh-CN"/>
        </w:rPr>
        <w:t>506.49</w:t>
      </w:r>
      <w:r>
        <w:rPr>
          <w:rFonts w:hint="eastAsia" w:ascii="仿宋" w:hAnsi="仿宋" w:eastAsia="仿宋"/>
          <w:spacing w:val="-2"/>
          <w:sz w:val="32"/>
          <w:szCs w:val="32"/>
          <w:lang w:val="en"/>
        </w:rPr>
        <w:t>万元，其中，一般公共预算拨款0万元，政府性基金预算拨款</w:t>
      </w:r>
      <w:r>
        <w:rPr>
          <w:rFonts w:hint="eastAsia" w:ascii="仿宋" w:hAnsi="仿宋" w:eastAsia="仿宋"/>
          <w:spacing w:val="-2"/>
          <w:sz w:val="32"/>
          <w:szCs w:val="32"/>
          <w:lang w:val="en-US" w:eastAsia="zh-CN"/>
        </w:rPr>
        <w:t>506.49</w:t>
      </w:r>
      <w:r>
        <w:rPr>
          <w:rFonts w:hint="eastAsia" w:ascii="仿宋" w:hAnsi="仿宋" w:eastAsia="仿宋"/>
          <w:spacing w:val="-2"/>
          <w:sz w:val="32"/>
          <w:szCs w:val="32"/>
          <w:lang w:val="en"/>
        </w:rPr>
        <w:t>万元，纳入财政专户管理的非税收入拨款0万元，国有资本经营预算拨款0万元。</w:t>
      </w:r>
    </w:p>
    <w:p w14:paraId="22ADFAC3">
      <w:pPr>
        <w:widowControl/>
        <w:shd w:val="clear" w:color="auto" w:fill="FFFFFF"/>
        <w:spacing w:line="600" w:lineRule="atLeast"/>
        <w:ind w:firstLine="632" w:firstLineChars="200"/>
        <w:rPr>
          <w:rFonts w:hint="eastAsia" w:ascii="仿宋" w:hAnsi="仿宋" w:eastAsia="仿宋" w:cs="仿宋"/>
          <w:spacing w:val="-2"/>
          <w:sz w:val="32"/>
          <w:szCs w:val="21"/>
        </w:rPr>
      </w:pPr>
      <w:r>
        <w:rPr>
          <w:rFonts w:hint="eastAsia" w:ascii="仿宋" w:hAnsi="仿宋" w:eastAsia="仿宋"/>
          <w:spacing w:val="-2"/>
          <w:sz w:val="32"/>
          <w:szCs w:val="32"/>
          <w:lang w:val="en"/>
        </w:rPr>
        <w:t>支出预算，20</w:t>
      </w:r>
      <w:r>
        <w:rPr>
          <w:rFonts w:hint="eastAsia" w:ascii="仿宋" w:hAnsi="仿宋" w:eastAsia="仿宋"/>
          <w:spacing w:val="-2"/>
          <w:sz w:val="32"/>
          <w:szCs w:val="32"/>
        </w:rPr>
        <w:t>2</w:t>
      </w:r>
      <w:r>
        <w:rPr>
          <w:rFonts w:hint="eastAsia" w:ascii="仿宋" w:hAnsi="仿宋" w:eastAsia="仿宋"/>
          <w:spacing w:val="-2"/>
          <w:sz w:val="32"/>
          <w:szCs w:val="32"/>
          <w:lang w:val="en-US" w:eastAsia="zh-CN"/>
        </w:rPr>
        <w:t>4</w:t>
      </w:r>
      <w:r>
        <w:rPr>
          <w:rFonts w:hint="eastAsia" w:ascii="仿宋" w:hAnsi="仿宋" w:eastAsia="仿宋"/>
          <w:spacing w:val="-2"/>
          <w:sz w:val="32"/>
          <w:szCs w:val="32"/>
          <w:lang w:val="en"/>
        </w:rPr>
        <w:t>年年初预算数</w:t>
      </w:r>
      <w:r>
        <w:rPr>
          <w:rFonts w:hint="eastAsia" w:ascii="仿宋" w:hAnsi="仿宋" w:eastAsia="仿宋"/>
          <w:spacing w:val="-2"/>
          <w:sz w:val="32"/>
          <w:szCs w:val="32"/>
          <w:lang w:val="en-US" w:eastAsia="zh-CN"/>
        </w:rPr>
        <w:t>506.49</w:t>
      </w:r>
      <w:r>
        <w:rPr>
          <w:rFonts w:hint="eastAsia" w:ascii="仿宋" w:hAnsi="仿宋" w:eastAsia="仿宋"/>
          <w:spacing w:val="-2"/>
          <w:sz w:val="32"/>
          <w:szCs w:val="32"/>
          <w:lang w:val="en"/>
        </w:rPr>
        <w:t>万元，其中，主要是工资福利支出</w:t>
      </w:r>
      <w:r>
        <w:rPr>
          <w:rFonts w:hint="eastAsia" w:ascii="仿宋" w:hAnsi="仿宋" w:eastAsia="仿宋"/>
          <w:spacing w:val="-2"/>
          <w:sz w:val="32"/>
          <w:szCs w:val="32"/>
          <w:lang w:val="en-US" w:eastAsia="zh-CN"/>
        </w:rPr>
        <w:t>405.54</w:t>
      </w:r>
      <w:r>
        <w:rPr>
          <w:rFonts w:hint="eastAsia" w:ascii="仿宋" w:hAnsi="仿宋" w:eastAsia="仿宋"/>
          <w:spacing w:val="-2"/>
          <w:sz w:val="32"/>
          <w:szCs w:val="32"/>
          <w:lang w:val="en"/>
        </w:rPr>
        <w:t>万元，商品和服务支出</w:t>
      </w:r>
      <w:r>
        <w:rPr>
          <w:rFonts w:hint="eastAsia" w:ascii="仿宋" w:hAnsi="仿宋" w:eastAsia="仿宋"/>
          <w:spacing w:val="-2"/>
          <w:sz w:val="32"/>
          <w:szCs w:val="32"/>
          <w:lang w:val="en-US" w:eastAsia="zh-CN"/>
        </w:rPr>
        <w:t>68.95</w:t>
      </w:r>
      <w:r>
        <w:rPr>
          <w:rFonts w:hint="eastAsia" w:ascii="仿宋" w:hAnsi="仿宋" w:eastAsia="仿宋"/>
          <w:spacing w:val="-2"/>
          <w:sz w:val="32"/>
          <w:szCs w:val="32"/>
          <w:lang w:val="en"/>
        </w:rPr>
        <w:t>万元，对个人和家庭的补助支出</w:t>
      </w:r>
      <w:r>
        <w:rPr>
          <w:rFonts w:hint="eastAsia" w:ascii="仿宋" w:hAnsi="仿宋" w:eastAsia="仿宋"/>
          <w:spacing w:val="-2"/>
          <w:sz w:val="32"/>
          <w:szCs w:val="32"/>
          <w:lang w:val="en-US" w:eastAsia="zh-CN"/>
        </w:rPr>
        <w:t>9</w:t>
      </w:r>
      <w:r>
        <w:rPr>
          <w:rFonts w:hint="eastAsia" w:ascii="仿宋" w:hAnsi="仿宋" w:eastAsia="仿宋"/>
          <w:spacing w:val="-2"/>
          <w:sz w:val="32"/>
          <w:szCs w:val="32"/>
          <w:lang w:val="en"/>
        </w:rPr>
        <w:t>万元；项目支出</w:t>
      </w:r>
      <w:r>
        <w:rPr>
          <w:rFonts w:hint="eastAsia" w:ascii="仿宋" w:hAnsi="仿宋" w:eastAsia="仿宋"/>
          <w:spacing w:val="-2"/>
          <w:sz w:val="32"/>
          <w:szCs w:val="32"/>
          <w:lang w:val="en-US" w:eastAsia="zh-CN"/>
        </w:rPr>
        <w:t>23.00</w:t>
      </w:r>
      <w:r>
        <w:rPr>
          <w:rFonts w:hint="eastAsia" w:ascii="仿宋" w:hAnsi="仿宋" w:eastAsia="仿宋"/>
          <w:spacing w:val="-2"/>
          <w:sz w:val="32"/>
          <w:szCs w:val="32"/>
          <w:lang w:val="en"/>
        </w:rPr>
        <w:t>万元</w:t>
      </w:r>
      <w:r>
        <w:rPr>
          <w:rFonts w:hint="eastAsia" w:ascii="仿宋" w:hAnsi="仿宋" w:eastAsia="仿宋" w:cs="仿宋"/>
          <w:spacing w:val="-2"/>
          <w:sz w:val="32"/>
          <w:szCs w:val="21"/>
        </w:rPr>
        <w:t>。</w:t>
      </w:r>
    </w:p>
    <w:p w14:paraId="6A379A5F">
      <w:pPr>
        <w:widowControl/>
        <w:shd w:val="clear" w:color="auto" w:fill="FFFFFF"/>
        <w:spacing w:line="600" w:lineRule="atLeast"/>
        <w:ind w:firstLine="632" w:firstLineChars="200"/>
        <w:rPr>
          <w:rFonts w:hint="eastAsia" w:ascii="仿宋" w:hAnsi="仿宋" w:eastAsia="仿宋"/>
          <w:spacing w:val="-2"/>
          <w:sz w:val="32"/>
          <w:szCs w:val="32"/>
        </w:rPr>
      </w:pPr>
      <w:r>
        <w:rPr>
          <w:rFonts w:hint="eastAsia" w:ascii="仿宋" w:hAnsi="仿宋" w:eastAsia="仿宋"/>
          <w:spacing w:val="-2"/>
          <w:sz w:val="32"/>
          <w:szCs w:val="32"/>
        </w:rPr>
        <w:t>2</w:t>
      </w:r>
      <w:r>
        <w:rPr>
          <w:rFonts w:hint="eastAsia" w:ascii="仿宋" w:hAnsi="仿宋" w:eastAsia="仿宋"/>
          <w:spacing w:val="-2"/>
          <w:sz w:val="32"/>
          <w:szCs w:val="32"/>
          <w:lang w:eastAsia="zh-CN"/>
        </w:rPr>
        <w:t>、</w:t>
      </w:r>
      <w:r>
        <w:rPr>
          <w:rFonts w:hint="eastAsia" w:ascii="仿宋" w:hAnsi="仿宋" w:eastAsia="仿宋"/>
          <w:spacing w:val="-2"/>
          <w:sz w:val="32"/>
          <w:szCs w:val="32"/>
        </w:rPr>
        <w:t>202</w:t>
      </w:r>
      <w:r>
        <w:rPr>
          <w:rFonts w:hint="eastAsia" w:ascii="仿宋" w:hAnsi="仿宋" w:eastAsia="仿宋"/>
          <w:spacing w:val="-2"/>
          <w:sz w:val="32"/>
          <w:szCs w:val="32"/>
          <w:lang w:val="en-US" w:eastAsia="zh-CN"/>
        </w:rPr>
        <w:t>4</w:t>
      </w:r>
      <w:r>
        <w:rPr>
          <w:rFonts w:hint="eastAsia" w:ascii="仿宋" w:hAnsi="仿宋" w:eastAsia="仿宋"/>
          <w:spacing w:val="-2"/>
          <w:sz w:val="32"/>
          <w:szCs w:val="32"/>
        </w:rPr>
        <w:t>年部门决算情况</w:t>
      </w:r>
    </w:p>
    <w:p w14:paraId="5154858E">
      <w:pPr>
        <w:widowControl/>
        <w:shd w:val="clear" w:color="auto" w:fill="FFFFFF"/>
        <w:spacing w:line="600" w:lineRule="atLeast"/>
        <w:ind w:firstLine="640"/>
        <w:rPr>
          <w:rFonts w:ascii="仿宋" w:hAnsi="仿宋" w:eastAsia="仿宋"/>
          <w:spacing w:val="-2"/>
          <w:sz w:val="32"/>
          <w:szCs w:val="32"/>
        </w:rPr>
      </w:pPr>
      <w:r>
        <w:rPr>
          <w:rFonts w:hint="eastAsia" w:ascii="仿宋" w:hAnsi="仿宋" w:eastAsia="仿宋"/>
          <w:spacing w:val="-2"/>
          <w:sz w:val="32"/>
          <w:szCs w:val="32"/>
          <w:lang w:val="en"/>
        </w:rPr>
        <w:t>20</w:t>
      </w:r>
      <w:r>
        <w:rPr>
          <w:rFonts w:hint="eastAsia" w:ascii="仿宋" w:hAnsi="仿宋" w:eastAsia="仿宋"/>
          <w:spacing w:val="-2"/>
          <w:sz w:val="32"/>
          <w:szCs w:val="32"/>
        </w:rPr>
        <w:t>2</w:t>
      </w:r>
      <w:r>
        <w:rPr>
          <w:rFonts w:hint="eastAsia" w:ascii="仿宋" w:hAnsi="仿宋" w:eastAsia="仿宋"/>
          <w:spacing w:val="-2"/>
          <w:sz w:val="32"/>
          <w:szCs w:val="32"/>
          <w:lang w:val="en-US" w:eastAsia="zh-CN"/>
        </w:rPr>
        <w:t>4</w:t>
      </w:r>
      <w:r>
        <w:rPr>
          <w:rFonts w:hint="eastAsia" w:ascii="仿宋" w:hAnsi="仿宋" w:eastAsia="仿宋"/>
          <w:spacing w:val="-2"/>
          <w:sz w:val="32"/>
          <w:szCs w:val="32"/>
          <w:lang w:val="en"/>
        </w:rPr>
        <w:t>年度决算总收入</w:t>
      </w:r>
      <w:r>
        <w:rPr>
          <w:rFonts w:hint="eastAsia" w:ascii="仿宋" w:hAnsi="仿宋" w:eastAsia="仿宋"/>
          <w:spacing w:val="-2"/>
          <w:sz w:val="32"/>
          <w:szCs w:val="32"/>
          <w:lang w:val="en-US" w:eastAsia="zh-CN"/>
        </w:rPr>
        <w:t>34,339.13</w:t>
      </w:r>
      <w:r>
        <w:rPr>
          <w:rFonts w:hint="eastAsia" w:ascii="仿宋" w:hAnsi="仿宋" w:eastAsia="仿宋"/>
          <w:spacing w:val="-2"/>
          <w:sz w:val="32"/>
          <w:szCs w:val="32"/>
          <w:lang w:val="en"/>
        </w:rPr>
        <w:t>万元</w:t>
      </w:r>
      <w:r>
        <w:rPr>
          <w:rFonts w:hint="eastAsia" w:ascii="仿宋" w:hAnsi="仿宋" w:eastAsia="仿宋"/>
          <w:spacing w:val="-2"/>
          <w:sz w:val="32"/>
          <w:szCs w:val="32"/>
          <w:lang w:val="en" w:eastAsia="zh-CN"/>
        </w:rPr>
        <w:t>，</w:t>
      </w:r>
      <w:r>
        <w:rPr>
          <w:rFonts w:hint="eastAsia" w:ascii="仿宋" w:hAnsi="仿宋" w:eastAsia="仿宋"/>
          <w:spacing w:val="-2"/>
          <w:sz w:val="32"/>
          <w:szCs w:val="32"/>
          <w:lang w:val="en"/>
        </w:rPr>
        <w:t>20</w:t>
      </w:r>
      <w:r>
        <w:rPr>
          <w:rFonts w:hint="eastAsia" w:ascii="仿宋" w:hAnsi="仿宋" w:eastAsia="仿宋"/>
          <w:spacing w:val="-2"/>
          <w:sz w:val="32"/>
          <w:szCs w:val="32"/>
        </w:rPr>
        <w:t>2</w:t>
      </w:r>
      <w:r>
        <w:rPr>
          <w:rFonts w:hint="eastAsia" w:ascii="仿宋" w:hAnsi="仿宋" w:eastAsia="仿宋"/>
          <w:spacing w:val="-2"/>
          <w:sz w:val="32"/>
          <w:szCs w:val="32"/>
          <w:lang w:val="en-US" w:eastAsia="zh-CN"/>
        </w:rPr>
        <w:t>4</w:t>
      </w:r>
      <w:r>
        <w:rPr>
          <w:rFonts w:hint="eastAsia" w:ascii="仿宋" w:hAnsi="仿宋" w:eastAsia="仿宋"/>
          <w:spacing w:val="-2"/>
          <w:sz w:val="32"/>
          <w:szCs w:val="32"/>
          <w:lang w:val="en"/>
        </w:rPr>
        <w:t>年度决算总支出</w:t>
      </w:r>
      <w:r>
        <w:rPr>
          <w:rFonts w:hint="eastAsia" w:ascii="仿宋" w:hAnsi="仿宋" w:eastAsia="仿宋"/>
          <w:spacing w:val="-2"/>
          <w:sz w:val="32"/>
          <w:szCs w:val="32"/>
          <w:lang w:val="en-US" w:eastAsia="zh-CN"/>
        </w:rPr>
        <w:t>34,339.13</w:t>
      </w:r>
      <w:r>
        <w:rPr>
          <w:rFonts w:hint="eastAsia" w:ascii="仿宋" w:hAnsi="仿宋" w:eastAsia="仿宋"/>
          <w:spacing w:val="-2"/>
          <w:sz w:val="32"/>
          <w:szCs w:val="32"/>
          <w:lang w:val="en"/>
        </w:rPr>
        <w:t>万元，其中：基本支出</w:t>
      </w:r>
      <w:r>
        <w:rPr>
          <w:rFonts w:hint="eastAsia" w:ascii="仿宋" w:hAnsi="仿宋" w:eastAsia="仿宋"/>
          <w:spacing w:val="-2"/>
          <w:sz w:val="32"/>
          <w:szCs w:val="32"/>
          <w:lang w:val="en-US" w:eastAsia="zh-CN"/>
        </w:rPr>
        <w:t>409.99</w:t>
      </w:r>
      <w:r>
        <w:rPr>
          <w:rFonts w:hint="eastAsia" w:ascii="仿宋" w:hAnsi="仿宋" w:eastAsia="仿宋"/>
          <w:spacing w:val="-2"/>
          <w:sz w:val="32"/>
          <w:szCs w:val="32"/>
          <w:lang w:val="en"/>
        </w:rPr>
        <w:t>万元，占总支出的</w:t>
      </w:r>
      <w:r>
        <w:rPr>
          <w:rFonts w:hint="eastAsia" w:ascii="仿宋" w:hAnsi="仿宋" w:eastAsia="仿宋"/>
          <w:spacing w:val="-2"/>
          <w:sz w:val="32"/>
          <w:szCs w:val="32"/>
          <w:lang w:val="en-US" w:eastAsia="zh-CN"/>
        </w:rPr>
        <w:t>1.19</w:t>
      </w:r>
      <w:r>
        <w:rPr>
          <w:rFonts w:hint="eastAsia" w:ascii="仿宋" w:hAnsi="仿宋" w:eastAsia="仿宋"/>
          <w:spacing w:val="-2"/>
          <w:sz w:val="32"/>
          <w:szCs w:val="32"/>
          <w:lang w:val="en"/>
        </w:rPr>
        <w:t>%；</w:t>
      </w:r>
      <w:r>
        <w:rPr>
          <w:rFonts w:hint="eastAsia" w:ascii="仿宋" w:hAnsi="仿宋" w:eastAsia="仿宋"/>
          <w:spacing w:val="-2"/>
          <w:sz w:val="32"/>
          <w:szCs w:val="32"/>
        </w:rPr>
        <w:t>项目支出</w:t>
      </w:r>
      <w:r>
        <w:rPr>
          <w:rFonts w:hint="eastAsia" w:ascii="仿宋" w:hAnsi="仿宋" w:eastAsia="仿宋"/>
          <w:spacing w:val="-2"/>
          <w:sz w:val="32"/>
          <w:szCs w:val="32"/>
          <w:lang w:val="en-US" w:eastAsia="zh-CN"/>
        </w:rPr>
        <w:t>33,929.14</w:t>
      </w:r>
      <w:r>
        <w:rPr>
          <w:rFonts w:hint="eastAsia" w:ascii="仿宋" w:hAnsi="仿宋" w:eastAsia="仿宋"/>
          <w:spacing w:val="-2"/>
          <w:sz w:val="32"/>
          <w:szCs w:val="32"/>
        </w:rPr>
        <w:t>万元，</w:t>
      </w:r>
      <w:r>
        <w:rPr>
          <w:rFonts w:hint="eastAsia" w:ascii="仿宋" w:hAnsi="仿宋" w:eastAsia="仿宋"/>
          <w:spacing w:val="-2"/>
          <w:sz w:val="32"/>
          <w:szCs w:val="32"/>
          <w:lang w:val="en"/>
        </w:rPr>
        <w:t>占总支出的</w:t>
      </w:r>
      <w:r>
        <w:rPr>
          <w:rFonts w:hint="eastAsia" w:ascii="仿宋" w:hAnsi="仿宋" w:eastAsia="仿宋"/>
          <w:spacing w:val="-2"/>
          <w:sz w:val="32"/>
          <w:szCs w:val="32"/>
          <w:lang w:val="en-US" w:eastAsia="zh-CN"/>
        </w:rPr>
        <w:t>98.81</w:t>
      </w:r>
      <w:r>
        <w:rPr>
          <w:rFonts w:hint="eastAsia" w:ascii="仿宋" w:hAnsi="仿宋" w:eastAsia="仿宋"/>
          <w:spacing w:val="-2"/>
          <w:sz w:val="32"/>
          <w:szCs w:val="32"/>
          <w:lang w:val="en"/>
        </w:rPr>
        <w:t>%</w:t>
      </w:r>
      <w:r>
        <w:rPr>
          <w:rFonts w:ascii="仿宋" w:hAnsi="仿宋" w:eastAsia="仿宋"/>
          <w:spacing w:val="-2"/>
          <w:sz w:val="32"/>
          <w:szCs w:val="32"/>
          <w:lang w:val="en"/>
        </w:rPr>
        <w:t>,</w:t>
      </w:r>
      <w:r>
        <w:rPr>
          <w:rFonts w:hint="eastAsia" w:ascii="仿宋" w:hAnsi="仿宋" w:eastAsia="仿宋"/>
          <w:spacing w:val="-2"/>
          <w:sz w:val="32"/>
          <w:szCs w:val="32"/>
          <w:lang w:val="en"/>
        </w:rPr>
        <w:t>主要为土地储备专户资金支出。</w:t>
      </w:r>
    </w:p>
    <w:p w14:paraId="1F950FFA">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二、一般公共预算支出情况</w:t>
      </w:r>
    </w:p>
    <w:p w14:paraId="6A0235D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（一）基本支出</w:t>
      </w:r>
    </w:p>
    <w:p w14:paraId="5EB7EDCE">
      <w:pPr>
        <w:widowControl/>
        <w:shd w:val="clear" w:color="auto" w:fill="FFFFFF"/>
        <w:spacing w:line="600" w:lineRule="atLeast"/>
        <w:ind w:firstLine="640"/>
        <w:rPr>
          <w:rFonts w:hint="default" w:ascii="仿宋" w:hAnsi="仿宋" w:eastAsia="仿宋"/>
          <w:spacing w:val="-2"/>
          <w:sz w:val="32"/>
          <w:szCs w:val="32"/>
          <w:lang w:val="en-US" w:eastAsia="zh-CN"/>
        </w:rPr>
      </w:pPr>
      <w:r>
        <w:rPr>
          <w:rFonts w:hint="default" w:ascii="仿宋" w:hAnsi="仿宋" w:eastAsia="仿宋"/>
          <w:spacing w:val="-2"/>
          <w:sz w:val="32"/>
          <w:szCs w:val="32"/>
          <w:lang w:val="en-US" w:eastAsia="zh-CN"/>
        </w:rPr>
        <w:t>介绍基本支出的主要用途、范围以及资金的管理情况，尤其是“三公”经费的使用和管理情况。</w:t>
      </w:r>
    </w:p>
    <w:p w14:paraId="524259A0">
      <w:pPr>
        <w:widowControl/>
        <w:shd w:val="clear" w:color="auto" w:fill="FFFFFF"/>
        <w:spacing w:line="600" w:lineRule="atLeast"/>
        <w:ind w:firstLine="640"/>
        <w:rPr>
          <w:rFonts w:hint="eastAsia" w:ascii="仿宋" w:hAnsi="仿宋" w:eastAsia="仿宋"/>
          <w:spacing w:val="-2"/>
          <w:sz w:val="32"/>
          <w:szCs w:val="32"/>
          <w:lang w:val="en" w:eastAsia="zh-CN"/>
        </w:rPr>
      </w:pPr>
      <w:r>
        <w:rPr>
          <w:rFonts w:hint="eastAsia" w:ascii="仿宋" w:hAnsi="仿宋" w:eastAsia="仿宋"/>
          <w:spacing w:val="-2"/>
          <w:sz w:val="32"/>
          <w:szCs w:val="32"/>
          <w:lang w:val="en" w:eastAsia="zh-CN"/>
        </w:rPr>
        <w:t>20</w:t>
      </w:r>
      <w:r>
        <w:rPr>
          <w:rFonts w:hint="eastAsia" w:ascii="仿宋" w:hAnsi="仿宋" w:eastAsia="仿宋"/>
          <w:spacing w:val="-2"/>
          <w:sz w:val="32"/>
          <w:szCs w:val="32"/>
          <w:lang w:val="en-US" w:eastAsia="zh-CN"/>
        </w:rPr>
        <w:t>24</w:t>
      </w:r>
      <w:r>
        <w:rPr>
          <w:rFonts w:hint="eastAsia" w:ascii="仿宋" w:hAnsi="仿宋" w:eastAsia="仿宋"/>
          <w:spacing w:val="-2"/>
          <w:sz w:val="32"/>
          <w:szCs w:val="32"/>
          <w:lang w:val="en" w:eastAsia="zh-CN"/>
        </w:rPr>
        <w:t>年基本支出</w:t>
      </w:r>
      <w:r>
        <w:rPr>
          <w:rFonts w:hint="eastAsia" w:ascii="仿宋" w:hAnsi="仿宋" w:eastAsia="仿宋"/>
          <w:spacing w:val="-2"/>
          <w:sz w:val="32"/>
          <w:szCs w:val="32"/>
          <w:lang w:val="en-US" w:eastAsia="zh-CN"/>
        </w:rPr>
        <w:t>409.99</w:t>
      </w:r>
      <w:r>
        <w:rPr>
          <w:rFonts w:hint="eastAsia" w:ascii="仿宋" w:hAnsi="仿宋" w:eastAsia="仿宋"/>
          <w:spacing w:val="-2"/>
          <w:sz w:val="32"/>
          <w:szCs w:val="32"/>
          <w:lang w:val="en" w:eastAsia="zh-CN"/>
        </w:rPr>
        <w:t>万元，</w:t>
      </w:r>
      <w:r>
        <w:rPr>
          <w:rFonts w:hint="eastAsia" w:ascii="仿宋" w:hAnsi="仿宋" w:eastAsia="仿宋"/>
          <w:spacing w:val="-2"/>
          <w:sz w:val="32"/>
          <w:szCs w:val="32"/>
          <w:lang w:val="en-US" w:eastAsia="zh-CN"/>
        </w:rPr>
        <w:t>主要保障我单位正常运转、完成日常工作任务而发生的人员经费和日常公用经费。</w:t>
      </w:r>
      <w:r>
        <w:rPr>
          <w:rFonts w:hint="eastAsia" w:ascii="仿宋" w:hAnsi="仿宋" w:eastAsia="仿宋"/>
          <w:spacing w:val="-2"/>
          <w:sz w:val="32"/>
          <w:szCs w:val="32"/>
          <w:lang w:val="en" w:eastAsia="zh-CN"/>
        </w:rPr>
        <w:t>其中：工资福利支出</w:t>
      </w:r>
      <w:r>
        <w:rPr>
          <w:rFonts w:hint="eastAsia" w:ascii="仿宋" w:hAnsi="仿宋" w:eastAsia="仿宋"/>
          <w:spacing w:val="-2"/>
          <w:sz w:val="32"/>
          <w:szCs w:val="32"/>
          <w:lang w:val="en-US" w:eastAsia="zh-CN"/>
        </w:rPr>
        <w:t>368.67</w:t>
      </w:r>
      <w:r>
        <w:rPr>
          <w:rFonts w:hint="eastAsia" w:ascii="仿宋" w:hAnsi="仿宋" w:eastAsia="仿宋"/>
          <w:spacing w:val="-2"/>
          <w:sz w:val="32"/>
          <w:szCs w:val="32"/>
          <w:lang w:val="en" w:eastAsia="zh-CN"/>
        </w:rPr>
        <w:t>万元，商品和服务支出</w:t>
      </w:r>
      <w:r>
        <w:rPr>
          <w:rFonts w:hint="eastAsia" w:ascii="仿宋" w:hAnsi="仿宋" w:eastAsia="仿宋"/>
          <w:spacing w:val="-2"/>
          <w:sz w:val="32"/>
          <w:szCs w:val="32"/>
          <w:lang w:val="en-US" w:eastAsia="zh-CN"/>
        </w:rPr>
        <w:t>31.22</w:t>
      </w:r>
      <w:r>
        <w:rPr>
          <w:rFonts w:hint="eastAsia" w:ascii="仿宋" w:hAnsi="仿宋" w:eastAsia="仿宋"/>
          <w:spacing w:val="-2"/>
          <w:sz w:val="32"/>
          <w:szCs w:val="32"/>
          <w:lang w:val="en" w:eastAsia="zh-CN"/>
        </w:rPr>
        <w:t>万元，对个人和家庭的补助支出</w:t>
      </w:r>
      <w:r>
        <w:rPr>
          <w:rFonts w:hint="eastAsia" w:ascii="仿宋" w:hAnsi="仿宋" w:eastAsia="仿宋"/>
          <w:spacing w:val="-2"/>
          <w:sz w:val="32"/>
          <w:szCs w:val="32"/>
          <w:lang w:val="en-US" w:eastAsia="zh-CN"/>
        </w:rPr>
        <w:t>10.11</w:t>
      </w:r>
      <w:r>
        <w:rPr>
          <w:rFonts w:hint="eastAsia" w:ascii="仿宋" w:hAnsi="仿宋" w:eastAsia="仿宋"/>
          <w:spacing w:val="-2"/>
          <w:sz w:val="32"/>
          <w:szCs w:val="32"/>
          <w:lang w:val="en" w:eastAsia="zh-CN"/>
        </w:rPr>
        <w:t>万元。</w:t>
      </w:r>
    </w:p>
    <w:p w14:paraId="11C3C904">
      <w:pPr>
        <w:widowControl/>
        <w:shd w:val="clear" w:color="auto" w:fill="FFFFFF"/>
        <w:spacing w:line="600" w:lineRule="atLeast"/>
        <w:ind w:firstLine="640"/>
        <w:rPr>
          <w:rFonts w:hint="eastAsia" w:ascii="仿宋" w:hAnsi="仿宋" w:eastAsia="仿宋"/>
          <w:spacing w:val="-2"/>
          <w:sz w:val="32"/>
          <w:szCs w:val="32"/>
          <w:lang w:val="en" w:eastAsia="zh-CN"/>
        </w:rPr>
      </w:pPr>
      <w:r>
        <w:rPr>
          <w:rFonts w:hint="eastAsia" w:ascii="仿宋" w:hAnsi="仿宋" w:eastAsia="仿宋"/>
          <w:spacing w:val="-2"/>
          <w:sz w:val="32"/>
          <w:szCs w:val="32"/>
          <w:lang w:val="en" w:eastAsia="zh-CN"/>
        </w:rPr>
        <w:t>202</w:t>
      </w:r>
      <w:r>
        <w:rPr>
          <w:rFonts w:hint="eastAsia" w:ascii="仿宋" w:hAnsi="仿宋" w:eastAsia="仿宋"/>
          <w:spacing w:val="-2"/>
          <w:sz w:val="32"/>
          <w:szCs w:val="32"/>
          <w:lang w:val="en-US" w:eastAsia="zh-CN"/>
        </w:rPr>
        <w:t>4</w:t>
      </w:r>
      <w:r>
        <w:rPr>
          <w:rFonts w:hint="eastAsia" w:ascii="仿宋" w:hAnsi="仿宋" w:eastAsia="仿宋"/>
          <w:spacing w:val="-2"/>
          <w:sz w:val="32"/>
          <w:szCs w:val="32"/>
          <w:lang w:val="en" w:eastAsia="zh-CN"/>
        </w:rPr>
        <w:t>年三公经费预算支出</w:t>
      </w:r>
      <w:r>
        <w:rPr>
          <w:rFonts w:hint="eastAsia" w:ascii="仿宋" w:hAnsi="仿宋" w:eastAsia="仿宋"/>
          <w:spacing w:val="-2"/>
          <w:sz w:val="32"/>
          <w:szCs w:val="32"/>
          <w:lang w:val="en-US" w:eastAsia="zh-CN"/>
        </w:rPr>
        <w:t>2.50</w:t>
      </w:r>
      <w:r>
        <w:rPr>
          <w:rFonts w:hint="eastAsia" w:ascii="仿宋" w:hAnsi="仿宋" w:eastAsia="仿宋"/>
          <w:spacing w:val="-2"/>
          <w:sz w:val="32"/>
          <w:szCs w:val="32"/>
          <w:lang w:val="en" w:eastAsia="zh-CN"/>
        </w:rPr>
        <w:t>万元，其中，公务接待费</w:t>
      </w:r>
      <w:r>
        <w:rPr>
          <w:rFonts w:hint="eastAsia" w:ascii="仿宋" w:hAnsi="仿宋" w:eastAsia="仿宋"/>
          <w:spacing w:val="-2"/>
          <w:sz w:val="32"/>
          <w:szCs w:val="32"/>
          <w:lang w:val="en-US" w:eastAsia="zh-CN"/>
        </w:rPr>
        <w:t xml:space="preserve">  0.50</w:t>
      </w:r>
      <w:r>
        <w:rPr>
          <w:rFonts w:hint="default" w:ascii="仿宋" w:hAnsi="仿宋" w:eastAsia="仿宋"/>
          <w:spacing w:val="-2"/>
          <w:sz w:val="32"/>
          <w:szCs w:val="32"/>
          <w:lang w:val="en" w:eastAsia="zh-CN"/>
        </w:rPr>
        <w:t>万元，公务用车购置费0万元，公务用车运行费</w:t>
      </w:r>
      <w:r>
        <w:rPr>
          <w:rFonts w:hint="eastAsia" w:ascii="仿宋" w:hAnsi="仿宋" w:eastAsia="仿宋"/>
          <w:spacing w:val="-2"/>
          <w:sz w:val="32"/>
          <w:szCs w:val="32"/>
          <w:lang w:val="en-US" w:eastAsia="zh-CN"/>
        </w:rPr>
        <w:t>2</w:t>
      </w:r>
      <w:r>
        <w:rPr>
          <w:rFonts w:hint="default" w:ascii="仿宋" w:hAnsi="仿宋" w:eastAsia="仿宋"/>
          <w:spacing w:val="-2"/>
          <w:sz w:val="32"/>
          <w:szCs w:val="32"/>
          <w:lang w:val="en" w:eastAsia="zh-CN"/>
        </w:rPr>
        <w:t>万元，因公出国（境）费0万元。</w:t>
      </w:r>
      <w:r>
        <w:rPr>
          <w:rFonts w:hint="eastAsia" w:ascii="仿宋" w:hAnsi="仿宋" w:eastAsia="仿宋"/>
          <w:spacing w:val="-2"/>
          <w:sz w:val="32"/>
          <w:szCs w:val="32"/>
          <w:lang w:val="en" w:eastAsia="zh-CN"/>
        </w:rPr>
        <w:t>“三公”经费支出</w:t>
      </w:r>
      <w:r>
        <w:rPr>
          <w:rFonts w:hint="eastAsia" w:ascii="仿宋" w:hAnsi="仿宋" w:eastAsia="仿宋"/>
          <w:spacing w:val="-2"/>
          <w:sz w:val="32"/>
          <w:szCs w:val="32"/>
          <w:lang w:val="en-US" w:eastAsia="zh-CN"/>
        </w:rPr>
        <w:t>1.57</w:t>
      </w:r>
      <w:r>
        <w:rPr>
          <w:rFonts w:hint="eastAsia" w:ascii="仿宋" w:hAnsi="仿宋" w:eastAsia="仿宋"/>
          <w:spacing w:val="-2"/>
          <w:sz w:val="32"/>
          <w:szCs w:val="32"/>
          <w:lang w:val="en" w:eastAsia="zh-CN"/>
        </w:rPr>
        <w:t>万元，</w:t>
      </w:r>
      <w:r>
        <w:rPr>
          <w:rFonts w:hint="eastAsia" w:ascii="仿宋" w:hAnsi="仿宋" w:eastAsia="仿宋"/>
          <w:spacing w:val="-2"/>
          <w:sz w:val="32"/>
          <w:szCs w:val="32"/>
          <w:lang w:val="en-US" w:eastAsia="zh-CN"/>
        </w:rPr>
        <w:t>其中：公务用车购置费0万元，公务用车运行维护费1.57万元，公务接待费0万元</w:t>
      </w:r>
      <w:r>
        <w:rPr>
          <w:rFonts w:hint="eastAsia" w:ascii="仿宋" w:hAnsi="仿宋" w:eastAsia="仿宋"/>
          <w:spacing w:val="-2"/>
          <w:sz w:val="32"/>
          <w:szCs w:val="32"/>
          <w:lang w:val="en" w:eastAsia="zh-CN"/>
        </w:rPr>
        <w:t>。结余</w:t>
      </w:r>
      <w:r>
        <w:rPr>
          <w:rFonts w:hint="eastAsia" w:ascii="仿宋" w:hAnsi="仿宋" w:eastAsia="仿宋"/>
          <w:spacing w:val="-2"/>
          <w:sz w:val="32"/>
          <w:szCs w:val="32"/>
          <w:lang w:val="en-US" w:eastAsia="zh-CN"/>
        </w:rPr>
        <w:t>0.93</w:t>
      </w:r>
      <w:r>
        <w:rPr>
          <w:rFonts w:hint="eastAsia" w:ascii="仿宋" w:hAnsi="仿宋" w:eastAsia="仿宋"/>
          <w:spacing w:val="-2"/>
          <w:sz w:val="32"/>
          <w:szCs w:val="32"/>
          <w:lang w:val="en" w:eastAsia="zh-CN"/>
        </w:rPr>
        <w:t>万元，三公经费总额控制在预算范围内。</w:t>
      </w:r>
    </w:p>
    <w:p w14:paraId="6763862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（二）项目支出</w:t>
      </w:r>
    </w:p>
    <w:p w14:paraId="1324F4DE">
      <w:pPr>
        <w:widowControl/>
        <w:shd w:val="clear" w:color="auto" w:fill="FFFFFF"/>
        <w:spacing w:line="600" w:lineRule="atLeast"/>
        <w:ind w:firstLine="640"/>
        <w:rPr>
          <w:rFonts w:hint="default" w:ascii="仿宋" w:hAnsi="仿宋" w:eastAsia="仿宋"/>
          <w:spacing w:val="-2"/>
          <w:sz w:val="30"/>
          <w:szCs w:val="30"/>
          <w:lang w:val="en-US" w:eastAsia="zh-CN"/>
        </w:rPr>
      </w:pPr>
      <w:r>
        <w:rPr>
          <w:rFonts w:hint="default" w:ascii="仿宋" w:hAnsi="仿宋" w:eastAsia="仿宋"/>
          <w:spacing w:val="-2"/>
          <w:sz w:val="30"/>
          <w:szCs w:val="30"/>
          <w:lang w:val="en-US" w:eastAsia="zh-CN"/>
        </w:rPr>
        <w:t>1、项目资金（包括财政资金、自筹资金等）安排落实、总投入等情况分析。</w:t>
      </w:r>
    </w:p>
    <w:p w14:paraId="3E0DE7AF">
      <w:pPr>
        <w:widowControl/>
        <w:shd w:val="clear" w:color="auto" w:fill="FFFFFF"/>
        <w:spacing w:line="600" w:lineRule="atLeast"/>
        <w:ind w:firstLine="640"/>
        <w:rPr>
          <w:rFonts w:hint="default" w:ascii="仿宋" w:hAnsi="仿宋" w:eastAsia="仿宋"/>
          <w:spacing w:val="-2"/>
          <w:sz w:val="30"/>
          <w:szCs w:val="30"/>
          <w:lang w:val="en-US" w:eastAsia="zh-CN"/>
        </w:rPr>
      </w:pPr>
      <w:r>
        <w:rPr>
          <w:rFonts w:hint="eastAsia" w:ascii="仿宋" w:hAnsi="仿宋" w:eastAsia="仿宋"/>
          <w:spacing w:val="-2"/>
          <w:sz w:val="30"/>
          <w:szCs w:val="30"/>
          <w:lang w:val="en-US" w:eastAsia="zh-CN"/>
        </w:rPr>
        <w:t>2024年财政共下达项目资金</w:t>
      </w:r>
      <w:r>
        <w:rPr>
          <w:rFonts w:hint="eastAsia" w:ascii="仿宋" w:hAnsi="仿宋" w:eastAsia="仿宋"/>
          <w:spacing w:val="-2"/>
          <w:sz w:val="32"/>
          <w:szCs w:val="32"/>
          <w:lang w:val="en-US" w:eastAsia="zh-CN"/>
        </w:rPr>
        <w:t>33,929.14</w:t>
      </w:r>
      <w:r>
        <w:rPr>
          <w:rFonts w:hint="eastAsia" w:ascii="仿宋" w:hAnsi="仿宋" w:eastAsia="仿宋"/>
          <w:spacing w:val="-2"/>
          <w:sz w:val="30"/>
          <w:szCs w:val="30"/>
          <w:lang w:val="en-US" w:eastAsia="zh-CN"/>
        </w:rPr>
        <w:t>万元，主要用于专项土地储备专项资金</w:t>
      </w:r>
      <w:r>
        <w:rPr>
          <w:rFonts w:hint="eastAsia" w:ascii="仿宋" w:hAnsi="仿宋" w:eastAsia="仿宋"/>
          <w:spacing w:val="-2"/>
          <w:sz w:val="32"/>
          <w:szCs w:val="32"/>
          <w:lang w:val="en-US" w:eastAsia="zh-CN"/>
        </w:rPr>
        <w:t>33,929.14</w:t>
      </w:r>
      <w:r>
        <w:rPr>
          <w:rFonts w:hint="eastAsia" w:ascii="仿宋" w:hAnsi="仿宋" w:eastAsia="仿宋"/>
          <w:spacing w:val="-2"/>
          <w:sz w:val="30"/>
          <w:szCs w:val="30"/>
          <w:lang w:val="en-US" w:eastAsia="zh-CN"/>
        </w:rPr>
        <w:t>万元。</w:t>
      </w:r>
    </w:p>
    <w:p w14:paraId="1F94C084">
      <w:pPr>
        <w:widowControl/>
        <w:shd w:val="clear" w:color="auto" w:fill="FFFFFF"/>
        <w:spacing w:line="600" w:lineRule="atLeast"/>
        <w:ind w:firstLine="640"/>
        <w:rPr>
          <w:rFonts w:hint="default" w:ascii="仿宋" w:hAnsi="仿宋" w:eastAsia="仿宋"/>
          <w:spacing w:val="-2"/>
          <w:sz w:val="32"/>
          <w:szCs w:val="32"/>
          <w:lang w:val="en-US" w:eastAsia="zh-CN"/>
        </w:rPr>
      </w:pPr>
      <w:r>
        <w:rPr>
          <w:rFonts w:hint="default" w:ascii="仿宋" w:hAnsi="仿宋" w:eastAsia="仿宋"/>
          <w:spacing w:val="-2"/>
          <w:sz w:val="32"/>
          <w:szCs w:val="32"/>
          <w:lang w:val="en-US" w:eastAsia="zh-CN"/>
        </w:rPr>
        <w:t>2、项目资金（主要指财政资金）实际使用情况分析。</w:t>
      </w:r>
    </w:p>
    <w:p w14:paraId="2DBED58C">
      <w:pPr>
        <w:widowControl/>
        <w:shd w:val="clear" w:color="auto" w:fill="FFFFFF"/>
        <w:spacing w:line="600" w:lineRule="atLeast"/>
        <w:ind w:firstLine="640"/>
        <w:rPr>
          <w:rFonts w:hint="default" w:ascii="仿宋" w:hAnsi="仿宋" w:eastAsia="仿宋"/>
          <w:spacing w:val="-2"/>
          <w:sz w:val="32"/>
          <w:szCs w:val="32"/>
          <w:lang w:val="en-US" w:eastAsia="zh-CN"/>
        </w:rPr>
      </w:pPr>
      <w:r>
        <w:rPr>
          <w:rFonts w:hint="eastAsia" w:ascii="仿宋" w:hAnsi="仿宋" w:eastAsia="仿宋"/>
          <w:spacing w:val="-2"/>
          <w:sz w:val="32"/>
          <w:szCs w:val="32"/>
          <w:lang w:val="en-US" w:eastAsia="zh-CN"/>
        </w:rPr>
        <w:t>2024年度专项资金实际使用执行率为100%。</w:t>
      </w:r>
    </w:p>
    <w:p w14:paraId="1D04E3C3">
      <w:pPr>
        <w:widowControl/>
        <w:shd w:val="clear" w:color="auto" w:fill="FFFFFF"/>
        <w:spacing w:line="600" w:lineRule="atLeast"/>
        <w:ind w:firstLine="640"/>
        <w:rPr>
          <w:rFonts w:hint="default" w:ascii="仿宋" w:hAnsi="仿宋" w:eastAsia="仿宋"/>
          <w:spacing w:val="-2"/>
          <w:sz w:val="32"/>
          <w:szCs w:val="32"/>
          <w:lang w:val="en-US" w:eastAsia="zh-CN"/>
        </w:rPr>
      </w:pPr>
      <w:r>
        <w:rPr>
          <w:rFonts w:hint="default" w:ascii="仿宋" w:hAnsi="仿宋" w:eastAsia="仿宋"/>
          <w:spacing w:val="-2"/>
          <w:sz w:val="32"/>
          <w:szCs w:val="32"/>
          <w:lang w:val="en-US" w:eastAsia="zh-CN"/>
        </w:rPr>
        <w:t>3、项目资金管理情况分析，主要包括管理制度、办法的制订及执行情况。</w:t>
      </w:r>
    </w:p>
    <w:p w14:paraId="08A28911">
      <w:pPr>
        <w:widowControl/>
        <w:shd w:val="clear" w:color="auto" w:fill="FFFFFF"/>
        <w:spacing w:line="600" w:lineRule="atLeast"/>
        <w:ind w:firstLine="640"/>
        <w:rPr>
          <w:rFonts w:ascii="仿宋" w:hAnsi="仿宋" w:eastAsia="仿宋"/>
          <w:spacing w:val="-2"/>
          <w:sz w:val="32"/>
          <w:szCs w:val="32"/>
        </w:rPr>
      </w:pPr>
      <w:r>
        <w:rPr>
          <w:rFonts w:hint="eastAsia" w:ascii="仿宋" w:hAnsi="仿宋" w:eastAsia="仿宋"/>
          <w:spacing w:val="-2"/>
          <w:sz w:val="32"/>
          <w:szCs w:val="32"/>
          <w:lang w:val="en" w:eastAsia="zh-CN"/>
        </w:rPr>
        <w:t>我们制定专项资金管理制度，分别对专项资金的分配、使用、管理严格按制度执行，支出开会集体审议，确保资金使用公开、公正、科学、高效，专款专用、不被挤占、挪用、借用或随意调整，实行报账制管理等原则执行。</w:t>
      </w:r>
    </w:p>
    <w:p w14:paraId="47AF94BA">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三、项目组织实施情况</w:t>
      </w:r>
    </w:p>
    <w:p w14:paraId="7096748C">
      <w:pPr>
        <w:widowControl/>
        <w:shd w:val="clear" w:color="auto" w:fill="FFFFFF"/>
        <w:spacing w:line="600" w:lineRule="atLeast"/>
        <w:ind w:firstLine="640"/>
        <w:rPr>
          <w:rFonts w:hint="default" w:ascii="仿宋" w:hAnsi="仿宋" w:eastAsia="仿宋" w:cs="Times New Roman"/>
          <w:spacing w:val="-2"/>
          <w:sz w:val="32"/>
          <w:szCs w:val="32"/>
          <w:lang w:val="en-US" w:eastAsia="zh-CN"/>
        </w:rPr>
      </w:pPr>
      <w:r>
        <w:rPr>
          <w:rFonts w:hint="default" w:ascii="仿宋" w:hAnsi="仿宋" w:eastAsia="仿宋" w:cs="Times New Roman"/>
          <w:spacing w:val="-2"/>
          <w:sz w:val="32"/>
          <w:szCs w:val="32"/>
          <w:lang w:val="en-US" w:eastAsia="zh-CN"/>
        </w:rPr>
        <w:t>（一）项目组织情况分析，主要包括项目招投标、调整、竣工验收等情况。</w:t>
      </w:r>
    </w:p>
    <w:p w14:paraId="78D87A0D">
      <w:pPr>
        <w:widowControl/>
        <w:shd w:val="clear" w:color="auto" w:fill="FFFFFF"/>
        <w:spacing w:line="600" w:lineRule="atLeast"/>
        <w:ind w:firstLine="640"/>
        <w:rPr>
          <w:rFonts w:hint="default" w:ascii="仿宋" w:hAnsi="仿宋" w:eastAsia="仿宋" w:cs="Times New Roman"/>
          <w:spacing w:val="-2"/>
          <w:sz w:val="32"/>
          <w:szCs w:val="32"/>
          <w:lang w:val="en-US" w:eastAsia="zh-CN"/>
        </w:rPr>
      </w:pPr>
      <w:r>
        <w:rPr>
          <w:rFonts w:hint="eastAsia" w:ascii="仿宋" w:hAnsi="仿宋" w:eastAsia="仿宋" w:cs="Times New Roman"/>
          <w:spacing w:val="-2"/>
          <w:sz w:val="32"/>
          <w:szCs w:val="32"/>
          <w:lang w:val="en-US" w:eastAsia="zh-CN"/>
        </w:rPr>
        <w:t>我单位遵循专款专用、独立核算的原则，预算专项资金严格按照财政资金管理要求进行申报，财政拨款到位后及时支付。涉及的项目政府采购事项，我单位均严格按照相关要求执行，进行政府采购，同时严格合同签订，做好资金支付审核审批手续。</w:t>
      </w:r>
    </w:p>
    <w:p w14:paraId="4E7AEDC3">
      <w:pPr>
        <w:widowControl/>
        <w:shd w:val="clear" w:color="auto" w:fill="FFFFFF"/>
        <w:spacing w:line="600" w:lineRule="atLeast"/>
        <w:ind w:firstLine="640"/>
        <w:rPr>
          <w:rFonts w:hint="default" w:ascii="仿宋" w:hAnsi="仿宋" w:eastAsia="仿宋" w:cs="Times New Roman"/>
          <w:spacing w:val="-2"/>
          <w:sz w:val="32"/>
          <w:szCs w:val="32"/>
          <w:lang w:val="en-US" w:eastAsia="zh-CN"/>
        </w:rPr>
      </w:pPr>
      <w:r>
        <w:rPr>
          <w:rFonts w:hint="default" w:ascii="仿宋" w:hAnsi="仿宋" w:eastAsia="仿宋" w:cs="Times New Roman"/>
          <w:spacing w:val="-2"/>
          <w:sz w:val="32"/>
          <w:szCs w:val="32"/>
          <w:lang w:val="en-US" w:eastAsia="zh-CN"/>
        </w:rPr>
        <w:t>（二）项目管理情况分析，主要包括项目管理制度建设、日常检查监督管理等情况。</w:t>
      </w:r>
    </w:p>
    <w:p w14:paraId="1A57E8A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eastAsia" w:ascii="仿宋" w:hAnsi="仿宋" w:eastAsia="仿宋" w:cstheme="minorBidi"/>
          <w:spacing w:val="-2"/>
          <w:kern w:val="2"/>
          <w:sz w:val="32"/>
          <w:szCs w:val="32"/>
          <w:lang w:val="en" w:eastAsia="zh-CN" w:bidi="ar-SA"/>
        </w:rPr>
      </w:pPr>
      <w:r>
        <w:rPr>
          <w:rFonts w:hint="eastAsia" w:ascii="仿宋" w:hAnsi="仿宋" w:eastAsia="仿宋" w:cstheme="minorBidi"/>
          <w:spacing w:val="-2"/>
          <w:kern w:val="2"/>
          <w:sz w:val="32"/>
          <w:szCs w:val="32"/>
          <w:lang w:val="en-US" w:eastAsia="zh-CN" w:bidi="ar-SA"/>
        </w:rPr>
        <w:t>1.</w:t>
      </w:r>
      <w:r>
        <w:rPr>
          <w:rFonts w:hint="eastAsia" w:ascii="仿宋" w:hAnsi="仿宋" w:eastAsia="仿宋" w:cstheme="minorBidi"/>
          <w:spacing w:val="-2"/>
          <w:kern w:val="2"/>
          <w:sz w:val="32"/>
          <w:szCs w:val="32"/>
          <w:lang w:val="en" w:eastAsia="zh-CN" w:bidi="ar-SA"/>
        </w:rPr>
        <w:t>项目组织情况分析</w:t>
      </w:r>
    </w:p>
    <w:p w14:paraId="2CA0362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为了加强对项目实施，单位确定各业务、专职干部与相关部门汇报、沟通和衔接，争取更多资金，切实对项目实行跟踪式服务，从项目的联系洽谈、项目跟进、资金投入等环节实行全程专人负责，确保项目落地投产。</w:t>
      </w:r>
    </w:p>
    <w:p w14:paraId="1477EB3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eastAsia" w:ascii="仿宋" w:hAnsi="仿宋" w:eastAsia="仿宋" w:cstheme="minorBidi"/>
          <w:spacing w:val="-2"/>
          <w:kern w:val="2"/>
          <w:sz w:val="32"/>
          <w:szCs w:val="32"/>
          <w:lang w:val="en" w:eastAsia="zh-CN" w:bidi="ar-SA"/>
        </w:rPr>
      </w:pPr>
      <w:r>
        <w:rPr>
          <w:rFonts w:hint="eastAsia" w:ascii="仿宋" w:hAnsi="仿宋" w:eastAsia="仿宋" w:cstheme="minorBidi"/>
          <w:spacing w:val="-2"/>
          <w:kern w:val="2"/>
          <w:sz w:val="32"/>
          <w:szCs w:val="32"/>
          <w:lang w:val="en-US" w:eastAsia="zh-CN" w:bidi="ar-SA"/>
        </w:rPr>
        <w:t>2.</w:t>
      </w:r>
      <w:r>
        <w:rPr>
          <w:rFonts w:hint="eastAsia" w:ascii="仿宋" w:hAnsi="仿宋" w:eastAsia="仿宋" w:cstheme="minorBidi"/>
          <w:spacing w:val="-2"/>
          <w:kern w:val="2"/>
          <w:sz w:val="32"/>
          <w:szCs w:val="32"/>
          <w:lang w:val="en" w:eastAsia="zh-CN" w:bidi="ar-SA"/>
        </w:rPr>
        <w:t>项目管理情况分析</w:t>
      </w:r>
    </w:p>
    <w:p w14:paraId="29F6AE7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为规范、合理、安全、有效使用专项资金，我单位制定了《财务管理制度》等相关制度，专项资金的管理和使用，遵循公开、公平、公正和统筹兼顾、突出重点、讲求效益的原则，确保专项资金使用的规范、安全和高效。为规范项目建设管理，我单位切实对项目实行跟踪式服务，从项目资金的下拨、项目跟进、资金投入等环节设置专门科室负责监督和管理，确保项目的实施和建设。</w:t>
      </w:r>
    </w:p>
    <w:p w14:paraId="6681E124">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四、资产管理情况</w:t>
      </w:r>
    </w:p>
    <w:p w14:paraId="6BEBD0CD">
      <w:pPr>
        <w:widowControl/>
        <w:shd w:val="clear" w:color="auto" w:fill="FFFFFF"/>
        <w:spacing w:line="600" w:lineRule="atLeast"/>
        <w:ind w:firstLine="640"/>
        <w:rPr>
          <w:rFonts w:hint="default" w:ascii="仿宋" w:hAnsi="仿宋" w:eastAsia="仿宋" w:cs="Times New Roman"/>
          <w:spacing w:val="-2"/>
          <w:sz w:val="32"/>
          <w:szCs w:val="32"/>
          <w:lang w:val="en-US" w:eastAsia="zh-CN"/>
        </w:rPr>
      </w:pPr>
      <w:r>
        <w:rPr>
          <w:rFonts w:hint="default" w:ascii="仿宋" w:hAnsi="仿宋" w:eastAsia="仿宋" w:cs="Times New Roman"/>
          <w:spacing w:val="-2"/>
          <w:sz w:val="32"/>
          <w:szCs w:val="32"/>
          <w:lang w:val="en-US" w:eastAsia="zh-CN"/>
        </w:rPr>
        <w:t>反映部门资产的配置、管理、处置等综合情况。包括制度建设、管理措施、配置处置的程序等。</w:t>
      </w:r>
    </w:p>
    <w:p w14:paraId="31734A8F">
      <w:pPr>
        <w:widowControl/>
        <w:shd w:val="clear" w:color="auto" w:fill="FFFFFF"/>
        <w:spacing w:line="600" w:lineRule="atLeast"/>
        <w:ind w:firstLine="640"/>
        <w:rPr>
          <w:rFonts w:hint="eastAsia" w:ascii="仿宋" w:hAnsi="仿宋" w:eastAsia="仿宋" w:cs="Times New Roman"/>
          <w:spacing w:val="-2"/>
          <w:sz w:val="32"/>
          <w:szCs w:val="32"/>
          <w:lang w:val="en" w:eastAsia="zh-CN"/>
        </w:rPr>
      </w:pPr>
      <w:r>
        <w:rPr>
          <w:rFonts w:hint="eastAsia" w:ascii="仿宋" w:hAnsi="仿宋" w:eastAsia="仿宋" w:cs="Times New Roman"/>
          <w:spacing w:val="-2"/>
          <w:sz w:val="32"/>
          <w:szCs w:val="32"/>
          <w:lang w:val="en-US" w:eastAsia="zh-CN"/>
        </w:rPr>
        <w:t>（一）</w:t>
      </w:r>
      <w:r>
        <w:rPr>
          <w:rFonts w:hint="eastAsia" w:ascii="仿宋" w:hAnsi="仿宋" w:eastAsia="仿宋" w:cs="Times New Roman"/>
          <w:spacing w:val="-2"/>
          <w:sz w:val="32"/>
          <w:szCs w:val="32"/>
          <w:lang w:val="en" w:eastAsia="zh-CN"/>
        </w:rPr>
        <w:t>资产管理安全性</w:t>
      </w:r>
    </w:p>
    <w:p w14:paraId="26EEEB08">
      <w:pPr>
        <w:widowControl/>
        <w:shd w:val="clear" w:color="auto" w:fill="FFFFFF"/>
        <w:spacing w:line="600" w:lineRule="atLeast"/>
        <w:ind w:firstLine="640"/>
        <w:rPr>
          <w:rFonts w:hint="eastAsia" w:ascii="仿宋" w:hAnsi="仿宋" w:eastAsia="仿宋" w:cs="Times New Roman"/>
          <w:spacing w:val="-2"/>
          <w:sz w:val="32"/>
          <w:szCs w:val="32"/>
          <w:lang w:val="en" w:eastAsia="zh-CN"/>
        </w:rPr>
      </w:pPr>
      <w:r>
        <w:rPr>
          <w:rFonts w:hint="eastAsia" w:ascii="仿宋" w:hAnsi="仿宋" w:eastAsia="仿宋" w:cs="Times New Roman"/>
          <w:spacing w:val="-2"/>
          <w:sz w:val="32"/>
          <w:szCs w:val="32"/>
          <w:lang w:val="en" w:eastAsia="zh-CN"/>
        </w:rPr>
        <w:t>我单位制定资产管理制度，实行登记造册、专人管理，确保保存完整、使用合规、配置合理、处置规范。</w:t>
      </w:r>
    </w:p>
    <w:p w14:paraId="747C302F">
      <w:pPr>
        <w:widowControl/>
        <w:shd w:val="clear" w:color="auto" w:fill="FFFFFF"/>
        <w:spacing w:line="600" w:lineRule="atLeast"/>
        <w:ind w:firstLine="640"/>
        <w:rPr>
          <w:rFonts w:hint="eastAsia" w:ascii="仿宋" w:hAnsi="仿宋" w:eastAsia="仿宋" w:cs="Times New Roman"/>
          <w:spacing w:val="-2"/>
          <w:sz w:val="32"/>
          <w:szCs w:val="32"/>
          <w:lang w:val="en" w:eastAsia="zh-CN"/>
        </w:rPr>
      </w:pPr>
      <w:r>
        <w:rPr>
          <w:rFonts w:hint="eastAsia" w:ascii="仿宋" w:hAnsi="仿宋" w:eastAsia="仿宋" w:cs="Times New Roman"/>
          <w:spacing w:val="-2"/>
          <w:sz w:val="32"/>
          <w:szCs w:val="32"/>
          <w:lang w:val="en" w:eastAsia="zh-CN"/>
        </w:rPr>
        <w:t>（</w:t>
      </w:r>
      <w:r>
        <w:rPr>
          <w:rFonts w:hint="eastAsia" w:ascii="仿宋" w:hAnsi="仿宋" w:eastAsia="仿宋" w:cs="Times New Roman"/>
          <w:spacing w:val="-2"/>
          <w:sz w:val="32"/>
          <w:szCs w:val="32"/>
          <w:lang w:val="en-US" w:eastAsia="zh-CN"/>
        </w:rPr>
        <w:t>二</w:t>
      </w:r>
      <w:r>
        <w:rPr>
          <w:rFonts w:hint="eastAsia" w:ascii="仿宋" w:hAnsi="仿宋" w:eastAsia="仿宋" w:cs="Times New Roman"/>
          <w:spacing w:val="-2"/>
          <w:sz w:val="32"/>
          <w:szCs w:val="32"/>
          <w:lang w:val="en" w:eastAsia="zh-CN"/>
        </w:rPr>
        <w:t>）固定资产利用率</w:t>
      </w:r>
    </w:p>
    <w:p w14:paraId="636F958E">
      <w:pPr>
        <w:widowControl/>
        <w:shd w:val="clear" w:color="auto" w:fill="FFFFFF"/>
        <w:spacing w:line="600" w:lineRule="atLeast"/>
        <w:ind w:firstLine="640"/>
        <w:rPr>
          <w:rFonts w:hint="default" w:ascii="方正黑体_GBK" w:hAnsi="方正黑体_GBK" w:eastAsia="方正黑体_GBK" w:cs="方正黑体_GBK"/>
          <w:b/>
          <w:bCs/>
          <w:color w:val="auto"/>
          <w:sz w:val="32"/>
          <w:szCs w:val="32"/>
          <w:highlight w:val="none"/>
          <w:lang w:val="en-US" w:eastAsia="zh-CN"/>
        </w:rPr>
      </w:pPr>
      <w:r>
        <w:rPr>
          <w:rFonts w:hint="eastAsia" w:ascii="仿宋" w:hAnsi="仿宋" w:eastAsia="仿宋" w:cs="Times New Roman"/>
          <w:spacing w:val="-2"/>
          <w:sz w:val="32"/>
          <w:szCs w:val="32"/>
          <w:lang w:val="en" w:eastAsia="zh-CN"/>
        </w:rPr>
        <w:t>我单位实有固定资产总额为</w:t>
      </w:r>
      <w:r>
        <w:rPr>
          <w:rFonts w:hint="eastAsia" w:ascii="仿宋" w:hAnsi="仿宋" w:eastAsia="仿宋" w:cs="Times New Roman"/>
          <w:spacing w:val="-2"/>
          <w:sz w:val="32"/>
          <w:szCs w:val="32"/>
          <w:lang w:val="en-US" w:eastAsia="zh-CN"/>
        </w:rPr>
        <w:t>117.86</w:t>
      </w:r>
      <w:r>
        <w:rPr>
          <w:rFonts w:hint="eastAsia" w:ascii="仿宋" w:hAnsi="仿宋" w:eastAsia="仿宋" w:cs="Times New Roman"/>
          <w:spacing w:val="-2"/>
          <w:sz w:val="32"/>
          <w:szCs w:val="32"/>
          <w:lang w:val="en" w:eastAsia="zh-CN"/>
        </w:rPr>
        <w:t>万元，在用固定资产总额为</w:t>
      </w:r>
      <w:r>
        <w:rPr>
          <w:rFonts w:hint="eastAsia" w:ascii="仿宋" w:hAnsi="仿宋" w:eastAsia="仿宋" w:cs="Times New Roman"/>
          <w:spacing w:val="-2"/>
          <w:sz w:val="32"/>
          <w:szCs w:val="32"/>
          <w:lang w:val="en-US" w:eastAsia="zh-CN"/>
        </w:rPr>
        <w:t>117.86</w:t>
      </w:r>
      <w:r>
        <w:rPr>
          <w:rFonts w:hint="eastAsia" w:ascii="仿宋" w:hAnsi="仿宋" w:eastAsia="仿宋" w:cs="Times New Roman"/>
          <w:spacing w:val="-2"/>
          <w:sz w:val="32"/>
          <w:szCs w:val="32"/>
          <w:lang w:val="en" w:eastAsia="zh-CN"/>
        </w:rPr>
        <w:t>万元，占用比例100%。</w:t>
      </w:r>
    </w:p>
    <w:p w14:paraId="7C2AACF1">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五、政府性基金预算支出情况</w:t>
      </w:r>
    </w:p>
    <w:p w14:paraId="009BF024">
      <w:pPr>
        <w:widowControl/>
        <w:shd w:val="clear" w:color="auto" w:fill="FFFFFF"/>
        <w:spacing w:line="600" w:lineRule="atLeast"/>
        <w:ind w:firstLine="640"/>
        <w:rPr>
          <w:rFonts w:hint="default" w:ascii="方正黑体_GBK" w:hAnsi="方正黑体_GBK" w:eastAsia="方正黑体_GBK" w:cs="方正黑体_GBK"/>
          <w:b/>
          <w:bCs/>
          <w:color w:val="auto"/>
          <w:sz w:val="32"/>
          <w:szCs w:val="32"/>
          <w:highlight w:val="none"/>
          <w:lang w:val="en-US" w:eastAsia="zh-CN"/>
        </w:rPr>
      </w:pPr>
      <w:r>
        <w:rPr>
          <w:rFonts w:hint="eastAsia" w:ascii="仿宋" w:hAnsi="仿宋" w:eastAsia="仿宋" w:cs="Times New Roman"/>
          <w:spacing w:val="-2"/>
          <w:sz w:val="32"/>
          <w:szCs w:val="32"/>
          <w:lang w:val="en-US" w:eastAsia="zh-CN"/>
        </w:rPr>
        <w:t>我单位2024年度我单位政府性基金拨款支出</w:t>
      </w:r>
      <w:r>
        <w:rPr>
          <w:rFonts w:hint="eastAsia" w:ascii="仿宋" w:hAnsi="仿宋" w:eastAsia="仿宋"/>
          <w:spacing w:val="-2"/>
          <w:sz w:val="32"/>
          <w:szCs w:val="32"/>
          <w:lang w:val="en-US" w:eastAsia="zh-CN"/>
        </w:rPr>
        <w:t>34,339.13</w:t>
      </w:r>
      <w:r>
        <w:rPr>
          <w:rFonts w:hint="eastAsia" w:ascii="仿宋" w:hAnsi="仿宋" w:eastAsia="仿宋" w:cs="Times New Roman"/>
          <w:spacing w:val="-2"/>
          <w:sz w:val="32"/>
          <w:szCs w:val="32"/>
          <w:lang w:val="en-US" w:eastAsia="zh-CN"/>
        </w:rPr>
        <w:t>万元。</w:t>
      </w:r>
    </w:p>
    <w:p w14:paraId="3488626E">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六、国有资本经营预算支出情况</w:t>
      </w:r>
    </w:p>
    <w:p w14:paraId="627333DE">
      <w:pPr>
        <w:widowControl/>
        <w:shd w:val="clear" w:color="auto" w:fill="FFFFFF"/>
        <w:spacing w:line="600" w:lineRule="atLeast"/>
        <w:ind w:firstLine="640"/>
        <w:rPr>
          <w:rFonts w:hint="eastAsia" w:ascii="仿宋" w:hAnsi="仿宋" w:eastAsia="仿宋" w:cs="Times New Roman"/>
          <w:spacing w:val="-2"/>
          <w:sz w:val="32"/>
          <w:szCs w:val="32"/>
          <w:lang w:val="en-US" w:eastAsia="zh-CN"/>
        </w:rPr>
      </w:pPr>
      <w:r>
        <w:rPr>
          <w:rFonts w:hint="eastAsia" w:ascii="仿宋" w:hAnsi="仿宋" w:eastAsia="仿宋" w:cs="Times New Roman"/>
          <w:spacing w:val="-2"/>
          <w:sz w:val="32"/>
          <w:szCs w:val="32"/>
          <w:lang w:val="en-US" w:eastAsia="zh-CN"/>
        </w:rPr>
        <w:t>我单位2024年度无国有资本经营预算支出。</w:t>
      </w:r>
    </w:p>
    <w:p w14:paraId="3844A895">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七、社会保险基金预算支出情况</w:t>
      </w:r>
    </w:p>
    <w:p w14:paraId="35B84F60">
      <w:pPr>
        <w:widowControl/>
        <w:shd w:val="clear" w:color="auto" w:fill="FFFFFF"/>
        <w:spacing w:line="600" w:lineRule="atLeast"/>
        <w:ind w:firstLine="640"/>
        <w:rPr>
          <w:rFonts w:hint="default" w:ascii="方正黑体_GBK" w:hAnsi="方正黑体_GBK" w:eastAsia="方正黑体_GBK" w:cs="方正黑体_GBK"/>
          <w:b/>
          <w:bCs/>
          <w:color w:val="auto"/>
          <w:sz w:val="32"/>
          <w:szCs w:val="32"/>
          <w:highlight w:val="none"/>
          <w:lang w:val="en-US" w:eastAsia="zh-CN"/>
        </w:rPr>
      </w:pPr>
      <w:r>
        <w:rPr>
          <w:rFonts w:hint="eastAsia" w:ascii="仿宋" w:hAnsi="仿宋" w:eastAsia="仿宋" w:cs="Times New Roman"/>
          <w:spacing w:val="-2"/>
          <w:sz w:val="32"/>
          <w:szCs w:val="32"/>
          <w:lang w:val="en-US" w:eastAsia="zh-CN"/>
        </w:rPr>
        <w:t>我单位2024年度无社会保险基金预算支出。</w:t>
      </w:r>
    </w:p>
    <w:p w14:paraId="387ACBF7">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八、部门整体支出绩效情况</w:t>
      </w:r>
    </w:p>
    <w:p w14:paraId="7C2E6BB1">
      <w:pPr>
        <w:widowControl/>
        <w:shd w:val="clear" w:color="auto" w:fill="FFFFFF"/>
        <w:spacing w:line="600" w:lineRule="atLeast"/>
        <w:ind w:firstLine="640"/>
        <w:rPr>
          <w:rFonts w:hint="eastAsia" w:ascii="仿宋" w:hAnsi="仿宋" w:eastAsia="仿宋" w:cs="Times New Roman"/>
          <w:spacing w:val="-2"/>
          <w:sz w:val="32"/>
          <w:szCs w:val="32"/>
          <w:lang w:val="en-US" w:eastAsia="zh-CN"/>
        </w:rPr>
      </w:pPr>
      <w:r>
        <w:rPr>
          <w:rFonts w:hint="eastAsia" w:ascii="仿宋" w:hAnsi="仿宋" w:eastAsia="仿宋" w:cs="Times New Roman"/>
          <w:spacing w:val="-2"/>
          <w:sz w:val="32"/>
          <w:szCs w:val="32"/>
          <w:lang w:val="en-US" w:eastAsia="zh-CN"/>
        </w:rPr>
        <w:t>（一）综合评价结论。反映自评得分及评价等级。</w:t>
      </w:r>
    </w:p>
    <w:p w14:paraId="7EB69C44">
      <w:pPr>
        <w:widowControl/>
        <w:shd w:val="clear" w:color="auto" w:fill="FFFFFF"/>
        <w:spacing w:line="600" w:lineRule="atLeast"/>
        <w:ind w:firstLine="640"/>
        <w:rPr>
          <w:rFonts w:hint="eastAsia" w:ascii="仿宋" w:hAnsi="仿宋" w:eastAsia="仿宋" w:cs="Times New Roman"/>
          <w:spacing w:val="-2"/>
          <w:sz w:val="32"/>
          <w:szCs w:val="32"/>
          <w:lang w:val="en-US" w:eastAsia="zh-CN"/>
        </w:rPr>
      </w:pPr>
      <w:r>
        <w:rPr>
          <w:rFonts w:hint="eastAsia" w:ascii="仿宋" w:hAnsi="仿宋" w:eastAsia="仿宋" w:cs="Times New Roman"/>
          <w:spacing w:val="-2"/>
          <w:sz w:val="32"/>
          <w:szCs w:val="32"/>
          <w:lang w:val="en-US" w:eastAsia="zh-CN"/>
        </w:rPr>
        <w:t>怀化市土地储备中心2024年认真履职，按年初计划完成了各项工作任务，部门整体支出绩效自评分为100分，自评等级为优。</w:t>
      </w:r>
    </w:p>
    <w:p w14:paraId="042D10BE">
      <w:pPr>
        <w:widowControl/>
        <w:shd w:val="clear" w:color="auto" w:fill="FFFFFF"/>
        <w:spacing w:line="600" w:lineRule="atLeast"/>
        <w:ind w:firstLine="640"/>
        <w:rPr>
          <w:rFonts w:hint="eastAsia" w:ascii="仿宋" w:hAnsi="仿宋" w:eastAsia="仿宋" w:cs="Times New Roman"/>
          <w:spacing w:val="-2"/>
          <w:sz w:val="32"/>
          <w:szCs w:val="32"/>
          <w:lang w:val="en-US" w:eastAsia="zh-CN"/>
        </w:rPr>
      </w:pPr>
      <w:r>
        <w:rPr>
          <w:rFonts w:hint="eastAsia" w:ascii="仿宋" w:hAnsi="仿宋" w:eastAsia="仿宋" w:cs="Times New Roman"/>
          <w:spacing w:val="-2"/>
          <w:sz w:val="32"/>
          <w:szCs w:val="32"/>
          <w:lang w:val="en-US" w:eastAsia="zh-CN"/>
        </w:rPr>
        <w:t>（二）评价指标分析（或综合评价情况）。围绕部门职责、行业发展规划，以预算资金管理为主线，从整体绩效目标设定、预算配置、预算执行、预算管理、资产管理、职责履行、履职效益等方面综合分析。总结归纳本部门"四本预算"支出的绩效目标完成情况，实现产出和取得效益的情况。</w:t>
      </w:r>
    </w:p>
    <w:p w14:paraId="31236CCC">
      <w:pPr>
        <w:widowControl/>
        <w:shd w:val="clear" w:color="auto" w:fill="FFFFFF"/>
        <w:spacing w:line="600" w:lineRule="atLeast"/>
        <w:ind w:firstLine="640"/>
        <w:rPr>
          <w:rFonts w:hint="eastAsia" w:ascii="仿宋" w:hAnsi="仿宋" w:eastAsia="仿宋" w:cs="Times New Roman"/>
          <w:spacing w:val="-2"/>
          <w:sz w:val="32"/>
          <w:szCs w:val="32"/>
          <w:lang w:val="en-US" w:eastAsia="zh-CN"/>
        </w:rPr>
      </w:pPr>
      <w:r>
        <w:rPr>
          <w:rFonts w:hint="eastAsia" w:ascii="仿宋" w:hAnsi="仿宋" w:eastAsia="仿宋" w:cs="Times New Roman"/>
          <w:spacing w:val="-2"/>
          <w:sz w:val="32"/>
          <w:szCs w:val="32"/>
          <w:lang w:val="en-US" w:eastAsia="zh-CN"/>
        </w:rPr>
        <w:t>1.目标设定</w:t>
      </w:r>
    </w:p>
    <w:p w14:paraId="22EACA63">
      <w:pPr>
        <w:widowControl/>
        <w:shd w:val="clear" w:color="auto" w:fill="FFFFFF"/>
        <w:spacing w:line="600" w:lineRule="atLeast"/>
        <w:ind w:firstLine="640"/>
        <w:rPr>
          <w:rFonts w:hint="eastAsia" w:ascii="仿宋" w:hAnsi="仿宋" w:eastAsia="仿宋" w:cs="Times New Roman"/>
          <w:spacing w:val="-2"/>
          <w:sz w:val="32"/>
          <w:szCs w:val="32"/>
          <w:lang w:val="en-US" w:eastAsia="zh-CN"/>
        </w:rPr>
      </w:pPr>
      <w:r>
        <w:rPr>
          <w:rFonts w:hint="eastAsia" w:ascii="仿宋" w:hAnsi="仿宋" w:eastAsia="仿宋" w:cs="Times New Roman"/>
          <w:spacing w:val="-2"/>
          <w:sz w:val="32"/>
          <w:szCs w:val="32"/>
          <w:lang w:val="en-US" w:eastAsia="zh-CN"/>
        </w:rPr>
        <w:t>①绩效目标合理性：本部门设立的整体绩效目标符合国家法律法规、国民经济和社会发展总体规划、符合“三定”方案确定的职责与部门制定的中长期实施规划。根据评价标准该项得满分3分。</w:t>
      </w:r>
    </w:p>
    <w:p w14:paraId="2C75E31C">
      <w:pPr>
        <w:widowControl/>
        <w:shd w:val="clear" w:color="auto" w:fill="FFFFFF"/>
        <w:spacing w:line="600" w:lineRule="atLeast"/>
        <w:ind w:firstLine="640"/>
        <w:rPr>
          <w:rFonts w:hint="eastAsia" w:ascii="仿宋" w:hAnsi="仿宋" w:eastAsia="仿宋" w:cs="Times New Roman"/>
          <w:spacing w:val="-2"/>
          <w:sz w:val="32"/>
          <w:szCs w:val="32"/>
          <w:lang w:val="en-US" w:eastAsia="zh-CN"/>
        </w:rPr>
      </w:pPr>
      <w:r>
        <w:rPr>
          <w:rFonts w:hint="eastAsia" w:ascii="仿宋" w:hAnsi="仿宋" w:eastAsia="仿宋" w:cs="Times New Roman"/>
          <w:spacing w:val="-2"/>
          <w:sz w:val="32"/>
          <w:szCs w:val="32"/>
          <w:lang w:val="en-US" w:eastAsia="zh-CN"/>
        </w:rPr>
        <w:t>②绩效指标明确性：本部门设定的绩效指标清晰、细化、可衡量，与部门年度的任务数相对应，并与本年度部门预算资金相匹配。</w:t>
      </w:r>
    </w:p>
    <w:p w14:paraId="2A1C6B8C">
      <w:pPr>
        <w:widowControl/>
        <w:shd w:val="clear" w:color="auto" w:fill="FFFFFF"/>
        <w:spacing w:line="600" w:lineRule="atLeast"/>
        <w:ind w:firstLine="640"/>
        <w:rPr>
          <w:rFonts w:hint="eastAsia" w:ascii="仿宋" w:hAnsi="仿宋" w:eastAsia="仿宋" w:cs="Times New Roman"/>
          <w:spacing w:val="-2"/>
          <w:sz w:val="32"/>
          <w:szCs w:val="32"/>
          <w:lang w:val="en-US" w:eastAsia="zh-CN"/>
        </w:rPr>
      </w:pPr>
      <w:r>
        <w:rPr>
          <w:rFonts w:hint="eastAsia" w:ascii="仿宋" w:hAnsi="仿宋" w:eastAsia="仿宋" w:cs="Times New Roman"/>
          <w:spacing w:val="-2"/>
          <w:sz w:val="32"/>
          <w:szCs w:val="32"/>
          <w:lang w:val="en-US" w:eastAsia="zh-CN"/>
        </w:rPr>
        <w:t>2.预算配置</w:t>
      </w:r>
    </w:p>
    <w:p w14:paraId="26DEACD8">
      <w:pPr>
        <w:widowControl/>
        <w:shd w:val="clear" w:color="auto" w:fill="FFFFFF"/>
        <w:spacing w:line="600" w:lineRule="atLeast"/>
        <w:ind w:firstLine="640"/>
        <w:rPr>
          <w:rFonts w:hint="eastAsia" w:ascii="仿宋" w:hAnsi="仿宋" w:eastAsia="仿宋" w:cs="Times New Roman"/>
          <w:spacing w:val="-2"/>
          <w:sz w:val="32"/>
          <w:szCs w:val="32"/>
          <w:lang w:val="en-US" w:eastAsia="zh-CN"/>
        </w:rPr>
      </w:pPr>
      <w:r>
        <w:rPr>
          <w:rFonts w:hint="eastAsia" w:ascii="仿宋" w:hAnsi="仿宋" w:eastAsia="仿宋" w:cs="Times New Roman"/>
          <w:spacing w:val="-2"/>
          <w:sz w:val="32"/>
          <w:szCs w:val="32"/>
          <w:lang w:val="en-US" w:eastAsia="zh-CN"/>
        </w:rPr>
        <w:t>截至2024年12月31日我单位事业编制20名，实有在职人数25人，在职人员控制率为125% 。2023年度“三公经费”预算为8万元，2024年度“三公经费”预算为2.50万元，“三公经费”下降68.75%。</w:t>
      </w:r>
    </w:p>
    <w:p w14:paraId="6008686F">
      <w:pPr>
        <w:widowControl/>
        <w:shd w:val="clear" w:color="auto" w:fill="FFFFFF"/>
        <w:spacing w:line="600" w:lineRule="atLeast"/>
        <w:ind w:firstLine="640"/>
        <w:rPr>
          <w:rFonts w:hint="eastAsia" w:ascii="仿宋" w:hAnsi="仿宋" w:eastAsia="仿宋" w:cs="Times New Roman"/>
          <w:spacing w:val="-2"/>
          <w:sz w:val="32"/>
          <w:szCs w:val="32"/>
          <w:lang w:val="en-US" w:eastAsia="zh-CN"/>
        </w:rPr>
      </w:pPr>
      <w:r>
        <w:rPr>
          <w:rFonts w:hint="eastAsia" w:ascii="仿宋" w:hAnsi="仿宋" w:eastAsia="仿宋" w:cs="Times New Roman"/>
          <w:spacing w:val="-2"/>
          <w:sz w:val="32"/>
          <w:szCs w:val="32"/>
          <w:lang w:val="en-US" w:eastAsia="zh-CN"/>
        </w:rPr>
        <w:t>3.预算执行</w:t>
      </w:r>
    </w:p>
    <w:p w14:paraId="1CBE7EC1">
      <w:pPr>
        <w:widowControl/>
        <w:shd w:val="clear" w:color="auto" w:fill="FFFFFF"/>
        <w:spacing w:line="600" w:lineRule="atLeast"/>
        <w:ind w:firstLine="640"/>
        <w:rPr>
          <w:rFonts w:hint="eastAsia" w:ascii="仿宋" w:hAnsi="仿宋" w:eastAsia="仿宋" w:cs="Times New Roman"/>
          <w:spacing w:val="-2"/>
          <w:sz w:val="32"/>
          <w:szCs w:val="32"/>
          <w:lang w:val="en-US" w:eastAsia="zh-CN"/>
        </w:rPr>
      </w:pPr>
      <w:r>
        <w:rPr>
          <w:rFonts w:hint="eastAsia" w:ascii="仿宋" w:hAnsi="仿宋" w:eastAsia="仿宋" w:cs="Times New Roman"/>
          <w:spacing w:val="-2"/>
          <w:sz w:val="32"/>
          <w:szCs w:val="32"/>
          <w:lang w:val="en-US" w:eastAsia="zh-CN"/>
        </w:rPr>
        <w:t>2024年我单位预算数为：总收、支预算</w:t>
      </w:r>
      <w:r>
        <w:rPr>
          <w:rFonts w:hint="eastAsia" w:ascii="仿宋" w:hAnsi="仿宋" w:eastAsia="仿宋"/>
          <w:spacing w:val="-2"/>
          <w:sz w:val="32"/>
          <w:szCs w:val="32"/>
          <w:lang w:val="en-US" w:eastAsia="zh-CN"/>
        </w:rPr>
        <w:t>34,339.13</w:t>
      </w:r>
      <w:r>
        <w:rPr>
          <w:rFonts w:hint="eastAsia" w:ascii="仿宋" w:hAnsi="仿宋" w:eastAsia="仿宋" w:cs="Times New Roman"/>
          <w:spacing w:val="-2"/>
          <w:sz w:val="32"/>
          <w:szCs w:val="32"/>
          <w:lang w:val="en-US" w:eastAsia="zh-CN"/>
        </w:rPr>
        <w:t>元。2024年我单位本年收入</w:t>
      </w:r>
      <w:r>
        <w:rPr>
          <w:rFonts w:hint="eastAsia" w:ascii="仿宋" w:hAnsi="仿宋" w:eastAsia="仿宋"/>
          <w:spacing w:val="-2"/>
          <w:sz w:val="32"/>
          <w:szCs w:val="32"/>
          <w:lang w:val="en-US" w:eastAsia="zh-CN"/>
        </w:rPr>
        <w:t>34,339.13</w:t>
      </w:r>
      <w:r>
        <w:rPr>
          <w:rFonts w:hint="eastAsia" w:ascii="仿宋" w:hAnsi="仿宋" w:eastAsia="仿宋" w:cs="Times New Roman"/>
          <w:spacing w:val="-2"/>
          <w:sz w:val="32"/>
          <w:szCs w:val="32"/>
          <w:lang w:val="en-US" w:eastAsia="zh-CN"/>
        </w:rPr>
        <w:t>万元(全为政府性基金预算财政拨款收入)，本年支出</w:t>
      </w:r>
      <w:r>
        <w:rPr>
          <w:rFonts w:hint="eastAsia" w:ascii="仿宋" w:hAnsi="仿宋" w:eastAsia="仿宋"/>
          <w:spacing w:val="-2"/>
          <w:sz w:val="32"/>
          <w:szCs w:val="32"/>
          <w:lang w:val="en-US" w:eastAsia="zh-CN"/>
        </w:rPr>
        <w:t>34,339.13</w:t>
      </w:r>
      <w:r>
        <w:rPr>
          <w:rFonts w:hint="eastAsia" w:ascii="仿宋" w:hAnsi="仿宋" w:eastAsia="仿宋" w:cs="Times New Roman"/>
          <w:spacing w:val="-2"/>
          <w:sz w:val="32"/>
          <w:szCs w:val="32"/>
          <w:lang w:val="en-US" w:eastAsia="zh-CN"/>
        </w:rPr>
        <w:t>万元。其中基本支出409.99万元，项目支出33,929.14万元。</w:t>
      </w:r>
    </w:p>
    <w:p w14:paraId="2630BF40">
      <w:pPr>
        <w:widowControl/>
        <w:shd w:val="clear" w:color="auto" w:fill="FFFFFF"/>
        <w:spacing w:line="600" w:lineRule="atLeast"/>
        <w:ind w:firstLine="640"/>
        <w:rPr>
          <w:rFonts w:hint="eastAsia" w:ascii="仿宋" w:hAnsi="仿宋" w:eastAsia="仿宋" w:cs="Times New Roman"/>
          <w:spacing w:val="-2"/>
          <w:sz w:val="32"/>
          <w:szCs w:val="32"/>
          <w:lang w:val="en-US" w:eastAsia="zh-CN"/>
        </w:rPr>
      </w:pPr>
      <w:r>
        <w:rPr>
          <w:rFonts w:hint="eastAsia" w:ascii="仿宋" w:hAnsi="仿宋" w:eastAsia="仿宋" w:cs="Times New Roman"/>
          <w:spacing w:val="-2"/>
          <w:sz w:val="32"/>
          <w:szCs w:val="32"/>
          <w:lang w:val="en-US" w:eastAsia="zh-CN"/>
        </w:rPr>
        <w:t>4.预算管理</w:t>
      </w:r>
    </w:p>
    <w:p w14:paraId="26618084">
      <w:pPr>
        <w:widowControl/>
        <w:shd w:val="clear" w:color="auto" w:fill="FFFFFF"/>
        <w:spacing w:line="600" w:lineRule="atLeast"/>
        <w:ind w:firstLine="640"/>
        <w:rPr>
          <w:rFonts w:hint="eastAsia" w:ascii="仿宋" w:hAnsi="仿宋" w:eastAsia="仿宋" w:cs="Times New Roman"/>
          <w:spacing w:val="-2"/>
          <w:sz w:val="32"/>
          <w:szCs w:val="32"/>
          <w:lang w:val="en-US" w:eastAsia="zh-CN"/>
        </w:rPr>
      </w:pPr>
      <w:r>
        <w:rPr>
          <w:rFonts w:hint="eastAsia" w:ascii="仿宋" w:hAnsi="仿宋" w:eastAsia="仿宋" w:cs="Times New Roman"/>
          <w:spacing w:val="-2"/>
          <w:sz w:val="32"/>
          <w:szCs w:val="32"/>
          <w:lang w:val="en-US" w:eastAsia="zh-CN"/>
        </w:rPr>
        <w:t>公用经费支出是指部门基本支出中的一般商品和服务支出，2024年公用经费实际支出为31.22万元，年初预算安排公用经费总额为73.81万元，公用经费控制率为42.29%。</w:t>
      </w:r>
    </w:p>
    <w:p w14:paraId="11FE0BBA">
      <w:pPr>
        <w:widowControl/>
        <w:shd w:val="clear" w:color="auto" w:fill="FFFFFF"/>
        <w:spacing w:line="600" w:lineRule="atLeast"/>
        <w:ind w:firstLine="640"/>
        <w:rPr>
          <w:rFonts w:hint="eastAsia" w:ascii="仿宋" w:hAnsi="仿宋" w:eastAsia="仿宋" w:cs="Times New Roman"/>
          <w:spacing w:val="-2"/>
          <w:sz w:val="32"/>
          <w:szCs w:val="32"/>
          <w:lang w:val="en-US" w:eastAsia="zh-CN"/>
        </w:rPr>
      </w:pPr>
      <w:r>
        <w:rPr>
          <w:rFonts w:hint="eastAsia" w:ascii="仿宋" w:hAnsi="仿宋" w:eastAsia="仿宋" w:cs="Times New Roman"/>
          <w:spacing w:val="-2"/>
          <w:sz w:val="32"/>
          <w:szCs w:val="32"/>
          <w:lang w:val="en-US" w:eastAsia="zh-CN"/>
        </w:rPr>
        <w:t>2024年“三公经费”实际支出数为1.57万元，“三公经费”预算安排数为2.50万元，“三公经费”控制率为62.68%。2024年实际政府采购金额为218.43万元，政府采购预算数为0万元，政府采购执行率为0%。导致政府采购执行率低的主要原因一是一次性采购未达采购限额的零散采购较多，根据相关文件精神不需要政府采购。</w:t>
      </w:r>
    </w:p>
    <w:p w14:paraId="184ACB8E">
      <w:pPr>
        <w:widowControl/>
        <w:shd w:val="clear" w:color="auto" w:fill="FFFFFF"/>
        <w:spacing w:line="600" w:lineRule="atLeast"/>
        <w:ind w:firstLine="640"/>
        <w:rPr>
          <w:rFonts w:hint="eastAsia" w:ascii="仿宋" w:hAnsi="仿宋" w:eastAsia="仿宋" w:cs="Times New Roman"/>
          <w:spacing w:val="-2"/>
          <w:sz w:val="32"/>
          <w:szCs w:val="32"/>
          <w:lang w:val="en-US" w:eastAsia="zh-CN"/>
        </w:rPr>
      </w:pPr>
      <w:r>
        <w:rPr>
          <w:rFonts w:hint="eastAsia" w:ascii="仿宋" w:hAnsi="仿宋" w:eastAsia="仿宋" w:cs="Times New Roman"/>
          <w:spacing w:val="-2"/>
          <w:sz w:val="32"/>
          <w:szCs w:val="32"/>
          <w:lang w:val="en-US" w:eastAsia="zh-CN"/>
        </w:rPr>
        <w:t>我单位在资金使用上，严格遵守各项财经法规和财务管理制度规定，资金拔付有完整的审批程序和手续，支出符合部门预算批复的用途,无截留、挤占、挪用、虚列支出等情况。</w:t>
      </w:r>
    </w:p>
    <w:p w14:paraId="5BE8B2D2">
      <w:pPr>
        <w:widowControl/>
        <w:shd w:val="clear" w:color="auto" w:fill="FFFFFF"/>
        <w:spacing w:line="600" w:lineRule="atLeast"/>
        <w:ind w:firstLine="640"/>
        <w:rPr>
          <w:rFonts w:hint="eastAsia" w:ascii="仿宋" w:hAnsi="仿宋" w:eastAsia="仿宋" w:cs="Times New Roman"/>
          <w:spacing w:val="-2"/>
          <w:sz w:val="32"/>
          <w:szCs w:val="32"/>
          <w:lang w:val="en-US" w:eastAsia="zh-CN"/>
        </w:rPr>
      </w:pPr>
      <w:r>
        <w:rPr>
          <w:rFonts w:hint="eastAsia" w:ascii="仿宋" w:hAnsi="仿宋" w:eastAsia="仿宋" w:cs="Times New Roman"/>
          <w:spacing w:val="-2"/>
          <w:sz w:val="32"/>
          <w:szCs w:val="32"/>
          <w:lang w:val="en-US" w:eastAsia="zh-CN"/>
        </w:rPr>
        <w:t>我单位准时在我市政府门户网站上对2024年部门预算和“三公”经费预算进行了公开，基础数据信息和会计信息资料真实、完整。</w:t>
      </w:r>
    </w:p>
    <w:p w14:paraId="386F1A47">
      <w:pPr>
        <w:widowControl/>
        <w:shd w:val="clear" w:color="auto" w:fill="FFFFFF"/>
        <w:spacing w:line="600" w:lineRule="atLeast"/>
        <w:ind w:firstLine="640"/>
        <w:rPr>
          <w:rFonts w:hint="eastAsia" w:ascii="仿宋" w:hAnsi="仿宋" w:eastAsia="仿宋" w:cs="Times New Roman"/>
          <w:spacing w:val="-2"/>
          <w:sz w:val="32"/>
          <w:szCs w:val="32"/>
          <w:lang w:val="en-US" w:eastAsia="zh-CN"/>
        </w:rPr>
      </w:pPr>
      <w:r>
        <w:rPr>
          <w:rFonts w:hint="eastAsia" w:ascii="仿宋" w:hAnsi="仿宋" w:eastAsia="仿宋" w:cs="Times New Roman"/>
          <w:spacing w:val="-2"/>
          <w:sz w:val="32"/>
          <w:szCs w:val="32"/>
          <w:lang w:val="en-US" w:eastAsia="zh-CN"/>
        </w:rPr>
        <w:t>5.资产管理</w:t>
      </w:r>
    </w:p>
    <w:p w14:paraId="172FAC9F">
      <w:pPr>
        <w:widowControl/>
        <w:shd w:val="clear" w:color="auto" w:fill="FFFFFF"/>
        <w:spacing w:line="600" w:lineRule="atLeast"/>
        <w:ind w:firstLine="640"/>
        <w:rPr>
          <w:rFonts w:hint="eastAsia" w:ascii="仿宋" w:hAnsi="仿宋" w:eastAsia="仿宋" w:cs="Times New Roman"/>
          <w:spacing w:val="-2"/>
          <w:sz w:val="32"/>
          <w:szCs w:val="32"/>
          <w:lang w:val="en-US" w:eastAsia="zh-CN"/>
        </w:rPr>
      </w:pPr>
      <w:r>
        <w:rPr>
          <w:rFonts w:hint="eastAsia" w:ascii="仿宋" w:hAnsi="仿宋" w:eastAsia="仿宋" w:cs="Times New Roman"/>
          <w:spacing w:val="-2"/>
          <w:sz w:val="32"/>
          <w:szCs w:val="32"/>
          <w:lang w:val="en-US" w:eastAsia="zh-CN"/>
        </w:rPr>
        <w:t>为加强资产管理、规范资产管理行为，我单位制定了《国有资产管理办法》，该资产管理制度合法、合规、完整，并得到有效执行。资产保存完整，账务管理合规，账实相符，资产有偿使用及处置收入及时足额上缴。2024年末我单位共有固定资产（净值）2.46万元，在用固定资产（净值）2.46万元，固定资产利用率为100%。达到目标值。</w:t>
      </w:r>
    </w:p>
    <w:p w14:paraId="60214D49">
      <w:pPr>
        <w:widowControl/>
        <w:shd w:val="clear" w:color="auto" w:fill="FFFFFF"/>
        <w:spacing w:line="600" w:lineRule="atLeast"/>
        <w:ind w:firstLine="640"/>
        <w:rPr>
          <w:rFonts w:hint="eastAsia" w:ascii="仿宋" w:hAnsi="仿宋" w:eastAsia="仿宋" w:cs="Times New Roman"/>
          <w:spacing w:val="-2"/>
          <w:sz w:val="32"/>
          <w:szCs w:val="32"/>
          <w:lang w:val="en-US" w:eastAsia="zh-CN"/>
        </w:rPr>
      </w:pPr>
      <w:r>
        <w:rPr>
          <w:rFonts w:hint="eastAsia" w:ascii="仿宋" w:hAnsi="仿宋" w:eastAsia="仿宋" w:cs="Times New Roman"/>
          <w:spacing w:val="-2"/>
          <w:sz w:val="32"/>
          <w:szCs w:val="32"/>
          <w:lang w:val="en-US" w:eastAsia="zh-CN"/>
        </w:rPr>
        <w:t xml:space="preserve">6.职责履行及效益。 </w:t>
      </w:r>
    </w:p>
    <w:p w14:paraId="03488C61">
      <w:pPr>
        <w:widowControl/>
        <w:shd w:val="clear" w:color="auto" w:fill="FFFFFF"/>
        <w:spacing w:line="600" w:lineRule="atLeast"/>
        <w:ind w:firstLine="640"/>
        <w:rPr>
          <w:rFonts w:hint="eastAsia" w:ascii="仿宋" w:hAnsi="仿宋" w:eastAsia="仿宋" w:cs="Times New Roman"/>
          <w:spacing w:val="-2"/>
          <w:sz w:val="32"/>
          <w:szCs w:val="32"/>
          <w:lang w:val="en-US" w:eastAsia="zh-CN"/>
        </w:rPr>
      </w:pPr>
      <w:r>
        <w:rPr>
          <w:rFonts w:hint="eastAsia" w:ascii="仿宋" w:hAnsi="仿宋" w:eastAsia="仿宋" w:cs="Times New Roman"/>
          <w:spacing w:val="-2"/>
          <w:sz w:val="32"/>
          <w:szCs w:val="32"/>
          <w:lang w:val="en-US" w:eastAsia="zh-CN"/>
        </w:rPr>
        <w:t>2024年，在局党组正确领导下，我中心坚持以党的二十大精神为指导，积极发挥土地收储职能，加大土地收储力度。</w:t>
      </w:r>
    </w:p>
    <w:p w14:paraId="7347A3A2">
      <w:pPr>
        <w:widowControl/>
        <w:shd w:val="clear" w:color="auto" w:fill="FFFFFF"/>
        <w:spacing w:line="600" w:lineRule="atLeast"/>
        <w:ind w:firstLine="640"/>
        <w:rPr>
          <w:rFonts w:hint="eastAsia" w:ascii="仿宋" w:hAnsi="仿宋" w:eastAsia="仿宋" w:cs="Times New Roman"/>
          <w:spacing w:val="-2"/>
          <w:sz w:val="32"/>
          <w:szCs w:val="32"/>
          <w:lang w:val="en-US" w:eastAsia="zh-CN"/>
        </w:rPr>
      </w:pPr>
      <w:r>
        <w:rPr>
          <w:rFonts w:hint="eastAsia" w:ascii="仿宋" w:hAnsi="仿宋" w:eastAsia="仿宋" w:cs="Times New Roman"/>
          <w:spacing w:val="-2"/>
          <w:sz w:val="32"/>
          <w:szCs w:val="32"/>
          <w:lang w:val="en-US" w:eastAsia="zh-CN"/>
        </w:rPr>
        <w:t>2024年是土地储备工作面临较大挑战的一年，在房地产经济下行、地方财力吃紧及土地储备资源缩减的情况下，我们通过积极沟通协调，努力克服困难，深挖潜力，截止2024年11月底，新增完成土地出入库81宗，面积约4100亩，其中商住用地46宗，面积约1701亩，招拍挂出让土地30宗，面积1545.68亩，挂牌总价约20.8亿元。</w:t>
      </w:r>
    </w:p>
    <w:p w14:paraId="7943E2D7">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九、存在的问题及原因分析</w:t>
      </w:r>
    </w:p>
    <w:p w14:paraId="0F2F9C9E">
      <w:pPr>
        <w:widowControl/>
        <w:shd w:val="clear" w:color="auto" w:fill="FFFFFF"/>
        <w:spacing w:line="600" w:lineRule="atLeast"/>
        <w:ind w:firstLine="640"/>
        <w:rPr>
          <w:rFonts w:hint="eastAsia" w:ascii="仿宋" w:hAnsi="仿宋" w:eastAsia="仿宋" w:cs="Times New Roman"/>
          <w:spacing w:val="-2"/>
          <w:sz w:val="32"/>
          <w:szCs w:val="32"/>
          <w:lang w:val="en-US" w:eastAsia="zh-CN"/>
        </w:rPr>
      </w:pPr>
      <w:r>
        <w:rPr>
          <w:rFonts w:hint="eastAsia" w:ascii="仿宋" w:hAnsi="仿宋" w:eastAsia="仿宋" w:cs="Times New Roman"/>
          <w:spacing w:val="-2"/>
          <w:sz w:val="32"/>
          <w:szCs w:val="32"/>
          <w:lang w:val="en-US" w:eastAsia="zh-CN"/>
        </w:rPr>
        <w:t>一是绩效评价管理制度尚不健全。还尚未制定相关的管理办法和实施细则，无与实际相结合并具有指导意义的绩效管理工作机制和流程，绩效评价开展缺乏强有力的制度保障。</w:t>
      </w:r>
    </w:p>
    <w:p w14:paraId="0A38EFEC">
      <w:pPr>
        <w:widowControl/>
        <w:shd w:val="clear" w:color="auto" w:fill="FFFFFF"/>
        <w:spacing w:line="600" w:lineRule="atLeast"/>
        <w:ind w:firstLine="640"/>
        <w:rPr>
          <w:rFonts w:hint="eastAsia" w:ascii="仿宋" w:hAnsi="仿宋" w:eastAsia="仿宋" w:cs="Times New Roman"/>
          <w:spacing w:val="-2"/>
          <w:sz w:val="32"/>
          <w:szCs w:val="32"/>
          <w:lang w:val="en-US" w:eastAsia="zh-CN"/>
        </w:rPr>
      </w:pPr>
      <w:r>
        <w:rPr>
          <w:rFonts w:hint="eastAsia" w:ascii="仿宋" w:hAnsi="仿宋" w:eastAsia="仿宋" w:cs="Times New Roman"/>
          <w:spacing w:val="-2"/>
          <w:sz w:val="32"/>
          <w:szCs w:val="32"/>
          <w:lang w:val="en-US" w:eastAsia="zh-CN"/>
        </w:rPr>
        <w:t>二是绩效评价指标体系还不够完善、合理。财政支出的评价对象涉及行业多，项目之间差异性大，真正能体现项目效果的个性指标，在标准设计上存在难度，导致评价内容不够全面，评价数据采集缺少充分的调查分析和严密的逻辑关系，难以满足不同层面和不同性质的绩效评价需求。</w:t>
      </w:r>
    </w:p>
    <w:p w14:paraId="750448D1">
      <w:pPr>
        <w:widowControl/>
        <w:shd w:val="clear" w:color="auto" w:fill="FFFFFF"/>
        <w:spacing w:line="600" w:lineRule="atLeast"/>
        <w:ind w:firstLine="640"/>
        <w:rPr>
          <w:rFonts w:hint="eastAsia" w:ascii="仿宋" w:hAnsi="仿宋" w:eastAsia="仿宋" w:cs="Times New Roman"/>
          <w:spacing w:val="-2"/>
          <w:sz w:val="32"/>
          <w:szCs w:val="32"/>
          <w:lang w:val="en-US" w:eastAsia="zh-CN"/>
        </w:rPr>
      </w:pPr>
      <w:r>
        <w:rPr>
          <w:rFonts w:hint="eastAsia" w:ascii="仿宋" w:hAnsi="仿宋" w:eastAsia="仿宋" w:cs="Times New Roman"/>
          <w:spacing w:val="-2"/>
          <w:sz w:val="32"/>
          <w:szCs w:val="32"/>
          <w:lang w:val="en-US" w:eastAsia="zh-CN"/>
        </w:rPr>
        <w:t>三是对绩效评价工作的认识不够。单位对财务绩效不重视，认为绩效评价只是财务部门的事情，相关项目职责部门配合不够，往往只能提供有限的财经资料或简单的工作计划、工作总结，绩效评价工作资料非常有限，内容粗浅。大多数时候只能借用工作计划，工作总结等作为绩效自评报告的主要内容。</w:t>
      </w:r>
    </w:p>
    <w:p w14:paraId="76394A77">
      <w:pPr>
        <w:widowControl/>
        <w:shd w:val="clear" w:color="auto" w:fill="FFFFFF"/>
        <w:spacing w:line="600" w:lineRule="atLeast"/>
        <w:ind w:firstLine="640"/>
        <w:rPr>
          <w:rFonts w:hint="eastAsia" w:ascii="仿宋" w:hAnsi="仿宋" w:eastAsia="仿宋" w:cs="Times New Roman"/>
          <w:spacing w:val="-2"/>
          <w:sz w:val="32"/>
          <w:szCs w:val="32"/>
          <w:lang w:val="en-US" w:eastAsia="zh-CN"/>
        </w:rPr>
      </w:pPr>
      <w:r>
        <w:rPr>
          <w:rFonts w:hint="eastAsia" w:ascii="仿宋" w:hAnsi="仿宋" w:eastAsia="仿宋" w:cs="Times New Roman"/>
          <w:spacing w:val="-2"/>
          <w:sz w:val="32"/>
          <w:szCs w:val="32"/>
          <w:lang w:val="en-US" w:eastAsia="zh-CN"/>
        </w:rPr>
        <w:t>四是人员素质有待进一步提高。由于预算绩效管理工作开展时间短，涉及面广，专业性强，加上缺乏系统的培训，单位对预算绩效管理理解不充分，对预算绩效管理业务不精通，在一定程度上影响了绩效评价工作质量。</w:t>
      </w:r>
    </w:p>
    <w:p w14:paraId="4F0F7806">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十、下一步改进措施</w:t>
      </w:r>
    </w:p>
    <w:p w14:paraId="0DADD4B0">
      <w:pPr>
        <w:widowControl/>
        <w:shd w:val="clear" w:color="auto" w:fill="FFFFFF"/>
        <w:spacing w:line="600" w:lineRule="atLeast"/>
        <w:ind w:firstLine="640"/>
        <w:rPr>
          <w:rFonts w:hint="eastAsia" w:ascii="仿宋" w:hAnsi="仿宋" w:eastAsia="仿宋" w:cs="Times New Roman"/>
          <w:spacing w:val="-2"/>
          <w:sz w:val="32"/>
          <w:szCs w:val="32"/>
          <w:lang w:val="en-US" w:eastAsia="zh-CN"/>
        </w:rPr>
      </w:pPr>
      <w:r>
        <w:rPr>
          <w:rFonts w:hint="eastAsia" w:ascii="仿宋" w:hAnsi="仿宋" w:eastAsia="仿宋" w:cs="Times New Roman"/>
          <w:spacing w:val="-2"/>
          <w:sz w:val="32"/>
          <w:szCs w:val="32"/>
          <w:lang w:val="en-US" w:eastAsia="zh-CN"/>
        </w:rPr>
        <w:t>一是加强预算管理，科学编制预算。建立合理的资金筹措和运转机制，规范土地储备资金的运营。</w:t>
      </w:r>
    </w:p>
    <w:p w14:paraId="02DC2C56">
      <w:pPr>
        <w:widowControl/>
        <w:shd w:val="clear" w:color="auto" w:fill="FFFFFF"/>
        <w:spacing w:line="600" w:lineRule="atLeast"/>
        <w:ind w:firstLine="640"/>
        <w:rPr>
          <w:rFonts w:hint="eastAsia" w:ascii="仿宋" w:hAnsi="仿宋" w:eastAsia="仿宋" w:cs="Times New Roman"/>
          <w:spacing w:val="-2"/>
          <w:sz w:val="32"/>
          <w:szCs w:val="32"/>
          <w:lang w:val="en-US" w:eastAsia="zh-CN"/>
        </w:rPr>
      </w:pPr>
      <w:r>
        <w:rPr>
          <w:rFonts w:hint="eastAsia" w:ascii="仿宋" w:hAnsi="仿宋" w:eastAsia="仿宋" w:cs="Times New Roman"/>
          <w:spacing w:val="-2"/>
          <w:sz w:val="32"/>
          <w:szCs w:val="32"/>
          <w:lang w:val="en-US" w:eastAsia="zh-CN"/>
        </w:rPr>
        <w:t>二是严格执行部门年度各项计划，确保各项工作顺利进行。根据时间和工作进度完成各项任务，做到各种任务年初有计划、年中有监督、年终有总结，确保各项工作按年初计划有序进行，以确保顺利完成各项任务。</w:t>
      </w:r>
    </w:p>
    <w:p w14:paraId="4C6833AE">
      <w:pPr>
        <w:widowControl/>
        <w:shd w:val="clear" w:color="auto" w:fill="FFFFFF"/>
        <w:spacing w:line="600" w:lineRule="atLeast"/>
        <w:ind w:firstLine="640"/>
        <w:rPr>
          <w:rFonts w:hint="eastAsia" w:ascii="仿宋" w:hAnsi="仿宋" w:eastAsia="仿宋" w:cs="Times New Roman"/>
          <w:spacing w:val="-2"/>
          <w:sz w:val="32"/>
          <w:szCs w:val="32"/>
          <w:lang w:val="en-US" w:eastAsia="zh-CN"/>
        </w:rPr>
      </w:pPr>
      <w:r>
        <w:rPr>
          <w:rFonts w:hint="eastAsia" w:ascii="仿宋" w:hAnsi="仿宋" w:eastAsia="仿宋" w:cs="Times New Roman"/>
          <w:spacing w:val="-2"/>
          <w:sz w:val="32"/>
          <w:szCs w:val="32"/>
          <w:lang w:val="en-US" w:eastAsia="zh-CN"/>
        </w:rPr>
        <w:t>三是加强与各单位的联系和协作，发挥社会参与功能，整合社会资源，优化资源配置，建立监督机制；加强绩效管理力度，建立绩效评价的长期机制。</w:t>
      </w:r>
    </w:p>
    <w:p w14:paraId="6A2EBD79">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十一、绩效自评结果拟应用和公开情况</w:t>
      </w:r>
    </w:p>
    <w:p w14:paraId="538A87D6">
      <w:pPr>
        <w:widowControl/>
        <w:shd w:val="clear" w:color="auto" w:fill="FFFFFF"/>
        <w:spacing w:line="600" w:lineRule="atLeast"/>
        <w:ind w:firstLine="640"/>
        <w:rPr>
          <w:rFonts w:hint="default" w:ascii="仿宋" w:hAnsi="仿宋" w:eastAsia="仿宋" w:cs="Times New Roman"/>
          <w:spacing w:val="-2"/>
          <w:sz w:val="32"/>
          <w:szCs w:val="32"/>
          <w:lang w:val="en-US" w:eastAsia="zh-CN"/>
        </w:rPr>
      </w:pPr>
      <w:r>
        <w:rPr>
          <w:rFonts w:hint="default" w:ascii="仿宋" w:hAnsi="仿宋" w:eastAsia="仿宋" w:cs="Times New Roman"/>
          <w:spacing w:val="-2"/>
          <w:sz w:val="32"/>
          <w:szCs w:val="32"/>
          <w:lang w:val="en-US" w:eastAsia="zh-CN"/>
        </w:rPr>
        <w:t>通过绩效自评结果，对指标完成好的工作要在下一年度继续巩固和加强，对未完成的指标要深入剖析原因，找出症结，在以后工作中完善和改进；利用绩效自评结果，促进我</w:t>
      </w:r>
      <w:r>
        <w:rPr>
          <w:rFonts w:hint="eastAsia" w:ascii="仿宋" w:hAnsi="仿宋" w:eastAsia="仿宋" w:cs="Times New Roman"/>
          <w:spacing w:val="-2"/>
          <w:sz w:val="32"/>
          <w:szCs w:val="32"/>
          <w:lang w:val="en-US" w:eastAsia="zh-CN"/>
        </w:rPr>
        <w:t>单位</w:t>
      </w:r>
      <w:r>
        <w:rPr>
          <w:rFonts w:hint="default" w:ascii="仿宋" w:hAnsi="仿宋" w:eastAsia="仿宋" w:cs="Times New Roman"/>
          <w:spacing w:val="-2"/>
          <w:sz w:val="32"/>
          <w:szCs w:val="32"/>
          <w:lang w:val="en-US" w:eastAsia="zh-CN"/>
        </w:rPr>
        <w:t>各部</w:t>
      </w:r>
      <w:r>
        <w:rPr>
          <w:rFonts w:hint="eastAsia" w:ascii="仿宋" w:hAnsi="仿宋" w:eastAsia="仿宋" w:cs="Times New Roman"/>
          <w:spacing w:val="-2"/>
          <w:sz w:val="32"/>
          <w:szCs w:val="32"/>
          <w:lang w:val="en-US" w:eastAsia="zh-CN"/>
        </w:rPr>
        <w:t>门</w:t>
      </w:r>
      <w:r>
        <w:rPr>
          <w:rFonts w:hint="default" w:ascii="仿宋" w:hAnsi="仿宋" w:eastAsia="仿宋" w:cs="Times New Roman"/>
          <w:spacing w:val="-2"/>
          <w:sz w:val="32"/>
          <w:szCs w:val="32"/>
          <w:lang w:val="en-US" w:eastAsia="zh-CN"/>
        </w:rPr>
        <w:t>增强责任和</w:t>
      </w:r>
      <w:r>
        <w:rPr>
          <w:rFonts w:hint="eastAsia" w:ascii="仿宋" w:hAnsi="仿宋" w:eastAsia="仿宋" w:cs="Times New Roman"/>
          <w:spacing w:val="-2"/>
          <w:sz w:val="32"/>
          <w:szCs w:val="32"/>
          <w:lang w:val="en-US" w:eastAsia="zh-CN"/>
        </w:rPr>
        <w:t>社会</w:t>
      </w:r>
      <w:r>
        <w:rPr>
          <w:rFonts w:hint="default" w:ascii="仿宋" w:hAnsi="仿宋" w:eastAsia="仿宋" w:cs="Times New Roman"/>
          <w:spacing w:val="-2"/>
          <w:sz w:val="32"/>
          <w:szCs w:val="32"/>
          <w:lang w:val="en-US" w:eastAsia="zh-CN"/>
        </w:rPr>
        <w:t>观念，提高财政资金支出决策水平和管理水平。</w:t>
      </w:r>
    </w:p>
    <w:p w14:paraId="449A0788">
      <w:pPr>
        <w:widowControl/>
        <w:shd w:val="clear" w:color="auto" w:fill="FFFFFF"/>
        <w:spacing w:line="600" w:lineRule="atLeast"/>
        <w:ind w:firstLine="640"/>
        <w:rPr>
          <w:rFonts w:hint="default" w:ascii="仿宋" w:hAnsi="仿宋" w:eastAsia="仿宋" w:cs="Times New Roman"/>
          <w:spacing w:val="-2"/>
          <w:sz w:val="32"/>
          <w:szCs w:val="32"/>
          <w:lang w:val="en-US" w:eastAsia="zh-CN"/>
        </w:rPr>
      </w:pPr>
      <w:r>
        <w:rPr>
          <w:rFonts w:hint="default" w:ascii="仿宋" w:hAnsi="仿宋" w:eastAsia="仿宋" w:cs="Times New Roman"/>
          <w:spacing w:val="-2"/>
          <w:sz w:val="32"/>
          <w:szCs w:val="32"/>
          <w:lang w:val="en-US" w:eastAsia="zh-CN"/>
        </w:rPr>
        <w:t>拟用于作为下一年度预算编制的参考依据，绩效自评结果按照财政要求及时公开。</w:t>
      </w:r>
    </w:p>
    <w:p w14:paraId="0D944C4B">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十二、其他需要说明的情况</w:t>
      </w:r>
    </w:p>
    <w:p w14:paraId="60840FA4">
      <w:pPr>
        <w:widowControl/>
        <w:shd w:val="clear" w:color="auto" w:fill="FFFFFF"/>
        <w:spacing w:line="600" w:lineRule="atLeast"/>
        <w:ind w:firstLine="640"/>
        <w:rPr>
          <w:rFonts w:hint="default" w:ascii="仿宋" w:hAnsi="仿宋" w:eastAsia="仿宋" w:cs="Times New Roman"/>
          <w:spacing w:val="-2"/>
          <w:sz w:val="32"/>
          <w:szCs w:val="32"/>
          <w:lang w:val="en-US" w:eastAsia="zh-CN"/>
        </w:rPr>
      </w:pPr>
      <w:r>
        <w:rPr>
          <w:rFonts w:hint="eastAsia" w:ascii="仿宋" w:hAnsi="仿宋" w:eastAsia="仿宋" w:cs="Times New Roman"/>
          <w:spacing w:val="-2"/>
          <w:sz w:val="32"/>
          <w:szCs w:val="32"/>
          <w:lang w:val="en-US" w:eastAsia="zh-CN"/>
        </w:rPr>
        <w:t>无</w:t>
      </w:r>
    </w:p>
    <w:p w14:paraId="0F19B5B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p>
    <w:p w14:paraId="77F64B7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p>
    <w:p w14:paraId="458B4AE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p>
    <w:p w14:paraId="0B257E3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整体支出报告需要以下附件：</w:t>
      </w:r>
    </w:p>
    <w:p w14:paraId="28AC6E9C">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1.部门整体支出绩效评价基础数据表</w:t>
      </w:r>
    </w:p>
    <w:p w14:paraId="54EE272C">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2.部门整体支出绩效自评表</w:t>
      </w:r>
    </w:p>
    <w:p w14:paraId="70DDFBE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3.项目支出绩效自评表（每个一级项目支出一张表）</w:t>
      </w:r>
    </w:p>
    <w:p w14:paraId="095B56B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如有政府性基金预算、国有资本经营预算和社会保险基金预算支出，还需对应提供以下附件：</w:t>
      </w:r>
    </w:p>
    <w:p w14:paraId="55D4652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、政府性基金预算支出情况表</w:t>
      </w:r>
    </w:p>
    <w:p w14:paraId="4873301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5</w:t>
      </w:r>
      <w:r>
        <w:rPr>
          <w:rFonts w:hint="default" w:ascii="Times New Roman Regular" w:hAnsi="Times New Roman Regular" w:eastAsia="仿宋_GB2312" w:cs="Times New Roman Regular"/>
          <w:color w:val="auto"/>
          <w:sz w:val="32"/>
          <w:szCs w:val="32"/>
          <w:highlight w:val="none"/>
          <w:lang w:val="en-US" w:eastAsia="zh-CN"/>
        </w:rPr>
        <w:t>、国有资本经营预算支出情况表</w:t>
      </w:r>
    </w:p>
    <w:p w14:paraId="2708525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6</w:t>
      </w:r>
      <w:r>
        <w:rPr>
          <w:rFonts w:hint="default" w:ascii="Times New Roman Regular" w:hAnsi="Times New Roman Regular" w:eastAsia="仿宋_GB2312" w:cs="Times New Roman Regular"/>
          <w:color w:val="auto"/>
          <w:sz w:val="32"/>
          <w:szCs w:val="32"/>
          <w:highlight w:val="none"/>
          <w:lang w:val="en-US" w:eastAsia="zh-CN"/>
        </w:rPr>
        <w:t>、社会保险基金预算支出情况表</w:t>
      </w:r>
    </w:p>
    <w:p w14:paraId="3DF1271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7F2BC80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09DEFBA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52D0A44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31A5B22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4496CFB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76D512F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120C1DB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33CBECD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6ACF75E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304C529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1ED6F10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4CE3341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2637B6E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3C1A37A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2D88E05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0DC6D60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2C0AEFD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2A101D1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10E20C2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1743A1B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33BC5EF8">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r>
        <w:rPr>
          <w:rFonts w:hint="default" w:ascii="方正小标宋_GBK" w:hAnsi="方正小标宋_GBK" w:eastAsia="方正小标宋_GBK" w:cs="方正小标宋_GBK"/>
          <w:i w:val="0"/>
          <w:iCs w:val="0"/>
          <w:caps w:val="0"/>
          <w:color w:val="000000"/>
          <w:spacing w:val="0"/>
          <w:kern w:val="0"/>
          <w:sz w:val="24"/>
          <w:szCs w:val="24"/>
          <w:shd w:val="clear" w:fill="FFFFFF"/>
          <w:lang w:val="en-US" w:eastAsia="zh-CN" w:bidi="ar"/>
        </w:rPr>
        <w:t>附件</w:t>
      </w:r>
      <w:r>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t>6</w:t>
      </w:r>
    </w:p>
    <w:p w14:paraId="1868A4E9">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方正小标宋_GBK" w:hAnsi="方正小标宋_GBK" w:eastAsia="方正小标宋_GBK" w:cs="方正小标宋_GBK"/>
          <w:i w:val="0"/>
          <w:iCs w:val="0"/>
          <w:caps w:val="0"/>
          <w:color w:val="000000"/>
          <w:spacing w:val="0"/>
          <w:kern w:val="0"/>
          <w:sz w:val="40"/>
          <w:szCs w:val="40"/>
          <w:shd w:val="clear" w:fill="FFFFFF"/>
          <w:lang w:val="en-US" w:eastAsia="zh-CN" w:bidi="ar"/>
        </w:rPr>
      </w:pPr>
      <w:r>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t>怀化市土地储备中心</w:t>
      </w:r>
      <w:r>
        <w:rPr>
          <w:rFonts w:hint="eastAsia" w:ascii="方正小标宋_GBK" w:hAnsi="方正小标宋_GBK" w:eastAsia="方正小标宋_GBK" w:cs="方正小标宋_GBK"/>
          <w:i w:val="0"/>
          <w:iCs w:val="0"/>
          <w:caps w:val="0"/>
          <w:color w:val="000000"/>
          <w:spacing w:val="0"/>
          <w:kern w:val="0"/>
          <w:sz w:val="40"/>
          <w:szCs w:val="40"/>
          <w:shd w:val="clear" w:fill="FFFFFF"/>
          <w:lang w:val="en-US" w:eastAsia="zh-CN" w:bidi="ar"/>
        </w:rPr>
        <w:t>2024</w:t>
      </w:r>
      <w:r>
        <w:rPr>
          <w:rFonts w:hint="default" w:ascii="方正小标宋_GBK" w:hAnsi="方正小标宋_GBK" w:eastAsia="方正小标宋_GBK" w:cs="方正小标宋_GBK"/>
          <w:i w:val="0"/>
          <w:iCs w:val="0"/>
          <w:caps w:val="0"/>
          <w:color w:val="000000"/>
          <w:spacing w:val="0"/>
          <w:kern w:val="0"/>
          <w:sz w:val="40"/>
          <w:szCs w:val="40"/>
          <w:shd w:val="clear" w:fill="FFFFFF"/>
          <w:lang w:val="en-US" w:eastAsia="zh-CN" w:bidi="ar"/>
        </w:rPr>
        <w:t>年度</w:t>
      </w:r>
      <w:r>
        <w:rPr>
          <w:rFonts w:hint="eastAsia" w:ascii="方正小标宋_GBK" w:hAnsi="方正小标宋_GBK" w:eastAsia="方正小标宋_GBK" w:cs="方正小标宋_GBK"/>
          <w:i w:val="0"/>
          <w:iCs w:val="0"/>
          <w:caps w:val="0"/>
          <w:color w:val="000000"/>
          <w:spacing w:val="0"/>
          <w:kern w:val="0"/>
          <w:sz w:val="40"/>
          <w:szCs w:val="40"/>
          <w:shd w:val="clear" w:fill="FFFFFF"/>
          <w:lang w:val="en-US" w:eastAsia="zh-CN" w:bidi="ar"/>
        </w:rPr>
        <w:t>土地储备</w:t>
      </w:r>
    </w:p>
    <w:p w14:paraId="2E4394E7">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default" w:ascii="方正小标宋_GBK" w:hAnsi="方正小标宋_GBK" w:eastAsia="方正小标宋_GBK" w:cs="方正小标宋_GBK"/>
          <w:i w:val="0"/>
          <w:iCs w:val="0"/>
          <w:caps w:val="0"/>
          <w:color w:val="000000"/>
          <w:spacing w:val="0"/>
          <w:kern w:val="0"/>
          <w:sz w:val="40"/>
          <w:szCs w:val="40"/>
          <w:shd w:val="clear" w:fill="FFFFFF"/>
          <w:lang w:val="en-US" w:eastAsia="zh-CN" w:bidi="ar"/>
        </w:rPr>
      </w:pPr>
      <w:r>
        <w:rPr>
          <w:rFonts w:hint="default" w:ascii="方正小标宋_GBK" w:hAnsi="方正小标宋_GBK" w:eastAsia="方正小标宋_GBK" w:cs="方正小标宋_GBK"/>
          <w:i w:val="0"/>
          <w:iCs w:val="0"/>
          <w:caps w:val="0"/>
          <w:color w:val="000000"/>
          <w:spacing w:val="0"/>
          <w:kern w:val="0"/>
          <w:sz w:val="40"/>
          <w:szCs w:val="40"/>
          <w:shd w:val="clear" w:fill="FFFFFF"/>
          <w:lang w:val="en-US" w:eastAsia="zh-CN" w:bidi="ar"/>
        </w:rPr>
        <w:t>项目支出绩效自评报告</w:t>
      </w:r>
    </w:p>
    <w:p w14:paraId="0A0949DA">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方正黑体_GBK" w:hAnsi="方正黑体_GBK" w:eastAsia="方正黑体_GBK" w:cs="方正黑体_GBK"/>
          <w:b/>
          <w:bCs/>
          <w:color w:val="auto"/>
          <w:sz w:val="32"/>
          <w:szCs w:val="32"/>
          <w:highlight w:val="none"/>
          <w:lang w:val="en-US" w:eastAsia="zh-CN"/>
        </w:rPr>
      </w:pPr>
    </w:p>
    <w:p w14:paraId="01EFDAD2">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一、</w:t>
      </w:r>
      <w:r>
        <w:rPr>
          <w:rFonts w:hint="default" w:ascii="方正黑体_GBK" w:hAnsi="方正黑体_GBK" w:eastAsia="方正黑体_GBK" w:cs="方正黑体_GBK"/>
          <w:b/>
          <w:bCs/>
          <w:color w:val="auto"/>
          <w:sz w:val="32"/>
          <w:szCs w:val="32"/>
          <w:highlight w:val="none"/>
          <w:lang w:val="en-US" w:eastAsia="zh-CN"/>
        </w:rPr>
        <w:t>项目概况</w:t>
      </w:r>
    </w:p>
    <w:p w14:paraId="38D42ADF">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（一）</w:t>
      </w:r>
      <w:r>
        <w:rPr>
          <w:rFonts w:hint="default" w:ascii="Times New Roman Regular" w:hAnsi="Times New Roman Regular" w:eastAsia="仿宋_GB2312" w:cs="Times New Roman Regular"/>
          <w:b/>
          <w:bCs/>
          <w:color w:val="auto"/>
          <w:sz w:val="28"/>
          <w:szCs w:val="28"/>
          <w:highlight w:val="none"/>
          <w:lang w:val="en-US" w:eastAsia="zh-CN"/>
        </w:rPr>
        <w:t>项目基本情况</w:t>
      </w:r>
    </w:p>
    <w:p w14:paraId="2ADDF441">
      <w:pPr>
        <w:keepNext w:val="0"/>
        <w:keepLines w:val="0"/>
        <w:pageBreakBefore w:val="0"/>
        <w:widowControl/>
        <w:shd w:val="clear" w:color="auto" w:fill="FFFFFF"/>
        <w:kinsoku/>
        <w:wordWrap/>
        <w:overflowPunct/>
        <w:topLinePunct w:val="0"/>
        <w:autoSpaceDE/>
        <w:autoSpaceDN/>
        <w:bidi w:val="0"/>
        <w:adjustRightInd/>
        <w:snapToGrid/>
        <w:spacing w:line="600" w:lineRule="atLeast"/>
        <w:ind w:firstLine="632" w:firstLineChars="200"/>
        <w:textAlignment w:val="auto"/>
        <w:rPr>
          <w:rFonts w:hint="default" w:ascii="仿宋" w:hAnsi="仿宋" w:eastAsia="仿宋" w:cs="Times New Roman"/>
          <w:spacing w:val="-2"/>
          <w:sz w:val="32"/>
          <w:szCs w:val="32"/>
          <w:lang w:val="en-US" w:eastAsia="zh-CN"/>
        </w:rPr>
      </w:pPr>
      <w:r>
        <w:rPr>
          <w:rFonts w:hint="eastAsia" w:ascii="仿宋" w:hAnsi="仿宋" w:eastAsia="仿宋" w:cs="Times New Roman"/>
          <w:spacing w:val="-2"/>
          <w:sz w:val="32"/>
          <w:szCs w:val="32"/>
          <w:lang w:val="en-US" w:eastAsia="zh-CN"/>
        </w:rPr>
        <w:t>1.</w:t>
      </w:r>
      <w:r>
        <w:rPr>
          <w:rFonts w:hint="default" w:ascii="仿宋" w:hAnsi="仿宋" w:eastAsia="仿宋" w:cs="Times New Roman"/>
          <w:spacing w:val="-2"/>
          <w:sz w:val="32"/>
          <w:szCs w:val="32"/>
          <w:lang w:val="en-US" w:eastAsia="zh-CN"/>
        </w:rPr>
        <w:t>说明项目主管部门在该项目管理中的职能。</w:t>
      </w:r>
    </w:p>
    <w:p w14:paraId="688361F1">
      <w:pPr>
        <w:keepNext w:val="0"/>
        <w:keepLines w:val="0"/>
        <w:pageBreakBefore w:val="0"/>
        <w:widowControl/>
        <w:shd w:val="clear" w:color="auto" w:fill="FFFFFF"/>
        <w:kinsoku/>
        <w:wordWrap/>
        <w:overflowPunct/>
        <w:topLinePunct w:val="0"/>
        <w:autoSpaceDE/>
        <w:autoSpaceDN/>
        <w:bidi w:val="0"/>
        <w:adjustRightInd/>
        <w:snapToGrid/>
        <w:spacing w:line="600" w:lineRule="atLeast"/>
        <w:ind w:firstLine="632" w:firstLineChars="200"/>
        <w:textAlignment w:val="auto"/>
        <w:rPr>
          <w:rFonts w:hint="default" w:ascii="仿宋" w:hAnsi="仿宋" w:eastAsia="仿宋" w:cs="Times New Roman"/>
          <w:spacing w:val="-2"/>
          <w:sz w:val="32"/>
          <w:szCs w:val="32"/>
          <w:lang w:val="en-US" w:eastAsia="zh-CN"/>
        </w:rPr>
      </w:pPr>
      <w:r>
        <w:rPr>
          <w:rFonts w:hint="eastAsia" w:ascii="仿宋" w:hAnsi="仿宋" w:eastAsia="仿宋" w:cs="Times New Roman"/>
          <w:spacing w:val="-2"/>
          <w:sz w:val="32"/>
          <w:szCs w:val="32"/>
          <w:lang w:val="en-US" w:eastAsia="zh-CN"/>
        </w:rPr>
        <w:t>怀化市自然资源和规划局</w:t>
      </w:r>
      <w:r>
        <w:rPr>
          <w:rFonts w:hint="default" w:ascii="仿宋" w:hAnsi="仿宋" w:eastAsia="仿宋" w:cs="Times New Roman"/>
          <w:spacing w:val="-2"/>
          <w:sz w:val="32"/>
          <w:szCs w:val="32"/>
          <w:lang w:val="en-US" w:eastAsia="zh-CN"/>
        </w:rPr>
        <w:t>在整个项目实施的过程中附有审批、监管的职能职责。</w:t>
      </w:r>
    </w:p>
    <w:p w14:paraId="70679466">
      <w:pPr>
        <w:keepNext w:val="0"/>
        <w:keepLines w:val="0"/>
        <w:pageBreakBefore w:val="0"/>
        <w:widowControl/>
        <w:shd w:val="clear" w:color="auto" w:fill="FFFFFF"/>
        <w:kinsoku/>
        <w:wordWrap/>
        <w:overflowPunct/>
        <w:topLinePunct w:val="0"/>
        <w:autoSpaceDE/>
        <w:autoSpaceDN/>
        <w:bidi w:val="0"/>
        <w:adjustRightInd/>
        <w:snapToGrid/>
        <w:spacing w:line="600" w:lineRule="atLeast"/>
        <w:ind w:firstLine="632" w:firstLineChars="200"/>
        <w:textAlignment w:val="auto"/>
        <w:rPr>
          <w:rFonts w:hint="default" w:ascii="仿宋" w:hAnsi="仿宋" w:eastAsia="仿宋" w:cs="Times New Roman"/>
          <w:spacing w:val="-2"/>
          <w:sz w:val="32"/>
          <w:szCs w:val="32"/>
          <w:lang w:val="en-US" w:eastAsia="zh-CN"/>
        </w:rPr>
      </w:pPr>
      <w:r>
        <w:rPr>
          <w:rFonts w:hint="eastAsia" w:ascii="仿宋" w:hAnsi="仿宋" w:eastAsia="仿宋" w:cs="Times New Roman"/>
          <w:spacing w:val="-2"/>
          <w:sz w:val="32"/>
          <w:szCs w:val="32"/>
          <w:lang w:val="en-US" w:eastAsia="zh-CN"/>
        </w:rPr>
        <w:t>2.</w:t>
      </w:r>
      <w:r>
        <w:rPr>
          <w:rFonts w:hint="default" w:ascii="仿宋" w:hAnsi="仿宋" w:eastAsia="仿宋" w:cs="Times New Roman"/>
          <w:spacing w:val="-2"/>
          <w:sz w:val="32"/>
          <w:szCs w:val="32"/>
          <w:lang w:val="en-US" w:eastAsia="zh-CN"/>
        </w:rPr>
        <w:t>项目立项、资金申报的依据。</w:t>
      </w:r>
    </w:p>
    <w:p w14:paraId="3A01ED6C">
      <w:pPr>
        <w:keepNext w:val="0"/>
        <w:keepLines w:val="0"/>
        <w:pageBreakBefore w:val="0"/>
        <w:widowControl/>
        <w:shd w:val="clear" w:color="auto" w:fill="FFFFFF"/>
        <w:kinsoku/>
        <w:wordWrap/>
        <w:overflowPunct/>
        <w:topLinePunct w:val="0"/>
        <w:autoSpaceDE/>
        <w:autoSpaceDN/>
        <w:bidi w:val="0"/>
        <w:adjustRightInd/>
        <w:snapToGrid/>
        <w:spacing w:line="600" w:lineRule="atLeast"/>
        <w:ind w:firstLine="632" w:firstLineChars="200"/>
        <w:textAlignment w:val="auto"/>
        <w:rPr>
          <w:rFonts w:hint="eastAsia" w:ascii="仿宋" w:hAnsi="仿宋" w:eastAsia="仿宋" w:cs="Times New Roman"/>
          <w:spacing w:val="-2"/>
          <w:sz w:val="32"/>
          <w:szCs w:val="32"/>
          <w:lang w:val="en-US" w:eastAsia="zh-CN"/>
        </w:rPr>
      </w:pPr>
      <w:r>
        <w:rPr>
          <w:rFonts w:hint="eastAsia" w:ascii="仿宋" w:hAnsi="仿宋" w:eastAsia="仿宋" w:cs="Times New Roman"/>
          <w:spacing w:val="-2"/>
          <w:sz w:val="32"/>
          <w:szCs w:val="32"/>
          <w:lang w:val="en-US" w:eastAsia="zh-CN"/>
        </w:rPr>
        <w:t>《湖南省国有土地使用权出让收支管理办法》（湘政办发〔2015〕1号）、《土地储备资金财务管理办法》</w:t>
      </w:r>
    </w:p>
    <w:p w14:paraId="36C16D73">
      <w:pPr>
        <w:keepNext w:val="0"/>
        <w:keepLines w:val="0"/>
        <w:pageBreakBefore w:val="0"/>
        <w:widowControl/>
        <w:shd w:val="clear" w:color="auto" w:fill="FFFFFF"/>
        <w:kinsoku/>
        <w:wordWrap/>
        <w:overflowPunct/>
        <w:topLinePunct w:val="0"/>
        <w:autoSpaceDE/>
        <w:autoSpaceDN/>
        <w:bidi w:val="0"/>
        <w:adjustRightInd/>
        <w:snapToGrid/>
        <w:spacing w:line="600" w:lineRule="atLeast"/>
        <w:ind w:firstLine="632" w:firstLineChars="200"/>
        <w:textAlignment w:val="auto"/>
        <w:rPr>
          <w:rFonts w:hint="default" w:ascii="仿宋" w:hAnsi="仿宋" w:eastAsia="仿宋" w:cs="Times New Roman"/>
          <w:spacing w:val="-2"/>
          <w:sz w:val="32"/>
          <w:szCs w:val="32"/>
          <w:lang w:val="en-US" w:eastAsia="zh-CN"/>
        </w:rPr>
      </w:pPr>
      <w:r>
        <w:rPr>
          <w:rFonts w:hint="eastAsia" w:ascii="仿宋" w:hAnsi="仿宋" w:eastAsia="仿宋" w:cs="Times New Roman"/>
          <w:spacing w:val="-2"/>
          <w:sz w:val="32"/>
          <w:szCs w:val="32"/>
          <w:lang w:val="en-US" w:eastAsia="zh-CN"/>
        </w:rPr>
        <w:t>3.</w:t>
      </w:r>
      <w:r>
        <w:rPr>
          <w:rFonts w:hint="default" w:ascii="仿宋" w:hAnsi="仿宋" w:eastAsia="仿宋" w:cs="Times New Roman"/>
          <w:spacing w:val="-2"/>
          <w:sz w:val="32"/>
          <w:szCs w:val="32"/>
          <w:lang w:val="en-US" w:eastAsia="zh-CN"/>
        </w:rPr>
        <w:t>资金管理办法制定情况,资金支持具体项目的条件、范围与支持方式概况。</w:t>
      </w:r>
    </w:p>
    <w:p w14:paraId="506B14E1">
      <w:pPr>
        <w:keepNext w:val="0"/>
        <w:keepLines w:val="0"/>
        <w:pageBreakBefore w:val="0"/>
        <w:widowControl/>
        <w:shd w:val="clear" w:color="auto" w:fill="FFFFFF"/>
        <w:kinsoku/>
        <w:wordWrap/>
        <w:overflowPunct/>
        <w:topLinePunct w:val="0"/>
        <w:autoSpaceDE/>
        <w:autoSpaceDN/>
        <w:bidi w:val="0"/>
        <w:adjustRightInd/>
        <w:snapToGrid/>
        <w:spacing w:line="600" w:lineRule="atLeast"/>
        <w:ind w:firstLine="632"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仿宋" w:hAnsi="仿宋" w:eastAsia="仿宋" w:cs="Times New Roman"/>
          <w:spacing w:val="-2"/>
          <w:sz w:val="32"/>
          <w:szCs w:val="32"/>
          <w:lang w:val="en-US" w:eastAsia="zh-CN"/>
        </w:rPr>
        <w:t>按照资金管理办法要求，严格执行相关法律法规、财务规章制度，制定了单位财务管理制度、内部控制制度。严格执行项目资金管理办法和财务管理制度。项目资金支付专户管理、专项核算、专款专用和市财政局国库集中拨付，财务处理和会计核算真实、完整、及时、规范。</w:t>
      </w:r>
    </w:p>
    <w:p w14:paraId="48210A12">
      <w:pPr>
        <w:keepNext w:val="0"/>
        <w:keepLines w:val="0"/>
        <w:pageBreakBefore w:val="0"/>
        <w:widowControl/>
        <w:shd w:val="clear" w:color="auto" w:fill="FFFFFF"/>
        <w:kinsoku/>
        <w:wordWrap/>
        <w:overflowPunct/>
        <w:topLinePunct w:val="0"/>
        <w:autoSpaceDE/>
        <w:autoSpaceDN/>
        <w:bidi w:val="0"/>
        <w:adjustRightInd/>
        <w:snapToGrid/>
        <w:spacing w:line="600" w:lineRule="atLeast"/>
        <w:ind w:firstLine="632" w:firstLineChars="200"/>
        <w:textAlignment w:val="auto"/>
        <w:rPr>
          <w:rFonts w:hint="eastAsia" w:ascii="仿宋" w:hAnsi="仿宋" w:eastAsia="仿宋" w:cs="Times New Roman"/>
          <w:spacing w:val="-2"/>
          <w:sz w:val="32"/>
          <w:szCs w:val="32"/>
          <w:lang w:val="en-US" w:eastAsia="zh-CN"/>
        </w:rPr>
      </w:pPr>
      <w:r>
        <w:rPr>
          <w:rFonts w:hint="default" w:ascii="仿宋" w:hAnsi="仿宋" w:eastAsia="仿宋" w:cs="Times New Roman"/>
          <w:spacing w:val="-2"/>
          <w:sz w:val="32"/>
          <w:szCs w:val="32"/>
          <w:lang w:val="en-US" w:eastAsia="zh-CN"/>
        </w:rPr>
        <w:t>项目资金支出范围</w:t>
      </w:r>
      <w:r>
        <w:rPr>
          <w:rFonts w:hint="eastAsia" w:ascii="仿宋" w:hAnsi="仿宋" w:eastAsia="仿宋" w:cs="Times New Roman"/>
          <w:spacing w:val="-2"/>
          <w:sz w:val="32"/>
          <w:szCs w:val="32"/>
          <w:lang w:val="en-US" w:eastAsia="zh-CN"/>
        </w:rPr>
        <w:t>：用于土地储备专项支出。</w:t>
      </w:r>
    </w:p>
    <w:p w14:paraId="29992640">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320" w:firstLineChars="100"/>
        <w:textAlignment w:val="auto"/>
        <w:rPr>
          <w:rFonts w:hint="eastAsia" w:ascii="Times New Roman Regular" w:hAnsi="Times New Roman Regular" w:eastAsia="仿宋_GB2312" w:cs="Times New Roman Regular"/>
          <w:color w:val="auto"/>
          <w:sz w:val="32"/>
          <w:szCs w:val="32"/>
          <w:highlight w:val="none"/>
          <w:lang w:val="en-US" w:eastAsia="zh-CN"/>
        </w:rPr>
      </w:pPr>
    </w:p>
    <w:p w14:paraId="38D6F27A">
      <w:pPr>
        <w:keepNext w:val="0"/>
        <w:keepLines w:val="0"/>
        <w:pageBreakBefore w:val="0"/>
        <w:widowControl/>
        <w:shd w:val="clear" w:color="auto" w:fill="FFFFFF"/>
        <w:kinsoku/>
        <w:wordWrap/>
        <w:overflowPunct/>
        <w:topLinePunct w:val="0"/>
        <w:autoSpaceDE/>
        <w:autoSpaceDN/>
        <w:bidi w:val="0"/>
        <w:adjustRightInd/>
        <w:snapToGrid/>
        <w:spacing w:line="600" w:lineRule="atLeast"/>
        <w:ind w:firstLine="632" w:firstLineChars="200"/>
        <w:textAlignment w:val="auto"/>
        <w:rPr>
          <w:rFonts w:hint="eastAsia" w:ascii="仿宋" w:hAnsi="仿宋" w:eastAsia="仿宋" w:cs="Times New Roman"/>
          <w:spacing w:val="-2"/>
          <w:sz w:val="32"/>
          <w:szCs w:val="32"/>
          <w:lang w:val="en-US" w:eastAsia="zh-CN"/>
        </w:rPr>
      </w:pPr>
      <w:r>
        <w:rPr>
          <w:rFonts w:hint="eastAsia" w:ascii="仿宋" w:hAnsi="仿宋" w:eastAsia="仿宋" w:cs="Times New Roman"/>
          <w:spacing w:val="-2"/>
          <w:sz w:val="32"/>
          <w:szCs w:val="32"/>
          <w:lang w:val="en-US" w:eastAsia="zh-CN"/>
        </w:rPr>
        <w:t>4.</w:t>
      </w:r>
      <w:r>
        <w:rPr>
          <w:rFonts w:hint="default" w:ascii="仿宋" w:hAnsi="仿宋" w:eastAsia="仿宋" w:cs="Times New Roman"/>
          <w:spacing w:val="-2"/>
          <w:sz w:val="32"/>
          <w:szCs w:val="32"/>
          <w:lang w:val="en-US" w:eastAsia="zh-CN"/>
        </w:rPr>
        <w:t>资金分配的原则及考虑因素</w:t>
      </w:r>
      <w:r>
        <w:rPr>
          <w:rFonts w:hint="eastAsia" w:ascii="仿宋" w:hAnsi="仿宋" w:eastAsia="仿宋" w:cs="Times New Roman"/>
          <w:spacing w:val="-2"/>
          <w:sz w:val="32"/>
          <w:szCs w:val="32"/>
          <w:lang w:val="en-US" w:eastAsia="zh-CN"/>
        </w:rPr>
        <w:t>。</w:t>
      </w:r>
    </w:p>
    <w:p w14:paraId="549541C3">
      <w:pPr>
        <w:keepNext w:val="0"/>
        <w:keepLines w:val="0"/>
        <w:pageBreakBefore w:val="0"/>
        <w:widowControl/>
        <w:shd w:val="clear" w:color="auto" w:fill="FFFFFF"/>
        <w:kinsoku/>
        <w:wordWrap/>
        <w:overflowPunct/>
        <w:topLinePunct w:val="0"/>
        <w:autoSpaceDE/>
        <w:autoSpaceDN/>
        <w:bidi w:val="0"/>
        <w:adjustRightInd/>
        <w:snapToGrid/>
        <w:spacing w:line="600" w:lineRule="atLeast"/>
        <w:ind w:firstLine="632" w:firstLineChars="200"/>
        <w:textAlignment w:val="auto"/>
        <w:rPr>
          <w:rFonts w:hint="eastAsia" w:ascii="仿宋" w:hAnsi="仿宋" w:eastAsia="仿宋" w:cs="Times New Roman"/>
          <w:spacing w:val="-2"/>
          <w:sz w:val="32"/>
          <w:szCs w:val="32"/>
          <w:lang w:val="en-US" w:eastAsia="zh-CN"/>
        </w:rPr>
      </w:pPr>
      <w:r>
        <w:rPr>
          <w:rFonts w:hint="eastAsia" w:ascii="仿宋" w:hAnsi="仿宋" w:eastAsia="仿宋" w:cs="Times New Roman"/>
          <w:spacing w:val="-2"/>
          <w:sz w:val="32"/>
          <w:szCs w:val="32"/>
          <w:lang w:val="en-US" w:eastAsia="zh-CN"/>
        </w:rPr>
        <w:t>量入为出，突出重点、注重绩效、专款专用原则，考虑各类费用因素所占比重与部门预算支出经济分类科目相结合的分配方式。</w:t>
      </w:r>
    </w:p>
    <w:p w14:paraId="210E051A">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（二）</w:t>
      </w:r>
      <w:r>
        <w:rPr>
          <w:rFonts w:hint="default" w:ascii="Times New Roman Regular" w:hAnsi="Times New Roman Regular" w:eastAsia="仿宋_GB2312" w:cs="Times New Roman Regular"/>
          <w:b/>
          <w:bCs/>
          <w:color w:val="auto"/>
          <w:sz w:val="28"/>
          <w:szCs w:val="28"/>
          <w:highlight w:val="none"/>
          <w:lang w:val="en-US" w:eastAsia="zh-CN"/>
        </w:rPr>
        <w:t>项目绩效目标</w:t>
      </w:r>
    </w:p>
    <w:p w14:paraId="784A351B">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w:t>
      </w:r>
      <w:r>
        <w:rPr>
          <w:rFonts w:hint="default" w:ascii="Times New Roman Regular" w:hAnsi="Times New Roman Regular" w:eastAsia="仿宋_GB2312" w:cs="Times New Roman Regular"/>
          <w:color w:val="auto"/>
          <w:sz w:val="32"/>
          <w:szCs w:val="32"/>
          <w:highlight w:val="none"/>
          <w:lang w:val="en-US" w:eastAsia="zh-CN"/>
        </w:rPr>
        <w:t>项目主要内容。</w:t>
      </w:r>
    </w:p>
    <w:p w14:paraId="72C0B7F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根据本地区国民经济和社会发展规划、城镇发展规划、土地储备计划等申报了土地储备合作项目，编制了项目可行性研究报告、实施方案等，明确了项目的具体实施内容及实施期限。</w:t>
      </w:r>
    </w:p>
    <w:p w14:paraId="19F573DC">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32" w:firstLineChars="200"/>
        <w:textAlignment w:val="auto"/>
        <w:rPr>
          <w:rFonts w:hint="default"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2.</w:t>
      </w:r>
      <w:r>
        <w:rPr>
          <w:rFonts w:hint="default" w:ascii="仿宋" w:hAnsi="仿宋" w:eastAsia="仿宋" w:cs="Times New Roman"/>
          <w:spacing w:val="-2"/>
          <w:kern w:val="2"/>
          <w:sz w:val="32"/>
          <w:szCs w:val="32"/>
          <w:lang w:val="en-US" w:eastAsia="zh-CN" w:bidi="ar-SA"/>
        </w:rPr>
        <w:t>项目应实现的具体绩效目标,包括目标的量化、细化情况以及项目实施进度计划等。</w:t>
      </w:r>
    </w:p>
    <w:p w14:paraId="04925093">
      <w:pPr>
        <w:keepNext w:val="0"/>
        <w:keepLines w:val="0"/>
        <w:pageBreakBefore w:val="0"/>
        <w:widowControl w:val="0"/>
        <w:kinsoku/>
        <w:wordWrap/>
        <w:overflowPunct/>
        <w:topLinePunct w:val="0"/>
        <w:autoSpaceDE/>
        <w:autoSpaceDN/>
        <w:bidi w:val="0"/>
        <w:adjustRightInd/>
        <w:snapToGrid w:val="0"/>
        <w:spacing w:line="520" w:lineRule="exact"/>
        <w:ind w:firstLine="632" w:firstLineChars="200"/>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（1）经济成本指标：项目成本控制≤</w:t>
      </w:r>
      <w:r>
        <w:rPr>
          <w:rFonts w:hint="eastAsia" w:ascii="仿宋" w:hAnsi="仿宋" w:eastAsia="仿宋" w:cs="Times New Roman"/>
          <w:spacing w:val="-2"/>
          <w:kern w:val="2"/>
          <w:sz w:val="32"/>
          <w:szCs w:val="32"/>
          <w:lang w:val="en-US" w:eastAsia="zh-CN" w:bidi="ar-SA"/>
        </w:rPr>
        <w:t>33929.14万元；</w:t>
      </w:r>
    </w:p>
    <w:p w14:paraId="7942589E">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32"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Times New Roman"/>
          <w:spacing w:val="-2"/>
          <w:kern w:val="2"/>
          <w:sz w:val="32"/>
          <w:szCs w:val="32"/>
          <w:lang w:val="en-US" w:eastAsia="zh-CN" w:bidi="ar-SA"/>
        </w:rPr>
        <w:t>（2）数量指标：</w:t>
      </w:r>
      <w:r>
        <w:rPr>
          <w:rFonts w:hint="eastAsia" w:ascii="仿宋" w:hAnsi="仿宋" w:eastAsia="仿宋" w:cs="仿宋"/>
          <w:b w:val="0"/>
          <w:bCs w:val="0"/>
          <w:sz w:val="32"/>
          <w:szCs w:val="32"/>
          <w:lang w:val="en-US" w:eastAsia="zh-CN"/>
        </w:rPr>
        <w:t>共筛选了146个全民所有土地资产管理和供地计划项目，总面积约651.17公顷（约9767.55亩），</w:t>
      </w:r>
      <w:r>
        <w:rPr>
          <w:rFonts w:hint="eastAsia" w:ascii="仿宋" w:hAnsi="仿宋" w:eastAsia="仿宋" w:cs="仿宋"/>
          <w:b w:val="0"/>
          <w:bCs w:val="0"/>
          <w:color w:val="auto"/>
          <w:sz w:val="32"/>
          <w:szCs w:val="32"/>
          <w:lang w:val="en-US" w:eastAsia="zh-CN"/>
        </w:rPr>
        <w:t>其中，2024年度供地计划项目共计97个，拟供应面积</w:t>
      </w:r>
      <w:r>
        <w:rPr>
          <w:rFonts w:hint="eastAsia" w:ascii="仿宋" w:hAnsi="仿宋" w:eastAsia="仿宋" w:cs="仿宋"/>
          <w:b w:val="0"/>
          <w:bCs w:val="0"/>
          <w:sz w:val="32"/>
          <w:szCs w:val="32"/>
          <w:lang w:val="en-US" w:eastAsia="zh-CN"/>
        </w:rPr>
        <w:t>310.48公顷（约4657.20亩），含商住类供地项目43</w:t>
      </w:r>
      <w:r>
        <w:rPr>
          <w:rFonts w:hint="eastAsia" w:ascii="仿宋" w:hAnsi="仿宋" w:eastAsia="仿宋" w:cs="仿宋"/>
          <w:b w:val="0"/>
          <w:bCs w:val="0"/>
          <w:sz w:val="32"/>
          <w:szCs w:val="32"/>
          <w:lang w:eastAsia="zh-CN"/>
        </w:rPr>
        <w:t>个，用地面积约</w:t>
      </w:r>
      <w:r>
        <w:rPr>
          <w:rFonts w:hint="eastAsia" w:ascii="仿宋" w:hAnsi="仿宋" w:eastAsia="仿宋" w:cs="仿宋"/>
          <w:b w:val="0"/>
          <w:bCs w:val="0"/>
          <w:sz w:val="32"/>
          <w:szCs w:val="32"/>
          <w:lang w:val="en-US" w:eastAsia="zh-CN"/>
        </w:rPr>
        <w:t>70.31公顷（约1054.65</w:t>
      </w:r>
      <w:r>
        <w:rPr>
          <w:rFonts w:hint="eastAsia" w:ascii="仿宋" w:hAnsi="仿宋" w:eastAsia="仿宋" w:cs="仿宋"/>
          <w:b w:val="0"/>
          <w:bCs w:val="0"/>
          <w:sz w:val="32"/>
          <w:szCs w:val="32"/>
          <w:lang w:eastAsia="zh-CN"/>
        </w:rPr>
        <w:t>亩）</w:t>
      </w:r>
      <w:r>
        <w:rPr>
          <w:rFonts w:hint="eastAsia" w:ascii="仿宋" w:hAnsi="仿宋" w:eastAsia="仿宋" w:cs="仿宋"/>
          <w:b w:val="0"/>
          <w:bCs w:val="0"/>
          <w:sz w:val="32"/>
          <w:szCs w:val="32"/>
          <w:lang w:val="en-US" w:eastAsia="zh-CN"/>
        </w:rPr>
        <w:t>。</w:t>
      </w:r>
    </w:p>
    <w:p w14:paraId="050A5CDE">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32"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Times New Roman"/>
          <w:spacing w:val="-2"/>
          <w:kern w:val="2"/>
          <w:sz w:val="32"/>
          <w:szCs w:val="32"/>
          <w:lang w:val="en-US" w:eastAsia="zh-CN" w:bidi="ar-SA"/>
        </w:rPr>
        <w:t>（3）质量指标：</w:t>
      </w:r>
      <w:r>
        <w:rPr>
          <w:rFonts w:hint="eastAsia" w:ascii="仿宋" w:hAnsi="仿宋" w:eastAsia="仿宋" w:cs="仿宋"/>
          <w:b w:val="0"/>
          <w:bCs w:val="0"/>
          <w:sz w:val="32"/>
          <w:szCs w:val="32"/>
          <w:lang w:val="en-US" w:eastAsia="zh-CN"/>
        </w:rPr>
        <w:t>2024年5月16日，经我局报请市人民政府同意，已批准下达《关于怀化市2024年全民所有土地资产管理和土地供应计划的批复》（怀政函[2024]46号），计划已向省厅完成备案；</w:t>
      </w:r>
      <w:r>
        <w:rPr>
          <w:rFonts w:hint="eastAsia" w:ascii="仿宋" w:hAnsi="仿宋" w:eastAsia="仿宋" w:cs="仿宋"/>
          <w:b w:val="0"/>
          <w:bCs w:val="0"/>
          <w:sz w:val="32"/>
          <w:szCs w:val="32"/>
          <w:u w:val="none"/>
          <w:lang w:val="en-US" w:eastAsia="zh-CN"/>
        </w:rPr>
        <w:t>重点以湘商大会、旅发大会及仙人桥、高铁新城片区等重点项目为抓手，2024年先后</w:t>
      </w:r>
      <w:r>
        <w:rPr>
          <w:rFonts w:hint="eastAsia" w:ascii="仿宋" w:hAnsi="仿宋" w:eastAsia="仿宋" w:cs="仿宋"/>
          <w:b w:val="0"/>
          <w:bCs w:val="0"/>
          <w:color w:val="auto"/>
          <w:sz w:val="30"/>
          <w:szCs w:val="30"/>
          <w:u w:val="none"/>
          <w:lang w:val="en-US" w:eastAsia="zh-CN"/>
        </w:rPr>
        <w:t>完成了温德姆酒周边配套用地（全球湘商大会项目）、原莱孚铝厂（招商新华集团项目）、盛唐绿洲、高铁新城片区鹏飞电脑学校（新树仁驾校）、鸭嘴岩加油站、中央储粮怀化直属库公司用地新址等一批重点项目收储工作，确保了重点项目的供应。</w:t>
      </w:r>
    </w:p>
    <w:p w14:paraId="335FA0A8">
      <w:pPr>
        <w:keepNext w:val="0"/>
        <w:keepLines w:val="0"/>
        <w:pageBreakBefore w:val="0"/>
        <w:widowControl w:val="0"/>
        <w:kinsoku/>
        <w:wordWrap/>
        <w:overflowPunct/>
        <w:topLinePunct w:val="0"/>
        <w:autoSpaceDE/>
        <w:autoSpaceDN/>
        <w:bidi w:val="0"/>
        <w:adjustRightInd/>
        <w:snapToGrid w:val="0"/>
        <w:spacing w:line="520" w:lineRule="exact"/>
        <w:ind w:firstLine="632" w:firstLineChars="200"/>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（4）时效指标：工作完成及时性，2024年12月之前完成目标；</w:t>
      </w:r>
    </w:p>
    <w:p w14:paraId="215A755D">
      <w:pPr>
        <w:keepNext w:val="0"/>
        <w:keepLines w:val="0"/>
        <w:pageBreakBefore w:val="0"/>
        <w:widowControl w:val="0"/>
        <w:kinsoku/>
        <w:wordWrap/>
        <w:overflowPunct/>
        <w:topLinePunct w:val="0"/>
        <w:autoSpaceDE/>
        <w:autoSpaceDN/>
        <w:bidi w:val="0"/>
        <w:adjustRightInd/>
        <w:snapToGrid w:val="0"/>
        <w:spacing w:line="520" w:lineRule="exact"/>
        <w:ind w:firstLine="632" w:firstLineChars="200"/>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（5）社会效益指标：积极化解矛盾纠纷，消除了社会不稳定因素；</w:t>
      </w:r>
    </w:p>
    <w:p w14:paraId="21330816">
      <w:pPr>
        <w:keepNext w:val="0"/>
        <w:keepLines w:val="0"/>
        <w:pageBreakBefore w:val="0"/>
        <w:widowControl w:val="0"/>
        <w:kinsoku/>
        <w:wordWrap/>
        <w:overflowPunct/>
        <w:topLinePunct w:val="0"/>
        <w:autoSpaceDE/>
        <w:autoSpaceDN/>
        <w:bidi w:val="0"/>
        <w:adjustRightInd/>
        <w:snapToGrid w:val="0"/>
        <w:spacing w:line="520" w:lineRule="exact"/>
        <w:ind w:firstLine="632" w:firstLineChars="200"/>
        <w:textAlignment w:val="auto"/>
        <w:rPr>
          <w:rFonts w:hint="default"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（6）满意度指标：社会公众满意度</w:t>
      </w:r>
      <w:r>
        <w:rPr>
          <w:rFonts w:hint="eastAsia" w:ascii="仿宋" w:hAnsi="仿宋" w:eastAsia="仿宋" w:cs="Times New Roman"/>
          <w:spacing w:val="-2"/>
          <w:kern w:val="2"/>
          <w:sz w:val="32"/>
          <w:szCs w:val="32"/>
          <w:lang w:val="en-US" w:eastAsia="zh-CN" w:bidi="ar-SA"/>
        </w:rPr>
        <w:t>≥90%。</w:t>
      </w:r>
    </w:p>
    <w:p w14:paraId="1B6305A1">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w:t>
      </w:r>
      <w:r>
        <w:rPr>
          <w:rFonts w:hint="default" w:ascii="Times New Roman Regular" w:hAnsi="Times New Roman Regular" w:eastAsia="仿宋_GB2312" w:cs="Times New Roman Regular"/>
          <w:color w:val="auto"/>
          <w:sz w:val="32"/>
          <w:szCs w:val="32"/>
          <w:highlight w:val="none"/>
          <w:lang w:val="en-US" w:eastAsia="zh-CN"/>
        </w:rPr>
        <w:t>分析评价申报内容是否与实际相符,申报目标是否合理可行</w:t>
      </w:r>
      <w:r>
        <w:rPr>
          <w:rFonts w:hint="eastAsia" w:ascii="Times New Roman Regular" w:hAnsi="Times New Roman Regular" w:eastAsia="仿宋_GB2312" w:cs="Times New Roman Regular"/>
          <w:color w:val="auto"/>
          <w:sz w:val="32"/>
          <w:szCs w:val="32"/>
          <w:highlight w:val="none"/>
          <w:lang w:val="en-US" w:eastAsia="zh-CN"/>
        </w:rPr>
        <w:t>。</w:t>
      </w:r>
    </w:p>
    <w:p w14:paraId="3F311DC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分析评价申报内容与实际相符，申报目标合理可行</w:t>
      </w:r>
      <w:r>
        <w:rPr>
          <w:rFonts w:hint="eastAsia" w:ascii="Times New Roman Regular" w:hAnsi="Times New Roman Regular" w:eastAsia="仿宋_GB2312" w:cs="Times New Roman Regular"/>
          <w:color w:val="auto"/>
          <w:sz w:val="32"/>
          <w:szCs w:val="32"/>
          <w:highlight w:val="none"/>
          <w:lang w:val="en-US" w:eastAsia="zh-CN"/>
        </w:rPr>
        <w:t>。</w:t>
      </w:r>
    </w:p>
    <w:p w14:paraId="3433A065">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281" w:firstLineChars="10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（三）</w:t>
      </w:r>
      <w:r>
        <w:rPr>
          <w:rFonts w:hint="default" w:ascii="Times New Roman Regular" w:hAnsi="Times New Roman Regular" w:eastAsia="仿宋_GB2312" w:cs="Times New Roman Regular"/>
          <w:b/>
          <w:bCs/>
          <w:color w:val="auto"/>
          <w:sz w:val="28"/>
          <w:szCs w:val="28"/>
          <w:highlight w:val="none"/>
          <w:lang w:val="en-US" w:eastAsia="zh-CN"/>
        </w:rPr>
        <w:t>项目自评步骤及方法</w:t>
      </w:r>
    </w:p>
    <w:p w14:paraId="08206F4F">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说明项目绩效自评采用的组织实施步骤及方法。</w:t>
      </w:r>
    </w:p>
    <w:p w14:paraId="533A95C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04" w:lineRule="atLeast"/>
        <w:ind w:left="0" w:right="0" w:firstLine="640" w:firstLineChars="200"/>
        <w:jc w:val="left"/>
        <w:textAlignment w:val="auto"/>
        <w:rPr>
          <w:rFonts w:hint="eastAsia" w:ascii="仿宋" w:hAnsi="Calibri" w:eastAsia="仿宋" w:cs="Times New Roman"/>
          <w:kern w:val="2"/>
          <w:sz w:val="32"/>
          <w:szCs w:val="32"/>
          <w:lang w:val="en-US" w:eastAsia="zh-CN" w:bidi="ar-SA"/>
        </w:rPr>
      </w:pPr>
      <w:r>
        <w:rPr>
          <w:rFonts w:hint="eastAsia" w:ascii="仿宋" w:hAnsi="Calibri" w:eastAsia="仿宋" w:cs="Times New Roman"/>
          <w:kern w:val="2"/>
          <w:sz w:val="32"/>
          <w:szCs w:val="32"/>
          <w:lang w:val="en-US" w:eastAsia="zh-CN" w:bidi="ar-SA"/>
        </w:rPr>
        <w:t>（一）准备阶段：组织学习财政支出绩效自评的相关规定，确定评价范围和对象，明确评价的目的、内容、任务、依据，掌握评价的时间和有关要求。</w:t>
      </w:r>
    </w:p>
    <w:p w14:paraId="0F103F3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04" w:lineRule="atLeast"/>
        <w:ind w:left="0" w:right="0" w:firstLine="640" w:firstLineChars="200"/>
        <w:jc w:val="left"/>
        <w:textAlignment w:val="auto"/>
        <w:rPr>
          <w:rFonts w:hint="eastAsia" w:ascii="仿宋" w:hAnsi="Calibri" w:eastAsia="仿宋" w:cs="Times New Roman"/>
          <w:kern w:val="2"/>
          <w:sz w:val="32"/>
          <w:szCs w:val="32"/>
          <w:lang w:val="en-US" w:eastAsia="zh-CN" w:bidi="ar-SA"/>
        </w:rPr>
      </w:pPr>
      <w:r>
        <w:rPr>
          <w:rFonts w:hint="eastAsia" w:ascii="仿宋" w:hAnsi="Calibri" w:eastAsia="仿宋" w:cs="Times New Roman"/>
          <w:kern w:val="2"/>
          <w:sz w:val="32"/>
          <w:szCs w:val="32"/>
          <w:lang w:val="en-US" w:eastAsia="zh-CN" w:bidi="ar-SA"/>
        </w:rPr>
        <w:t>（二）实施阶段：下发绩效自评工作通知，安排绩效自评工作，制定评价指标体系；组织部门自评并上报自评报告，汇总绩效自评后，上报财政局审核。</w:t>
      </w:r>
    </w:p>
    <w:p w14:paraId="0D03B99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04" w:lineRule="atLeast"/>
        <w:ind w:left="0" w:right="0" w:firstLine="640" w:firstLineChars="200"/>
        <w:jc w:val="left"/>
        <w:textAlignment w:val="auto"/>
        <w:rPr>
          <w:rFonts w:hint="eastAsia" w:ascii="仿宋" w:hAnsi="Calibri" w:eastAsia="仿宋" w:cs="Times New Roman"/>
          <w:kern w:val="2"/>
          <w:sz w:val="32"/>
          <w:szCs w:val="32"/>
          <w:lang w:val="en-US" w:eastAsia="zh-CN" w:bidi="ar-SA"/>
        </w:rPr>
      </w:pPr>
      <w:r>
        <w:rPr>
          <w:rFonts w:hint="eastAsia" w:ascii="仿宋" w:hAnsi="Calibri" w:eastAsia="仿宋" w:cs="Times New Roman"/>
          <w:kern w:val="2"/>
          <w:sz w:val="32"/>
          <w:szCs w:val="32"/>
          <w:lang w:val="en-US" w:eastAsia="zh-CN" w:bidi="ar-SA"/>
        </w:rPr>
        <w:t>（三）总结阶段：总结评价工作经验，进行一步完善绩效自评指标体系，装订归档绩效自评资料。在单位门户网站公示绩效自评报告，接受监督检查。</w:t>
      </w:r>
    </w:p>
    <w:p w14:paraId="523CB30F">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二、</w:t>
      </w:r>
      <w:r>
        <w:rPr>
          <w:rFonts w:hint="default" w:ascii="方正黑体_GBK" w:hAnsi="方正黑体_GBK" w:eastAsia="方正黑体_GBK" w:cs="方正黑体_GBK"/>
          <w:b/>
          <w:bCs/>
          <w:color w:val="auto"/>
          <w:sz w:val="32"/>
          <w:szCs w:val="32"/>
          <w:highlight w:val="none"/>
          <w:lang w:val="en-US" w:eastAsia="zh-CN"/>
        </w:rPr>
        <w:t>项目资金申报及使用情况</w:t>
      </w:r>
    </w:p>
    <w:p w14:paraId="63B6AA19">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（一）</w:t>
      </w:r>
      <w:r>
        <w:rPr>
          <w:rFonts w:hint="default" w:ascii="Times New Roman Regular" w:hAnsi="Times New Roman Regular" w:eastAsia="仿宋_GB2312" w:cs="Times New Roman Regular"/>
          <w:b/>
          <w:bCs/>
          <w:color w:val="auto"/>
          <w:sz w:val="28"/>
          <w:szCs w:val="28"/>
          <w:highlight w:val="none"/>
          <w:lang w:val="en-US" w:eastAsia="zh-CN"/>
        </w:rPr>
        <w:t>项目资金申报及批复情况</w:t>
      </w:r>
    </w:p>
    <w:p w14:paraId="438AD08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04" w:lineRule="atLeast"/>
        <w:ind w:left="0" w:right="0" w:firstLine="640" w:firstLineChars="200"/>
        <w:jc w:val="left"/>
        <w:textAlignment w:val="auto"/>
        <w:rPr>
          <w:rFonts w:hint="default" w:ascii="仿宋" w:hAnsi="Calibri" w:eastAsia="仿宋" w:cs="Times New Roman"/>
          <w:kern w:val="2"/>
          <w:sz w:val="32"/>
          <w:szCs w:val="32"/>
          <w:lang w:val="en-US" w:eastAsia="zh-CN" w:bidi="ar-SA"/>
        </w:rPr>
      </w:pPr>
      <w:r>
        <w:rPr>
          <w:rFonts w:hint="default" w:ascii="仿宋" w:hAnsi="Calibri" w:eastAsia="仿宋" w:cs="Times New Roman"/>
          <w:kern w:val="2"/>
          <w:sz w:val="32"/>
          <w:szCs w:val="32"/>
          <w:lang w:val="en-US" w:eastAsia="zh-CN" w:bidi="ar-SA"/>
        </w:rPr>
        <w:t>严格按照项目资金相关程序、规定和要求，对项目进行申报及批复</w:t>
      </w:r>
      <w:r>
        <w:rPr>
          <w:rFonts w:hint="eastAsia" w:ascii="仿宋" w:hAnsi="Calibri" w:eastAsia="仿宋" w:cs="Times New Roman"/>
          <w:kern w:val="2"/>
          <w:sz w:val="32"/>
          <w:szCs w:val="32"/>
          <w:lang w:val="en-US" w:eastAsia="zh-CN" w:bidi="ar-SA"/>
        </w:rPr>
        <w:t>。2024年度土地储备专项经费批复33,929.14万元</w:t>
      </w:r>
      <w:r>
        <w:rPr>
          <w:rFonts w:hint="default" w:ascii="仿宋" w:hAnsi="Calibri" w:eastAsia="仿宋" w:cs="Times New Roman"/>
          <w:kern w:val="2"/>
          <w:sz w:val="32"/>
          <w:szCs w:val="32"/>
          <w:lang w:val="en-US" w:eastAsia="zh-CN" w:bidi="ar-SA"/>
        </w:rPr>
        <w:t>。</w:t>
      </w:r>
    </w:p>
    <w:p w14:paraId="4DB9EED0">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（二）</w:t>
      </w:r>
      <w:r>
        <w:rPr>
          <w:rFonts w:hint="default" w:ascii="Times New Roman Regular" w:hAnsi="Times New Roman Regular" w:eastAsia="仿宋_GB2312" w:cs="Times New Roman Regular"/>
          <w:b/>
          <w:bCs/>
          <w:color w:val="auto"/>
          <w:sz w:val="28"/>
          <w:szCs w:val="28"/>
          <w:highlight w:val="none"/>
          <w:lang w:val="en-US" w:eastAsia="zh-CN"/>
        </w:rPr>
        <w:t>资金计划、到位及使用情况(可用表格形式反映)</w:t>
      </w:r>
    </w:p>
    <w:p w14:paraId="35E38D6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04" w:lineRule="atLeast"/>
        <w:ind w:left="0" w:right="0" w:firstLine="640" w:firstLineChars="200"/>
        <w:jc w:val="left"/>
        <w:textAlignment w:val="auto"/>
        <w:rPr>
          <w:rFonts w:hint="default" w:ascii="仿宋" w:hAnsi="Calibri" w:eastAsia="仿宋" w:cs="Times New Roman"/>
          <w:kern w:val="2"/>
          <w:sz w:val="32"/>
          <w:szCs w:val="32"/>
          <w:lang w:val="en-US" w:eastAsia="zh-CN" w:bidi="ar-SA"/>
        </w:rPr>
      </w:pPr>
      <w:r>
        <w:rPr>
          <w:rFonts w:hint="default" w:ascii="仿宋" w:hAnsi="Calibri" w:eastAsia="仿宋" w:cs="Times New Roman"/>
          <w:kern w:val="2"/>
          <w:sz w:val="32"/>
          <w:szCs w:val="32"/>
          <w:lang w:val="en-US" w:eastAsia="zh-CN" w:bidi="ar-SA"/>
        </w:rPr>
        <w:t>1.资金计划。</w:t>
      </w:r>
    </w:p>
    <w:p w14:paraId="798C02D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04" w:lineRule="atLeast"/>
        <w:ind w:left="0" w:right="0" w:firstLine="640" w:firstLineChars="200"/>
        <w:jc w:val="left"/>
        <w:textAlignment w:val="auto"/>
        <w:rPr>
          <w:rFonts w:hint="default" w:ascii="仿宋" w:hAnsi="Calibri" w:eastAsia="仿宋" w:cs="Times New Roman"/>
          <w:kern w:val="2"/>
          <w:sz w:val="32"/>
          <w:szCs w:val="32"/>
          <w:lang w:val="en-US" w:eastAsia="zh-CN" w:bidi="ar-SA"/>
        </w:rPr>
      </w:pPr>
      <w:r>
        <w:rPr>
          <w:rFonts w:hint="default" w:ascii="仿宋" w:hAnsi="Calibri" w:eastAsia="仿宋" w:cs="Times New Roman"/>
          <w:kern w:val="2"/>
          <w:sz w:val="32"/>
          <w:szCs w:val="32"/>
          <w:lang w:val="en-US" w:eastAsia="zh-CN" w:bidi="ar-SA"/>
        </w:rPr>
        <w:t>202</w:t>
      </w:r>
      <w:r>
        <w:rPr>
          <w:rFonts w:hint="eastAsia" w:ascii="仿宋" w:hAnsi="Calibri" w:eastAsia="仿宋" w:cs="Times New Roman"/>
          <w:kern w:val="2"/>
          <w:sz w:val="32"/>
          <w:szCs w:val="32"/>
          <w:lang w:val="en-US" w:eastAsia="zh-CN" w:bidi="ar-SA"/>
        </w:rPr>
        <w:t>4</w:t>
      </w:r>
      <w:r>
        <w:rPr>
          <w:rFonts w:hint="default" w:ascii="仿宋" w:hAnsi="Calibri" w:eastAsia="仿宋" w:cs="Times New Roman"/>
          <w:kern w:val="2"/>
          <w:sz w:val="32"/>
          <w:szCs w:val="32"/>
          <w:lang w:val="en-US" w:eastAsia="zh-CN" w:bidi="ar-SA"/>
        </w:rPr>
        <w:t>年</w:t>
      </w:r>
      <w:r>
        <w:rPr>
          <w:rFonts w:hint="eastAsia" w:ascii="仿宋" w:hAnsi="Calibri" w:eastAsia="仿宋" w:cs="Times New Roman"/>
          <w:kern w:val="2"/>
          <w:sz w:val="32"/>
          <w:szCs w:val="32"/>
          <w:lang w:val="en-US" w:eastAsia="zh-CN" w:bidi="ar-SA"/>
        </w:rPr>
        <w:t>度</w:t>
      </w:r>
      <w:r>
        <w:rPr>
          <w:rFonts w:hint="default" w:ascii="仿宋" w:hAnsi="Calibri" w:eastAsia="仿宋" w:cs="Times New Roman"/>
          <w:kern w:val="2"/>
          <w:sz w:val="32"/>
          <w:szCs w:val="32"/>
          <w:lang w:val="en-US" w:eastAsia="zh-CN" w:bidi="ar-SA"/>
        </w:rPr>
        <w:t>资金计划为下达</w:t>
      </w:r>
      <w:r>
        <w:rPr>
          <w:rFonts w:hint="eastAsia" w:ascii="仿宋" w:hAnsi="Calibri" w:eastAsia="仿宋" w:cs="Times New Roman"/>
          <w:kern w:val="2"/>
          <w:sz w:val="32"/>
          <w:szCs w:val="32"/>
          <w:lang w:val="en-US" w:eastAsia="zh-CN" w:bidi="ar-SA"/>
        </w:rPr>
        <w:t>本单位</w:t>
      </w:r>
      <w:r>
        <w:rPr>
          <w:rFonts w:hint="default" w:ascii="仿宋" w:hAnsi="Calibri" w:eastAsia="仿宋" w:cs="Times New Roman"/>
          <w:kern w:val="2"/>
          <w:sz w:val="32"/>
          <w:szCs w:val="32"/>
          <w:lang w:val="en-US" w:eastAsia="zh-CN" w:bidi="ar-SA"/>
        </w:rPr>
        <w:t>财政资金</w:t>
      </w:r>
      <w:r>
        <w:rPr>
          <w:rFonts w:hint="eastAsia" w:ascii="仿宋" w:hAnsi="Calibri" w:eastAsia="仿宋" w:cs="Times New Roman"/>
          <w:kern w:val="2"/>
          <w:sz w:val="32"/>
          <w:szCs w:val="32"/>
          <w:lang w:val="en-US" w:eastAsia="zh-CN" w:bidi="ar-SA"/>
        </w:rPr>
        <w:t>33,929.14</w:t>
      </w:r>
      <w:r>
        <w:rPr>
          <w:rFonts w:hint="default" w:ascii="仿宋" w:hAnsi="Calibri" w:eastAsia="仿宋" w:cs="Times New Roman"/>
          <w:kern w:val="2"/>
          <w:sz w:val="32"/>
          <w:szCs w:val="32"/>
          <w:lang w:val="en-US" w:eastAsia="zh-CN" w:bidi="ar-SA"/>
        </w:rPr>
        <w:t>万元，</w:t>
      </w:r>
      <w:r>
        <w:rPr>
          <w:rFonts w:hint="eastAsia" w:ascii="仿宋" w:hAnsi="Calibri" w:eastAsia="仿宋" w:cs="Times New Roman"/>
          <w:kern w:val="2"/>
          <w:sz w:val="32"/>
          <w:szCs w:val="32"/>
          <w:lang w:val="en-US" w:eastAsia="zh-CN" w:bidi="ar-SA"/>
        </w:rPr>
        <w:t>为市财政局拨付</w:t>
      </w:r>
      <w:r>
        <w:rPr>
          <w:rFonts w:hint="default" w:ascii="仿宋" w:hAnsi="Calibri" w:eastAsia="仿宋" w:cs="Times New Roman"/>
          <w:kern w:val="2"/>
          <w:sz w:val="32"/>
          <w:szCs w:val="32"/>
          <w:lang w:val="en-US" w:eastAsia="zh-CN" w:bidi="ar-SA"/>
        </w:rPr>
        <w:t>。</w:t>
      </w:r>
    </w:p>
    <w:p w14:paraId="23533A7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04" w:lineRule="atLeast"/>
        <w:ind w:left="0" w:right="0" w:firstLine="640" w:firstLineChars="200"/>
        <w:jc w:val="left"/>
        <w:textAlignment w:val="auto"/>
        <w:rPr>
          <w:rFonts w:hint="default" w:ascii="仿宋" w:hAnsi="Calibri" w:eastAsia="仿宋" w:cs="Times New Roman"/>
          <w:kern w:val="2"/>
          <w:sz w:val="32"/>
          <w:szCs w:val="32"/>
          <w:lang w:val="en-US" w:eastAsia="zh-CN" w:bidi="ar-SA"/>
        </w:rPr>
      </w:pPr>
      <w:r>
        <w:rPr>
          <w:rFonts w:hint="eastAsia" w:ascii="仿宋" w:hAnsi="Calibri" w:eastAsia="仿宋" w:cs="Times New Roman"/>
          <w:kern w:val="2"/>
          <w:sz w:val="32"/>
          <w:szCs w:val="32"/>
          <w:lang w:val="en-US" w:eastAsia="zh-CN" w:bidi="ar-SA"/>
        </w:rPr>
        <w:t>2.</w:t>
      </w:r>
      <w:r>
        <w:rPr>
          <w:rFonts w:hint="default" w:ascii="仿宋" w:hAnsi="Calibri" w:eastAsia="仿宋" w:cs="Times New Roman"/>
          <w:kern w:val="2"/>
          <w:sz w:val="32"/>
          <w:szCs w:val="32"/>
          <w:lang w:val="en-US" w:eastAsia="zh-CN" w:bidi="ar-SA"/>
        </w:rPr>
        <w:t>资金到位。</w:t>
      </w:r>
    </w:p>
    <w:p w14:paraId="133F436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04" w:lineRule="atLeast"/>
        <w:ind w:left="0" w:right="0" w:firstLine="640" w:firstLineChars="200"/>
        <w:jc w:val="left"/>
        <w:textAlignment w:val="auto"/>
        <w:rPr>
          <w:rFonts w:hint="default" w:ascii="仿宋" w:hAnsi="Calibri" w:eastAsia="仿宋" w:cs="Times New Roman"/>
          <w:kern w:val="2"/>
          <w:sz w:val="32"/>
          <w:szCs w:val="32"/>
          <w:lang w:val="en-US" w:eastAsia="zh-CN" w:bidi="ar-SA"/>
        </w:rPr>
      </w:pPr>
      <w:r>
        <w:rPr>
          <w:rFonts w:hint="default" w:ascii="仿宋" w:hAnsi="Calibri" w:eastAsia="仿宋" w:cs="Times New Roman"/>
          <w:kern w:val="2"/>
          <w:sz w:val="32"/>
          <w:szCs w:val="32"/>
          <w:lang w:val="en-US" w:eastAsia="zh-CN" w:bidi="ar-SA"/>
        </w:rPr>
        <w:t>202</w:t>
      </w:r>
      <w:r>
        <w:rPr>
          <w:rFonts w:hint="eastAsia" w:ascii="仿宋" w:hAnsi="Calibri" w:eastAsia="仿宋" w:cs="Times New Roman"/>
          <w:kern w:val="2"/>
          <w:sz w:val="32"/>
          <w:szCs w:val="32"/>
          <w:lang w:val="en-US" w:eastAsia="zh-CN" w:bidi="ar-SA"/>
        </w:rPr>
        <w:t>4</w:t>
      </w:r>
      <w:r>
        <w:rPr>
          <w:rFonts w:hint="default" w:ascii="仿宋" w:hAnsi="Calibri" w:eastAsia="仿宋" w:cs="Times New Roman"/>
          <w:kern w:val="2"/>
          <w:sz w:val="32"/>
          <w:szCs w:val="32"/>
          <w:lang w:val="en-US" w:eastAsia="zh-CN" w:bidi="ar-SA"/>
        </w:rPr>
        <w:t>年项目资金下达</w:t>
      </w:r>
      <w:r>
        <w:rPr>
          <w:rFonts w:hint="eastAsia" w:ascii="仿宋" w:hAnsi="Calibri" w:eastAsia="仿宋" w:cs="Times New Roman"/>
          <w:kern w:val="2"/>
          <w:sz w:val="32"/>
          <w:szCs w:val="32"/>
          <w:lang w:val="en-US" w:eastAsia="zh-CN" w:bidi="ar-SA"/>
        </w:rPr>
        <w:t>33,929.14</w:t>
      </w:r>
      <w:r>
        <w:rPr>
          <w:rFonts w:hint="default" w:ascii="仿宋" w:hAnsi="Calibri" w:eastAsia="仿宋" w:cs="Times New Roman"/>
          <w:kern w:val="2"/>
          <w:sz w:val="32"/>
          <w:szCs w:val="32"/>
          <w:lang w:val="en-US" w:eastAsia="zh-CN" w:bidi="ar-SA"/>
        </w:rPr>
        <w:t>万元，资金全部到位。资金到位</w:t>
      </w:r>
      <w:r>
        <w:rPr>
          <w:rFonts w:hint="eastAsia" w:ascii="仿宋" w:hAnsi="Calibri" w:eastAsia="仿宋" w:cs="Times New Roman"/>
          <w:kern w:val="2"/>
          <w:sz w:val="32"/>
          <w:szCs w:val="32"/>
          <w:lang w:val="en-US" w:eastAsia="zh-CN" w:bidi="ar-SA"/>
        </w:rPr>
        <w:t>率</w:t>
      </w:r>
      <w:r>
        <w:rPr>
          <w:rFonts w:hint="default" w:ascii="仿宋" w:hAnsi="Calibri" w:eastAsia="仿宋" w:cs="Times New Roman"/>
          <w:kern w:val="2"/>
          <w:sz w:val="32"/>
          <w:szCs w:val="32"/>
          <w:lang w:val="en-US" w:eastAsia="zh-CN" w:bidi="ar-SA"/>
        </w:rPr>
        <w:t>100%，配套资金筹措有力，资金及时到位。</w:t>
      </w:r>
    </w:p>
    <w:p w14:paraId="24D52B3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04" w:lineRule="atLeast"/>
        <w:ind w:left="0" w:right="0" w:firstLine="640" w:firstLineChars="200"/>
        <w:jc w:val="left"/>
        <w:textAlignment w:val="auto"/>
        <w:rPr>
          <w:rFonts w:hint="default" w:ascii="仿宋" w:hAnsi="Calibri" w:eastAsia="仿宋" w:cs="Times New Roman"/>
          <w:kern w:val="2"/>
          <w:sz w:val="32"/>
          <w:szCs w:val="32"/>
          <w:lang w:val="en-US" w:eastAsia="zh-CN" w:bidi="ar-SA"/>
        </w:rPr>
      </w:pPr>
      <w:r>
        <w:rPr>
          <w:rFonts w:hint="eastAsia" w:ascii="仿宋" w:hAnsi="Calibri" w:eastAsia="仿宋" w:cs="Times New Roman"/>
          <w:kern w:val="2"/>
          <w:sz w:val="32"/>
          <w:szCs w:val="32"/>
          <w:lang w:val="en-US" w:eastAsia="zh-CN" w:bidi="ar-SA"/>
        </w:rPr>
        <w:t>3.</w:t>
      </w:r>
      <w:r>
        <w:rPr>
          <w:rFonts w:hint="default" w:ascii="仿宋" w:hAnsi="Calibri" w:eastAsia="仿宋" w:cs="Times New Roman"/>
          <w:kern w:val="2"/>
          <w:sz w:val="32"/>
          <w:szCs w:val="32"/>
          <w:lang w:val="en-US" w:eastAsia="zh-CN" w:bidi="ar-SA"/>
        </w:rPr>
        <w:t>资金使用。</w:t>
      </w:r>
    </w:p>
    <w:p w14:paraId="072C50D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04" w:lineRule="atLeast"/>
        <w:ind w:left="0" w:right="0" w:firstLine="640" w:firstLineChars="200"/>
        <w:jc w:val="left"/>
        <w:textAlignment w:val="auto"/>
        <w:rPr>
          <w:rFonts w:hint="default" w:ascii="仿宋" w:hAnsi="Calibri" w:eastAsia="仿宋" w:cs="Times New Roman"/>
          <w:kern w:val="2"/>
          <w:sz w:val="32"/>
          <w:szCs w:val="32"/>
          <w:lang w:val="en-US" w:eastAsia="zh-CN" w:bidi="ar-SA"/>
        </w:rPr>
      </w:pPr>
      <w:r>
        <w:rPr>
          <w:rFonts w:hint="default" w:ascii="仿宋" w:hAnsi="Calibri" w:eastAsia="仿宋" w:cs="Times New Roman"/>
          <w:kern w:val="2"/>
          <w:sz w:val="32"/>
          <w:szCs w:val="32"/>
          <w:lang w:val="en-US" w:eastAsia="zh-CN" w:bidi="ar-SA"/>
        </w:rPr>
        <w:t>202</w:t>
      </w:r>
      <w:r>
        <w:rPr>
          <w:rFonts w:hint="eastAsia" w:ascii="仿宋" w:hAnsi="Calibri" w:eastAsia="仿宋" w:cs="Times New Roman"/>
          <w:kern w:val="2"/>
          <w:sz w:val="32"/>
          <w:szCs w:val="32"/>
          <w:lang w:val="en-US" w:eastAsia="zh-CN" w:bidi="ar-SA"/>
        </w:rPr>
        <w:t>4</w:t>
      </w:r>
      <w:r>
        <w:rPr>
          <w:rFonts w:hint="default" w:ascii="仿宋" w:hAnsi="Calibri" w:eastAsia="仿宋" w:cs="Times New Roman"/>
          <w:kern w:val="2"/>
          <w:sz w:val="32"/>
          <w:szCs w:val="32"/>
          <w:lang w:val="en-US" w:eastAsia="zh-CN" w:bidi="ar-SA"/>
        </w:rPr>
        <w:t>年项目资金支付</w:t>
      </w:r>
      <w:r>
        <w:rPr>
          <w:rFonts w:hint="eastAsia" w:ascii="仿宋" w:hAnsi="Calibri" w:eastAsia="仿宋" w:cs="Times New Roman"/>
          <w:kern w:val="2"/>
          <w:sz w:val="32"/>
          <w:szCs w:val="32"/>
          <w:lang w:val="en-US" w:eastAsia="zh-CN" w:bidi="ar-SA"/>
        </w:rPr>
        <w:t>33,929.14</w:t>
      </w:r>
      <w:r>
        <w:rPr>
          <w:rFonts w:hint="default" w:ascii="仿宋" w:hAnsi="Calibri" w:eastAsia="仿宋" w:cs="Times New Roman"/>
          <w:kern w:val="2"/>
          <w:sz w:val="32"/>
          <w:szCs w:val="32"/>
          <w:lang w:val="en-US" w:eastAsia="zh-CN" w:bidi="ar-SA"/>
        </w:rPr>
        <w:t>万元。资金开支范围、标准及支付进度等合规合法，资金支付预算相符。</w:t>
      </w:r>
    </w:p>
    <w:p w14:paraId="364FA7CD">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562" w:firstLineChars="20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（三）</w:t>
      </w:r>
      <w:r>
        <w:rPr>
          <w:rFonts w:hint="default" w:ascii="Times New Roman Regular" w:hAnsi="Times New Roman Regular" w:eastAsia="仿宋_GB2312" w:cs="Times New Roman Regular"/>
          <w:b/>
          <w:bCs/>
          <w:color w:val="auto"/>
          <w:sz w:val="28"/>
          <w:szCs w:val="28"/>
          <w:highlight w:val="none"/>
          <w:lang w:val="en-US" w:eastAsia="zh-CN"/>
        </w:rPr>
        <w:t>项目财务管理情况</w:t>
      </w:r>
    </w:p>
    <w:p w14:paraId="32E0CEB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04" w:lineRule="atLeast"/>
        <w:ind w:left="0" w:right="0" w:firstLine="640" w:firstLineChars="200"/>
        <w:jc w:val="left"/>
        <w:textAlignment w:val="auto"/>
        <w:rPr>
          <w:rFonts w:hint="default" w:ascii="仿宋" w:hAnsi="Calibri" w:eastAsia="仿宋" w:cs="Times New Roman"/>
          <w:kern w:val="2"/>
          <w:sz w:val="32"/>
          <w:szCs w:val="32"/>
          <w:lang w:val="en-US" w:eastAsia="zh-CN" w:bidi="ar-SA"/>
        </w:rPr>
      </w:pPr>
      <w:r>
        <w:rPr>
          <w:rFonts w:hint="eastAsia" w:ascii="仿宋" w:hAnsi="Calibri" w:eastAsia="仿宋" w:cs="Times New Roman"/>
          <w:kern w:val="2"/>
          <w:sz w:val="32"/>
          <w:szCs w:val="32"/>
          <w:lang w:val="en-US" w:eastAsia="zh-CN" w:bidi="ar-SA"/>
        </w:rPr>
        <w:t>在制度建设方面，紧扣制度建设重点，围绕预算编制、预算执行、支付管理、监督保障等方面，不断建立完善了各项规章制度，建立用制度管人、管事、管财的长效机制，并在实际工作中不断健全完善管理办法和内控制度，认真贯彻执行，确保资金使用安全、合规。在预算执行管理方面，严格按照市财政局关于进一步加强预算执行管理的通知要求，切实履行预算管理职责，加强预算执行的监督管理，维护预算的严肃性。按照财政预算执行进度要求，定期通报预算执行进度情况，分析解决预算执行中存在的问题和困难，根据预算项目用途，确保专款专用，加快预算执行进度。</w:t>
      </w:r>
      <w:r>
        <w:rPr>
          <w:rFonts w:hint="default" w:ascii="仿宋" w:hAnsi="Calibri" w:eastAsia="仿宋" w:cs="Times New Roman"/>
          <w:kern w:val="2"/>
          <w:sz w:val="32"/>
          <w:szCs w:val="32"/>
          <w:lang w:val="en-US" w:eastAsia="zh-CN" w:bidi="ar-SA"/>
        </w:rPr>
        <w:t>严格实行</w:t>
      </w:r>
      <w:r>
        <w:rPr>
          <w:rFonts w:hint="eastAsia" w:ascii="仿宋" w:hAnsi="Calibri" w:eastAsia="仿宋" w:cs="Times New Roman"/>
          <w:kern w:val="2"/>
          <w:sz w:val="32"/>
          <w:szCs w:val="32"/>
          <w:lang w:val="en-US" w:eastAsia="zh-CN" w:bidi="ar-SA"/>
        </w:rPr>
        <w:t> 专项资金管理制度，专户管理、专项核算、专款专用，账务处理及时，会计核算规范</w:t>
      </w:r>
      <w:r>
        <w:rPr>
          <w:rFonts w:hint="default" w:ascii="仿宋" w:hAnsi="Calibri" w:eastAsia="仿宋" w:cs="Times New Roman"/>
          <w:kern w:val="2"/>
          <w:sz w:val="32"/>
          <w:szCs w:val="32"/>
          <w:lang w:val="en-US" w:eastAsia="zh-CN" w:bidi="ar-SA"/>
        </w:rPr>
        <w:t>。</w:t>
      </w:r>
    </w:p>
    <w:p w14:paraId="579C0365">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三、</w:t>
      </w:r>
      <w:r>
        <w:rPr>
          <w:rFonts w:hint="default" w:ascii="方正黑体_GBK" w:hAnsi="方正黑体_GBK" w:eastAsia="方正黑体_GBK" w:cs="方正黑体_GBK"/>
          <w:b/>
          <w:bCs/>
          <w:color w:val="auto"/>
          <w:sz w:val="32"/>
          <w:szCs w:val="32"/>
          <w:highlight w:val="none"/>
          <w:lang w:val="en-US" w:eastAsia="zh-CN"/>
        </w:rPr>
        <w:t>项目实施及管理情况</w:t>
      </w:r>
    </w:p>
    <w:p w14:paraId="1C450451">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3" w:firstLineChars="200"/>
        <w:textAlignment w:val="auto"/>
        <w:rPr>
          <w:rFonts w:hint="default" w:ascii="Times New Roman Regular" w:hAnsi="Times New Roman Regular" w:eastAsia="仿宋_GB2312" w:cs="Times New Roman Regular"/>
          <w:b/>
          <w:bCs/>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（一）</w:t>
      </w:r>
      <w:r>
        <w:rPr>
          <w:rFonts w:hint="default" w:ascii="Times New Roman Regular" w:hAnsi="Times New Roman Regular" w:eastAsia="仿宋_GB2312" w:cs="Times New Roman Regular"/>
          <w:b/>
          <w:bCs/>
          <w:color w:val="auto"/>
          <w:sz w:val="32"/>
          <w:szCs w:val="32"/>
          <w:highlight w:val="none"/>
          <w:lang w:val="en-US" w:eastAsia="zh-CN"/>
        </w:rPr>
        <w:t>项目组织架构及实施流程</w:t>
      </w:r>
    </w:p>
    <w:p w14:paraId="2F0A6B69">
      <w:pPr>
        <w:keepNext w:val="0"/>
        <w:keepLines w:val="0"/>
        <w:pageBreakBefore w:val="0"/>
        <w:widowControl w:val="0"/>
        <w:kinsoku/>
        <w:wordWrap/>
        <w:overflowPunct/>
        <w:topLinePunct w:val="0"/>
        <w:autoSpaceDE/>
        <w:autoSpaceDN/>
        <w:bidi w:val="0"/>
        <w:adjustRightInd/>
        <w:snapToGrid w:val="0"/>
        <w:spacing w:line="560" w:lineRule="exact"/>
        <w:ind w:firstLine="632" w:firstLineChars="200"/>
        <w:textAlignment w:val="auto"/>
        <w:rPr>
          <w:rFonts w:hint="eastAsia" w:ascii="仿宋" w:hAnsi="仿宋" w:eastAsia="仿宋" w:cs="Times New Roman"/>
          <w:spacing w:val="-2"/>
          <w:kern w:val="2"/>
          <w:sz w:val="32"/>
          <w:szCs w:val="32"/>
          <w:highlight w:val="none"/>
          <w:lang w:val="en-US" w:eastAsia="zh-CN" w:bidi="ar-SA"/>
        </w:rPr>
      </w:pPr>
      <w:r>
        <w:rPr>
          <w:rFonts w:hint="eastAsia" w:ascii="仿宋" w:hAnsi="仿宋" w:eastAsia="仿宋" w:cs="Times New Roman"/>
          <w:spacing w:val="-2"/>
          <w:kern w:val="2"/>
          <w:sz w:val="32"/>
          <w:szCs w:val="32"/>
          <w:highlight w:val="none"/>
          <w:lang w:val="en-US" w:eastAsia="zh-CN" w:bidi="ar-SA"/>
        </w:rPr>
        <w:t>为了加强对项目实施，单位确定各业务、专职干部与相关部门汇报、沟通和衔接，争取更多资金，切实对项目实行跟踪式服务，从项目的联系洽谈、项目跟进、资金投入等环节实行全程专人负责，确保项目落地投产。</w:t>
      </w:r>
    </w:p>
    <w:p w14:paraId="587B1398">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3" w:firstLineChars="200"/>
        <w:textAlignment w:val="auto"/>
        <w:rPr>
          <w:rFonts w:hint="default" w:ascii="Times New Roman Regular" w:hAnsi="Times New Roman Regular" w:eastAsia="仿宋_GB2312" w:cs="Times New Roman Regular"/>
          <w:b/>
          <w:bCs/>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（二）</w:t>
      </w:r>
      <w:r>
        <w:rPr>
          <w:rFonts w:hint="default" w:ascii="Times New Roman Regular" w:hAnsi="Times New Roman Regular" w:eastAsia="仿宋_GB2312" w:cs="Times New Roman Regular"/>
          <w:b/>
          <w:bCs/>
          <w:color w:val="auto"/>
          <w:sz w:val="32"/>
          <w:szCs w:val="32"/>
          <w:highlight w:val="none"/>
          <w:lang w:val="en-US" w:eastAsia="zh-CN"/>
        </w:rPr>
        <w:t>项目管理情况</w:t>
      </w:r>
    </w:p>
    <w:p w14:paraId="4235DA74">
      <w:pPr>
        <w:keepNext w:val="0"/>
        <w:keepLines w:val="0"/>
        <w:pageBreakBefore w:val="0"/>
        <w:widowControl w:val="0"/>
        <w:kinsoku/>
        <w:wordWrap/>
        <w:overflowPunct/>
        <w:topLinePunct w:val="0"/>
        <w:autoSpaceDE/>
        <w:autoSpaceDN/>
        <w:bidi w:val="0"/>
        <w:adjustRightInd/>
        <w:snapToGrid w:val="0"/>
        <w:spacing w:line="560" w:lineRule="exact"/>
        <w:ind w:firstLine="632" w:firstLineChars="200"/>
        <w:textAlignment w:val="auto"/>
        <w:rPr>
          <w:rFonts w:hint="eastAsia" w:ascii="仿宋" w:hAnsi="仿宋" w:eastAsia="仿宋" w:cs="Times New Roman"/>
          <w:spacing w:val="-2"/>
          <w:kern w:val="2"/>
          <w:sz w:val="32"/>
          <w:szCs w:val="32"/>
          <w:highlight w:val="none"/>
          <w:lang w:val="en-US" w:eastAsia="zh-CN" w:bidi="ar-SA"/>
        </w:rPr>
      </w:pPr>
      <w:r>
        <w:rPr>
          <w:rFonts w:hint="eastAsia" w:ascii="仿宋" w:hAnsi="仿宋" w:eastAsia="仿宋" w:cs="Times New Roman"/>
          <w:spacing w:val="-2"/>
          <w:kern w:val="2"/>
          <w:sz w:val="32"/>
          <w:szCs w:val="32"/>
          <w:highlight w:val="none"/>
          <w:lang w:val="en-US" w:eastAsia="zh-CN" w:bidi="ar-SA"/>
        </w:rPr>
        <w:t>为规范、合理、安全、有效使用专项资金，我单位制定了《财务管理制度》等相关制度，专项资金的管理和使用，遵循公开、公平、公正和统筹兼顾、突出重点、讲求效益的原则，确保专项资金使用的规范、安全和高效。为规范项目建设管理，我单位切实对项目实行跟踪式服务，从项目资金的下拨、项目跟进、资金投入等环节设置专门科室负责监督和管理，确保项目的实施和建设。</w:t>
      </w:r>
    </w:p>
    <w:p w14:paraId="79FD4BDE">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3" w:firstLineChars="200"/>
        <w:textAlignment w:val="auto"/>
        <w:rPr>
          <w:rFonts w:hint="default" w:ascii="Times New Roman Regular" w:hAnsi="Times New Roman Regular" w:eastAsia="仿宋_GB2312" w:cs="Times New Roman Regular"/>
          <w:b/>
          <w:bCs/>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（三）</w:t>
      </w:r>
      <w:r>
        <w:rPr>
          <w:rFonts w:hint="default" w:ascii="Times New Roman Regular" w:hAnsi="Times New Roman Regular" w:eastAsia="仿宋_GB2312" w:cs="Times New Roman Regular"/>
          <w:b/>
          <w:bCs/>
          <w:color w:val="auto"/>
          <w:sz w:val="32"/>
          <w:szCs w:val="32"/>
          <w:highlight w:val="none"/>
          <w:lang w:val="en-US" w:eastAsia="zh-CN"/>
        </w:rPr>
        <w:t>项目监管情况</w:t>
      </w:r>
    </w:p>
    <w:p w14:paraId="061BCCC7">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32" w:firstLineChars="200"/>
        <w:jc w:val="both"/>
        <w:textAlignment w:val="auto"/>
        <w:rPr>
          <w:rFonts w:hint="default"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按照本单位采取的项目管理办法对项目的执行进度严格监管，项目资金严格把控审批与支付流程，对</w:t>
      </w:r>
      <w:r>
        <w:rPr>
          <w:rFonts w:hint="default" w:ascii="仿宋" w:hAnsi="仿宋" w:eastAsia="仿宋" w:cs="Times New Roman"/>
          <w:spacing w:val="-2"/>
          <w:kern w:val="2"/>
          <w:sz w:val="32"/>
          <w:szCs w:val="32"/>
          <w:lang w:val="en-US" w:eastAsia="zh-CN" w:bidi="ar-SA"/>
        </w:rPr>
        <w:t>项目资金阶段性完成情况进行动态跟踪监控、监督检查纠偏处理、改进完善等管理活动。</w:t>
      </w:r>
    </w:p>
    <w:p w14:paraId="07DA9A5D">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eastAsia" w:ascii="方正黑体_GBK" w:hAnsi="方正黑体_GBK" w:eastAsia="方正黑体_GBK" w:cs="方正黑体_GBK"/>
          <w:color w:val="auto"/>
          <w:sz w:val="32"/>
          <w:szCs w:val="32"/>
          <w:highlight w:val="none"/>
          <w:lang w:val="en-US" w:eastAsia="zh-CN"/>
        </w:rPr>
      </w:pPr>
      <w:r>
        <w:rPr>
          <w:rFonts w:hint="eastAsia" w:ascii="方正黑体_GBK" w:hAnsi="方正黑体_GBK" w:eastAsia="方正黑体_GBK" w:cs="方正黑体_GBK"/>
          <w:color w:val="auto"/>
          <w:sz w:val="32"/>
          <w:szCs w:val="32"/>
          <w:highlight w:val="none"/>
          <w:lang w:val="en-US" w:eastAsia="zh-CN"/>
        </w:rPr>
        <w:t>四、项目绩效情况</w:t>
      </w:r>
    </w:p>
    <w:p w14:paraId="2A6416F7">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562" w:firstLineChars="20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（一）</w:t>
      </w:r>
      <w:r>
        <w:rPr>
          <w:rFonts w:hint="default" w:ascii="Times New Roman Regular" w:hAnsi="Times New Roman Regular" w:eastAsia="仿宋_GB2312" w:cs="Times New Roman Regular"/>
          <w:b/>
          <w:bCs/>
          <w:color w:val="auto"/>
          <w:sz w:val="28"/>
          <w:szCs w:val="28"/>
          <w:highlight w:val="none"/>
          <w:lang w:val="en-US" w:eastAsia="zh-CN"/>
        </w:rPr>
        <w:t>项目完成情况</w:t>
      </w:r>
    </w:p>
    <w:p w14:paraId="16439BF4">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32" w:firstLineChars="200"/>
        <w:jc w:val="both"/>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1.成本指标</w:t>
      </w:r>
    </w:p>
    <w:p w14:paraId="106EAD90">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32" w:firstLineChars="200"/>
        <w:jc w:val="both"/>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投入经费成本33,929.14万元;社会成本节约率0%；生态环境成本节约率0%，完成年初目标。</w:t>
      </w:r>
    </w:p>
    <w:p w14:paraId="194B26A3">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32" w:firstLineChars="200"/>
        <w:jc w:val="both"/>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2.产出指标</w:t>
      </w:r>
    </w:p>
    <w:p w14:paraId="4920AF3E">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32"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Times New Roman"/>
          <w:spacing w:val="-2"/>
          <w:kern w:val="2"/>
          <w:sz w:val="32"/>
          <w:szCs w:val="32"/>
          <w:lang w:val="en-US" w:eastAsia="zh-CN" w:bidi="ar-SA"/>
        </w:rPr>
        <w:t>（1）数量指标：</w:t>
      </w:r>
      <w:r>
        <w:rPr>
          <w:rFonts w:hint="eastAsia" w:ascii="仿宋" w:hAnsi="仿宋" w:eastAsia="仿宋" w:cs="仿宋"/>
          <w:b w:val="0"/>
          <w:bCs w:val="0"/>
          <w:sz w:val="32"/>
          <w:szCs w:val="32"/>
          <w:lang w:val="en-US" w:eastAsia="zh-CN"/>
        </w:rPr>
        <w:t>共筛选了146个全民所有土地资产管理和供地计划项目，总面积约651.17公顷（约9767.55亩），</w:t>
      </w:r>
      <w:r>
        <w:rPr>
          <w:rFonts w:hint="eastAsia" w:ascii="仿宋" w:hAnsi="仿宋" w:eastAsia="仿宋" w:cs="仿宋"/>
          <w:b w:val="0"/>
          <w:bCs w:val="0"/>
          <w:color w:val="auto"/>
          <w:sz w:val="32"/>
          <w:szCs w:val="32"/>
          <w:lang w:val="en-US" w:eastAsia="zh-CN"/>
        </w:rPr>
        <w:t>其中，2024年度供地计划项目共计97个，拟供应面积</w:t>
      </w:r>
      <w:r>
        <w:rPr>
          <w:rFonts w:hint="eastAsia" w:ascii="仿宋" w:hAnsi="仿宋" w:eastAsia="仿宋" w:cs="仿宋"/>
          <w:b w:val="0"/>
          <w:bCs w:val="0"/>
          <w:sz w:val="32"/>
          <w:szCs w:val="32"/>
          <w:lang w:val="en-US" w:eastAsia="zh-CN"/>
        </w:rPr>
        <w:t>310.48公顷（约4657.20亩），含商住类供地项目43</w:t>
      </w:r>
      <w:r>
        <w:rPr>
          <w:rFonts w:hint="eastAsia" w:ascii="仿宋" w:hAnsi="仿宋" w:eastAsia="仿宋" w:cs="仿宋"/>
          <w:b w:val="0"/>
          <w:bCs w:val="0"/>
          <w:sz w:val="32"/>
          <w:szCs w:val="32"/>
          <w:lang w:eastAsia="zh-CN"/>
        </w:rPr>
        <w:t>个，用地面积约</w:t>
      </w:r>
      <w:r>
        <w:rPr>
          <w:rFonts w:hint="eastAsia" w:ascii="仿宋" w:hAnsi="仿宋" w:eastAsia="仿宋" w:cs="仿宋"/>
          <w:b w:val="0"/>
          <w:bCs w:val="0"/>
          <w:sz w:val="32"/>
          <w:szCs w:val="32"/>
          <w:lang w:val="en-US" w:eastAsia="zh-CN"/>
        </w:rPr>
        <w:t>70.31公顷（约1054.65</w:t>
      </w:r>
      <w:r>
        <w:rPr>
          <w:rFonts w:hint="eastAsia" w:ascii="仿宋" w:hAnsi="仿宋" w:eastAsia="仿宋" w:cs="仿宋"/>
          <w:b w:val="0"/>
          <w:bCs w:val="0"/>
          <w:sz w:val="32"/>
          <w:szCs w:val="32"/>
          <w:lang w:eastAsia="zh-CN"/>
        </w:rPr>
        <w:t>亩）</w:t>
      </w:r>
      <w:r>
        <w:rPr>
          <w:rFonts w:hint="eastAsia" w:ascii="仿宋" w:hAnsi="仿宋" w:eastAsia="仿宋" w:cs="仿宋"/>
          <w:b w:val="0"/>
          <w:bCs w:val="0"/>
          <w:sz w:val="32"/>
          <w:szCs w:val="32"/>
          <w:lang w:val="en-US" w:eastAsia="zh-CN"/>
        </w:rPr>
        <w:t>。</w:t>
      </w:r>
    </w:p>
    <w:p w14:paraId="47F9F666">
      <w:pPr>
        <w:keepNext w:val="0"/>
        <w:keepLines w:val="0"/>
        <w:pageBreakBefore w:val="0"/>
        <w:widowControl w:val="0"/>
        <w:kinsoku/>
        <w:wordWrap/>
        <w:overflowPunct/>
        <w:topLinePunct w:val="0"/>
        <w:autoSpaceDE/>
        <w:autoSpaceDN/>
        <w:bidi w:val="0"/>
        <w:adjustRightInd/>
        <w:snapToGrid w:val="0"/>
        <w:spacing w:line="560" w:lineRule="exact"/>
        <w:ind w:firstLine="632" w:firstLineChars="200"/>
        <w:textAlignment w:val="auto"/>
        <w:rPr>
          <w:rFonts w:hint="eastAsia" w:ascii="仿宋" w:hAnsi="仿宋" w:eastAsia="仿宋" w:cs="Times New Roman"/>
          <w:spacing w:val="-2"/>
          <w:kern w:val="2"/>
          <w:sz w:val="32"/>
          <w:szCs w:val="32"/>
          <w:highlight w:val="none"/>
          <w:lang w:val="en-US" w:eastAsia="zh-CN" w:bidi="ar-SA"/>
        </w:rPr>
      </w:pPr>
      <w:r>
        <w:rPr>
          <w:rFonts w:hint="eastAsia" w:ascii="仿宋" w:hAnsi="仿宋" w:eastAsia="仿宋" w:cs="Times New Roman"/>
          <w:spacing w:val="-2"/>
          <w:kern w:val="2"/>
          <w:sz w:val="32"/>
          <w:szCs w:val="32"/>
          <w:highlight w:val="none"/>
          <w:lang w:val="en-US" w:eastAsia="zh-CN" w:bidi="ar-SA"/>
        </w:rPr>
        <w:t>（2）质量指标：2024年5月16日，经我局报请市人民政府同意，已批准下达《关于怀化市2024年全民所有土地资产管理和土地供应计划的批复》（怀政函[2024]46号），计划已向省厅完成备案；重点以湘商大会、旅发大会及仙人桥、高铁新城片区等重点项目为抓手，2024年先后完成了温德姆酒周边配套用地（全球湘商大会项目）、原莱孚铝厂（招商新华集团项目）、盛唐绿洲、高铁新城片区鹏飞电脑学校（新树仁驾校）、鸭嘴岩加油站、中央储粮怀化直属库公司用地新址等一批重点项目收储工作，确保了重点项目的供应。</w:t>
      </w:r>
    </w:p>
    <w:p w14:paraId="4489E7A8">
      <w:pPr>
        <w:keepNext w:val="0"/>
        <w:keepLines w:val="0"/>
        <w:pageBreakBefore w:val="0"/>
        <w:widowControl w:val="0"/>
        <w:kinsoku/>
        <w:wordWrap/>
        <w:overflowPunct/>
        <w:topLinePunct w:val="0"/>
        <w:autoSpaceDE/>
        <w:autoSpaceDN/>
        <w:bidi w:val="0"/>
        <w:adjustRightInd/>
        <w:snapToGrid w:val="0"/>
        <w:spacing w:line="560" w:lineRule="exact"/>
        <w:ind w:firstLine="632" w:firstLineChars="200"/>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highlight w:val="none"/>
          <w:lang w:val="en-US" w:eastAsia="zh-CN" w:bidi="ar-SA"/>
        </w:rPr>
        <w:t>（3）时效指标：完成及时，2024年12月底之前完成</w:t>
      </w:r>
      <w:r>
        <w:rPr>
          <w:rFonts w:hint="eastAsia" w:ascii="仿宋" w:hAnsi="仿宋" w:eastAsia="仿宋" w:cs="Times New Roman"/>
          <w:spacing w:val="-2"/>
          <w:kern w:val="2"/>
          <w:sz w:val="32"/>
          <w:szCs w:val="32"/>
          <w:lang w:val="en-US" w:eastAsia="zh-CN" w:bidi="ar-SA"/>
        </w:rPr>
        <w:t>。</w:t>
      </w:r>
    </w:p>
    <w:p w14:paraId="1D3D368F">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（二）</w:t>
      </w:r>
      <w:r>
        <w:rPr>
          <w:rFonts w:hint="default" w:ascii="Times New Roman Regular" w:hAnsi="Times New Roman Regular" w:eastAsia="仿宋_GB2312" w:cs="Times New Roman Regular"/>
          <w:b/>
          <w:bCs/>
          <w:color w:val="auto"/>
          <w:sz w:val="28"/>
          <w:szCs w:val="28"/>
          <w:highlight w:val="none"/>
          <w:lang w:val="en-US" w:eastAsia="zh-CN"/>
        </w:rPr>
        <w:t>项目效益情况</w:t>
      </w:r>
    </w:p>
    <w:p w14:paraId="58ECC7CF">
      <w:pPr>
        <w:keepNext w:val="0"/>
        <w:keepLines w:val="0"/>
        <w:pageBreakBefore w:val="0"/>
        <w:widowControl w:val="0"/>
        <w:kinsoku/>
        <w:wordWrap/>
        <w:overflowPunct/>
        <w:topLinePunct w:val="0"/>
        <w:autoSpaceDE/>
        <w:autoSpaceDN/>
        <w:bidi w:val="0"/>
        <w:adjustRightInd/>
        <w:snapToGrid w:val="0"/>
        <w:spacing w:line="560" w:lineRule="exact"/>
        <w:ind w:firstLine="632" w:firstLineChars="200"/>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1.项目的经济效益</w:t>
      </w:r>
    </w:p>
    <w:p w14:paraId="047C3149">
      <w:pPr>
        <w:keepNext w:val="0"/>
        <w:keepLines w:val="0"/>
        <w:pageBreakBefore w:val="0"/>
        <w:widowControl w:val="0"/>
        <w:kinsoku/>
        <w:wordWrap/>
        <w:overflowPunct/>
        <w:topLinePunct w:val="0"/>
        <w:autoSpaceDE/>
        <w:autoSpaceDN/>
        <w:bidi w:val="0"/>
        <w:adjustRightInd/>
        <w:snapToGrid w:val="0"/>
        <w:spacing w:line="560" w:lineRule="exact"/>
        <w:ind w:firstLine="632" w:firstLineChars="200"/>
        <w:textAlignment w:val="auto"/>
        <w:rPr>
          <w:rFonts w:hint="eastAsia" w:ascii="仿宋" w:hAnsi="仿宋" w:eastAsia="仿宋" w:cs="Times New Roman"/>
          <w:spacing w:val="-2"/>
          <w:kern w:val="2"/>
          <w:sz w:val="32"/>
          <w:szCs w:val="32"/>
          <w:highlight w:val="none"/>
          <w:lang w:val="en-US" w:eastAsia="zh-CN" w:bidi="ar-SA"/>
        </w:rPr>
      </w:pPr>
      <w:r>
        <w:rPr>
          <w:rFonts w:hint="eastAsia" w:ascii="仿宋" w:hAnsi="仿宋" w:eastAsia="仿宋" w:cs="Times New Roman"/>
          <w:spacing w:val="-2"/>
          <w:kern w:val="2"/>
          <w:sz w:val="32"/>
          <w:szCs w:val="32"/>
          <w:highlight w:val="none"/>
          <w:lang w:val="en-US" w:eastAsia="zh-CN" w:bidi="ar-SA"/>
        </w:rPr>
        <w:t>通过实施该项目，积极开展怀化市建设用地项目的报批工作，推进公共设施事业发展；依法征地拆迁，积极开展征拆工作，为项目的建设提供了充足的土地储备保障，加快了经济全面发展；坚持城乡规划引领城镇发展，科学合理布局生产建设、生活居住、公共设施，减少了重复建设，提高了经济效益；发放征地拆迁补偿资金，增加了农民的收入。该项目经济效益显著。</w:t>
      </w:r>
    </w:p>
    <w:p w14:paraId="3A678B0D">
      <w:pPr>
        <w:keepNext w:val="0"/>
        <w:keepLines w:val="0"/>
        <w:pageBreakBefore w:val="0"/>
        <w:widowControl w:val="0"/>
        <w:kinsoku/>
        <w:wordWrap/>
        <w:overflowPunct/>
        <w:topLinePunct w:val="0"/>
        <w:autoSpaceDE/>
        <w:autoSpaceDN/>
        <w:bidi w:val="0"/>
        <w:adjustRightInd/>
        <w:snapToGrid w:val="0"/>
        <w:spacing w:line="560" w:lineRule="exact"/>
        <w:ind w:firstLine="632" w:firstLineChars="200"/>
        <w:textAlignment w:val="auto"/>
        <w:rPr>
          <w:rFonts w:hint="eastAsia" w:ascii="仿宋" w:hAnsi="仿宋" w:eastAsia="仿宋" w:cs="Times New Roman"/>
          <w:spacing w:val="-2"/>
          <w:kern w:val="2"/>
          <w:sz w:val="32"/>
          <w:szCs w:val="32"/>
          <w:highlight w:val="none"/>
          <w:lang w:val="en-US" w:eastAsia="zh-CN" w:bidi="ar-SA"/>
        </w:rPr>
      </w:pPr>
      <w:r>
        <w:rPr>
          <w:rFonts w:hint="eastAsia" w:ascii="仿宋" w:hAnsi="仿宋" w:eastAsia="仿宋" w:cs="Times New Roman"/>
          <w:spacing w:val="-2"/>
          <w:kern w:val="2"/>
          <w:sz w:val="32"/>
          <w:szCs w:val="32"/>
          <w:highlight w:val="none"/>
          <w:lang w:val="en-US" w:eastAsia="zh-CN" w:bidi="ar-SA"/>
        </w:rPr>
        <w:t>2.项目的社会效益</w:t>
      </w:r>
    </w:p>
    <w:p w14:paraId="35E56E1C">
      <w:pPr>
        <w:keepNext w:val="0"/>
        <w:keepLines w:val="0"/>
        <w:pageBreakBefore w:val="0"/>
        <w:widowControl w:val="0"/>
        <w:kinsoku/>
        <w:wordWrap/>
        <w:overflowPunct/>
        <w:topLinePunct w:val="0"/>
        <w:autoSpaceDE/>
        <w:autoSpaceDN/>
        <w:bidi w:val="0"/>
        <w:adjustRightInd/>
        <w:snapToGrid w:val="0"/>
        <w:spacing w:line="560" w:lineRule="exact"/>
        <w:ind w:firstLine="632" w:firstLineChars="200"/>
        <w:textAlignment w:val="auto"/>
        <w:rPr>
          <w:rFonts w:hint="eastAsia" w:ascii="仿宋" w:hAnsi="仿宋" w:eastAsia="仿宋" w:cs="Times New Roman"/>
          <w:spacing w:val="-2"/>
          <w:kern w:val="2"/>
          <w:sz w:val="32"/>
          <w:szCs w:val="32"/>
          <w:highlight w:val="none"/>
          <w:lang w:val="en-US" w:eastAsia="zh-CN" w:bidi="ar-SA"/>
        </w:rPr>
      </w:pPr>
      <w:r>
        <w:rPr>
          <w:rFonts w:hint="eastAsia" w:ascii="仿宋" w:hAnsi="仿宋" w:eastAsia="仿宋" w:cs="Times New Roman"/>
          <w:spacing w:val="-2"/>
          <w:kern w:val="2"/>
          <w:sz w:val="32"/>
          <w:szCs w:val="32"/>
          <w:highlight w:val="none"/>
          <w:lang w:val="en-US" w:eastAsia="zh-CN" w:bidi="ar-SA"/>
        </w:rPr>
        <w:t>通过实施该项目，做好安置点建设，维护群众利益；依法征地拆迁，及时化解因征拆土地权属等纠纷产生的矛盾问题，密切了干群关系，维护社会稳定；各项征拆工作顺利开展，切实改变城乡面貌，不断提升城市品质。项目社会效益显著。</w:t>
      </w:r>
    </w:p>
    <w:p w14:paraId="1F2C6F17">
      <w:pPr>
        <w:keepNext w:val="0"/>
        <w:keepLines w:val="0"/>
        <w:pageBreakBefore w:val="0"/>
        <w:widowControl w:val="0"/>
        <w:kinsoku/>
        <w:wordWrap/>
        <w:overflowPunct/>
        <w:topLinePunct w:val="0"/>
        <w:autoSpaceDE/>
        <w:autoSpaceDN/>
        <w:bidi w:val="0"/>
        <w:adjustRightInd/>
        <w:snapToGrid w:val="0"/>
        <w:spacing w:line="560" w:lineRule="exact"/>
        <w:ind w:firstLine="632" w:firstLineChars="200"/>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3.项目的生态效益</w:t>
      </w:r>
    </w:p>
    <w:p w14:paraId="57D9974D">
      <w:pPr>
        <w:keepNext w:val="0"/>
        <w:keepLines w:val="0"/>
        <w:pageBreakBefore w:val="0"/>
        <w:widowControl w:val="0"/>
        <w:kinsoku/>
        <w:wordWrap/>
        <w:overflowPunct/>
        <w:topLinePunct w:val="0"/>
        <w:autoSpaceDE/>
        <w:autoSpaceDN/>
        <w:bidi w:val="0"/>
        <w:adjustRightInd/>
        <w:snapToGrid w:val="0"/>
        <w:spacing w:line="560" w:lineRule="exact"/>
        <w:ind w:firstLine="632" w:firstLineChars="200"/>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通过实施该项目，依法征地拆迁，坚持城乡规划引领城镇发展，科学合理布局生产建设、生活居住、公共设施，统筹工业区、商业区、生活区等的空间布局，实现人与自然的和谐，项目生态环境效益良好。</w:t>
      </w:r>
    </w:p>
    <w:p w14:paraId="307AFF9A">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316" w:firstLineChars="100"/>
        <w:jc w:val="both"/>
        <w:textAlignment w:val="auto"/>
        <w:rPr>
          <w:rFonts w:hint="default"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 xml:space="preserve"> 4.满意度指标人民群众满意度达 95%。完成年初目标。</w:t>
      </w:r>
    </w:p>
    <w:p w14:paraId="0EC689CD">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方正黑体_GBK" w:hAnsi="方正黑体_GBK" w:eastAsia="方正黑体_GBK" w:cs="方正黑体_GBK"/>
          <w:color w:val="auto"/>
          <w:sz w:val="32"/>
          <w:szCs w:val="32"/>
          <w:highlight w:val="none"/>
          <w:lang w:val="en-US" w:eastAsia="zh-CN"/>
        </w:rPr>
      </w:pPr>
      <w:r>
        <w:rPr>
          <w:rFonts w:hint="eastAsia" w:ascii="方正黑体_GBK" w:hAnsi="方正黑体_GBK" w:eastAsia="方正黑体_GBK" w:cs="方正黑体_GBK"/>
          <w:color w:val="auto"/>
          <w:sz w:val="32"/>
          <w:szCs w:val="32"/>
          <w:highlight w:val="none"/>
          <w:lang w:val="en-US" w:eastAsia="zh-CN"/>
        </w:rPr>
        <w:t>五、</w:t>
      </w:r>
      <w:r>
        <w:rPr>
          <w:rFonts w:hint="default" w:ascii="方正黑体_GBK" w:hAnsi="方正黑体_GBK" w:eastAsia="方正黑体_GBK" w:cs="方正黑体_GBK"/>
          <w:color w:val="auto"/>
          <w:sz w:val="32"/>
          <w:szCs w:val="32"/>
          <w:highlight w:val="none"/>
          <w:lang w:val="en-US" w:eastAsia="zh-CN"/>
        </w:rPr>
        <w:t>评价结论及建议</w:t>
      </w:r>
    </w:p>
    <w:p w14:paraId="27376260">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（一）</w:t>
      </w:r>
      <w:r>
        <w:rPr>
          <w:rFonts w:hint="default" w:ascii="Times New Roman Regular" w:hAnsi="Times New Roman Regular" w:eastAsia="仿宋_GB2312" w:cs="Times New Roman Regular"/>
          <w:b/>
          <w:bCs/>
          <w:color w:val="auto"/>
          <w:sz w:val="28"/>
          <w:szCs w:val="28"/>
          <w:highlight w:val="none"/>
          <w:lang w:val="en-US" w:eastAsia="zh-CN"/>
        </w:rPr>
        <w:t>评价结论</w:t>
      </w:r>
    </w:p>
    <w:p w14:paraId="78BA1361">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32" w:firstLineChars="200"/>
        <w:jc w:val="both"/>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根据2024年度绩效评价指标，根据本单位在2024年度实际按照绩效指标设立的完成情况综合分析，该项目综合得分为100分，绩效评价等级为优。</w:t>
      </w:r>
    </w:p>
    <w:p w14:paraId="3843F067">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（二）</w:t>
      </w:r>
      <w:r>
        <w:rPr>
          <w:rFonts w:hint="default" w:ascii="Times New Roman Regular" w:hAnsi="Times New Roman Regular" w:eastAsia="仿宋_GB2312" w:cs="Times New Roman Regular"/>
          <w:b/>
          <w:bCs/>
          <w:color w:val="auto"/>
          <w:sz w:val="28"/>
          <w:szCs w:val="28"/>
          <w:highlight w:val="none"/>
          <w:lang w:val="en-US" w:eastAsia="zh-CN"/>
        </w:rPr>
        <w:t>存在的问题</w:t>
      </w:r>
    </w:p>
    <w:p w14:paraId="73C44CC3">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32" w:firstLineChars="200"/>
        <w:jc w:val="both"/>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我单位财政支出绩效管理工作还存在绩效目标申报不够全面，绩效指标量化不够，绩效评价手段和方法有待优化，绩效自评组织实施还不够规范等问题。</w:t>
      </w:r>
    </w:p>
    <w:p w14:paraId="6E5EDDA3">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（三）</w:t>
      </w:r>
      <w:r>
        <w:rPr>
          <w:rFonts w:hint="default" w:ascii="Times New Roman Regular" w:hAnsi="Times New Roman Regular" w:eastAsia="仿宋_GB2312" w:cs="Times New Roman Regular"/>
          <w:b/>
          <w:bCs/>
          <w:color w:val="auto"/>
          <w:sz w:val="28"/>
          <w:szCs w:val="28"/>
          <w:highlight w:val="none"/>
          <w:lang w:val="en-US" w:eastAsia="zh-CN"/>
        </w:rPr>
        <w:t>相关建议</w:t>
      </w:r>
    </w:p>
    <w:p w14:paraId="06DDDA93">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32" w:firstLineChars="200"/>
        <w:jc w:val="both"/>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建议继续加强对各部门申报项目的指导，使项目编制更加符合绩效评价相关要求，适时开展培训，提高各部门、实施单位对专项资金使用绩效评价工作，重要意义的认识，牢固树立绩效管理理念，同时进一步提高绩效评价工作方式、方法，将已完成的所有工作绩效成果充分体现出来。</w:t>
      </w:r>
    </w:p>
    <w:p w14:paraId="4D8AC320">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32" w:firstLineChars="200"/>
        <w:jc w:val="both"/>
        <w:textAlignment w:val="auto"/>
        <w:rPr>
          <w:rFonts w:hint="default" w:ascii="仿宋" w:hAnsi="仿宋" w:eastAsia="仿宋" w:cs="Times New Roman"/>
          <w:spacing w:val="-2"/>
          <w:kern w:val="2"/>
          <w:sz w:val="32"/>
          <w:szCs w:val="32"/>
          <w:lang w:val="en-US" w:eastAsia="zh-CN" w:bidi="ar-SA"/>
        </w:rPr>
      </w:pPr>
    </w:p>
    <w:p w14:paraId="4FBDB2B0">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4D5C4965">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7A5CA6C1">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64811DF0">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t>附件7</w:t>
      </w:r>
    </w:p>
    <w:p w14:paraId="29B5B42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 xml:space="preserve">      市直部门绩效联络员名单统计表</w:t>
      </w:r>
    </w:p>
    <w:p w14:paraId="1218007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83"/>
        <w:gridCol w:w="2184"/>
        <w:gridCol w:w="2184"/>
        <w:gridCol w:w="2184"/>
      </w:tblGrid>
      <w:tr w14:paraId="16D48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3" w:type="dxa"/>
          </w:tcPr>
          <w:p w14:paraId="506388FE">
            <w:pPr>
              <w:keepNext w:val="0"/>
              <w:keepLines w:val="0"/>
              <w:pageBreakBefore w:val="0"/>
              <w:widowControl w:val="0"/>
              <w:kinsoku/>
              <w:wordWrap/>
              <w:overflowPunct/>
              <w:topLinePunct w:val="0"/>
              <w:autoSpaceDE/>
              <w:autoSpaceDN/>
              <w:bidi w:val="0"/>
              <w:adjustRightInd/>
              <w:snapToGrid w:val="0"/>
              <w:spacing w:line="520" w:lineRule="exact"/>
              <w:ind w:firstLine="241" w:firstLineChars="100"/>
              <w:textAlignment w:val="auto"/>
              <w:rPr>
                <w:rFonts w:hint="default" w:ascii="Times New Roman Regular" w:hAnsi="Times New Roman Regular" w:eastAsia="仿宋_GB2312" w:cs="Times New Roman Regular"/>
                <w:color w:val="auto"/>
                <w:sz w:val="24"/>
                <w:szCs w:val="24"/>
                <w:highlight w:val="none"/>
                <w:vertAlign w:val="baseline"/>
                <w:lang w:val="en-US" w:eastAsia="zh-CN"/>
              </w:rPr>
            </w:pPr>
            <w:r>
              <w:rPr>
                <w:rFonts w:hint="eastAsia" w:ascii="Times New Roman Regular" w:hAnsi="Times New Roman Regular" w:eastAsia="仿宋_GB2312" w:cs="Times New Roman Regular"/>
                <w:b/>
                <w:bCs/>
                <w:color w:val="auto"/>
                <w:sz w:val="24"/>
                <w:szCs w:val="24"/>
                <w:highlight w:val="none"/>
                <w:vertAlign w:val="baseline"/>
                <w:lang w:val="en-US" w:eastAsia="zh-CN"/>
              </w:rPr>
              <w:t>部门单位名称</w:t>
            </w:r>
          </w:p>
        </w:tc>
        <w:tc>
          <w:tcPr>
            <w:tcW w:w="2184" w:type="dxa"/>
          </w:tcPr>
          <w:p w14:paraId="7FA37DC0">
            <w:pPr>
              <w:keepNext w:val="0"/>
              <w:keepLines w:val="0"/>
              <w:pageBreakBefore w:val="0"/>
              <w:widowControl w:val="0"/>
              <w:kinsoku/>
              <w:wordWrap/>
              <w:overflowPunct/>
              <w:topLinePunct w:val="0"/>
              <w:autoSpaceDE/>
              <w:autoSpaceDN/>
              <w:bidi w:val="0"/>
              <w:adjustRightInd/>
              <w:snapToGrid w:val="0"/>
              <w:spacing w:line="520" w:lineRule="exact"/>
              <w:ind w:firstLine="241" w:firstLineChars="100"/>
              <w:textAlignment w:val="auto"/>
              <w:rPr>
                <w:rFonts w:hint="default" w:ascii="Times New Roman Regular" w:hAnsi="Times New Roman Regular" w:eastAsia="仿宋_GB2312" w:cs="Times New Roman Regular"/>
                <w:color w:val="auto"/>
                <w:sz w:val="24"/>
                <w:szCs w:val="24"/>
                <w:highlight w:val="none"/>
                <w:vertAlign w:val="baseline"/>
                <w:lang w:val="en-US" w:eastAsia="zh-CN"/>
              </w:rPr>
            </w:pPr>
            <w:r>
              <w:rPr>
                <w:rFonts w:hint="eastAsia" w:ascii="Times New Roman Regular" w:hAnsi="Times New Roman Regular" w:eastAsia="仿宋_GB2312" w:cs="Times New Roman Regular"/>
                <w:b/>
                <w:bCs/>
                <w:color w:val="auto"/>
                <w:sz w:val="24"/>
                <w:szCs w:val="24"/>
                <w:highlight w:val="none"/>
                <w:vertAlign w:val="baseline"/>
                <w:lang w:val="en-US" w:eastAsia="zh-CN"/>
              </w:rPr>
              <w:t>绩效联络员姓名</w:t>
            </w:r>
          </w:p>
        </w:tc>
        <w:tc>
          <w:tcPr>
            <w:tcW w:w="2184" w:type="dxa"/>
          </w:tcPr>
          <w:p w14:paraId="7E5E031F">
            <w:pPr>
              <w:keepNext w:val="0"/>
              <w:keepLines w:val="0"/>
              <w:pageBreakBefore w:val="0"/>
              <w:widowControl w:val="0"/>
              <w:kinsoku/>
              <w:wordWrap/>
              <w:overflowPunct/>
              <w:topLinePunct w:val="0"/>
              <w:autoSpaceDE/>
              <w:autoSpaceDN/>
              <w:bidi w:val="0"/>
              <w:adjustRightInd/>
              <w:snapToGrid w:val="0"/>
              <w:spacing w:line="520" w:lineRule="exact"/>
              <w:ind w:firstLine="482" w:firstLineChars="200"/>
              <w:textAlignment w:val="auto"/>
              <w:rPr>
                <w:rFonts w:hint="default" w:ascii="Times New Roman Regular" w:hAnsi="Times New Roman Regular" w:eastAsia="仿宋_GB2312" w:cs="Times New Roman Regular"/>
                <w:color w:val="auto"/>
                <w:sz w:val="24"/>
                <w:szCs w:val="24"/>
                <w:highlight w:val="none"/>
                <w:vertAlign w:val="baseline"/>
                <w:lang w:val="en-US" w:eastAsia="zh-CN"/>
              </w:rPr>
            </w:pPr>
            <w:r>
              <w:rPr>
                <w:rFonts w:hint="eastAsia" w:ascii="Times New Roman Regular" w:hAnsi="Times New Roman Regular" w:eastAsia="仿宋_GB2312" w:cs="Times New Roman Regular"/>
                <w:b/>
                <w:bCs/>
                <w:color w:val="auto"/>
                <w:sz w:val="24"/>
                <w:szCs w:val="24"/>
                <w:highlight w:val="none"/>
                <w:vertAlign w:val="baseline"/>
                <w:lang w:val="en-US" w:eastAsia="zh-CN"/>
              </w:rPr>
              <w:t>职务职级</w:t>
            </w:r>
          </w:p>
        </w:tc>
        <w:tc>
          <w:tcPr>
            <w:tcW w:w="2184" w:type="dxa"/>
          </w:tcPr>
          <w:p w14:paraId="1382502C">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24"/>
                <w:szCs w:val="24"/>
                <w:highlight w:val="none"/>
                <w:vertAlign w:val="baseline"/>
                <w:lang w:val="en-US" w:eastAsia="zh-CN"/>
              </w:rPr>
            </w:pPr>
            <w:r>
              <w:rPr>
                <w:rFonts w:hint="eastAsia" w:ascii="Times New Roman Regular" w:hAnsi="Times New Roman Regular" w:eastAsia="仿宋_GB2312" w:cs="Times New Roman Regular"/>
                <w:color w:val="auto"/>
                <w:sz w:val="24"/>
                <w:szCs w:val="24"/>
                <w:highlight w:val="none"/>
                <w:vertAlign w:val="baseline"/>
                <w:lang w:val="en-US" w:eastAsia="zh-CN"/>
              </w:rPr>
              <w:t xml:space="preserve">  </w:t>
            </w:r>
            <w:r>
              <w:rPr>
                <w:rFonts w:hint="eastAsia" w:ascii="Times New Roman Regular" w:hAnsi="Times New Roman Regular" w:eastAsia="仿宋_GB2312" w:cs="Times New Roman Regular"/>
                <w:b/>
                <w:bCs/>
                <w:color w:val="auto"/>
                <w:sz w:val="24"/>
                <w:szCs w:val="24"/>
                <w:highlight w:val="none"/>
                <w:vertAlign w:val="baseline"/>
                <w:lang w:val="en-US" w:eastAsia="zh-CN"/>
              </w:rPr>
              <w:t xml:space="preserve"> 联系方式</w:t>
            </w:r>
          </w:p>
        </w:tc>
      </w:tr>
      <w:tr w14:paraId="166BC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3" w:type="dxa"/>
          </w:tcPr>
          <w:p w14:paraId="67424EEC">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jc w:val="both"/>
              <w:textAlignment w:val="auto"/>
              <w:rPr>
                <w:rFonts w:hint="default" w:ascii="仿宋" w:hAnsi="仿宋" w:eastAsia="仿宋" w:cs="Times New Roman"/>
                <w:spacing w:val="-2"/>
                <w:kern w:val="2"/>
                <w:sz w:val="22"/>
                <w:szCs w:val="22"/>
                <w:lang w:val="en-US" w:eastAsia="zh-CN" w:bidi="ar-SA"/>
              </w:rPr>
            </w:pPr>
            <w:r>
              <w:rPr>
                <w:rFonts w:hint="eastAsia" w:ascii="仿宋" w:hAnsi="仿宋" w:eastAsia="仿宋" w:cs="Times New Roman"/>
                <w:spacing w:val="-2"/>
                <w:kern w:val="2"/>
                <w:sz w:val="22"/>
                <w:szCs w:val="22"/>
                <w:lang w:val="en-US" w:eastAsia="zh-CN" w:bidi="ar-SA"/>
              </w:rPr>
              <w:t>怀化市土地储备中心</w:t>
            </w:r>
          </w:p>
        </w:tc>
        <w:tc>
          <w:tcPr>
            <w:tcW w:w="2184" w:type="dxa"/>
          </w:tcPr>
          <w:p w14:paraId="00BB5EBD">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8" w:firstLineChars="300"/>
              <w:jc w:val="both"/>
              <w:textAlignment w:val="auto"/>
              <w:rPr>
                <w:rFonts w:hint="default" w:ascii="仿宋" w:hAnsi="仿宋" w:eastAsia="仿宋" w:cs="Times New Roman"/>
                <w:spacing w:val="-2"/>
                <w:kern w:val="2"/>
                <w:sz w:val="22"/>
                <w:szCs w:val="22"/>
                <w:lang w:val="en-US" w:eastAsia="zh-CN" w:bidi="ar-SA"/>
              </w:rPr>
            </w:pPr>
            <w:r>
              <w:rPr>
                <w:rFonts w:hint="eastAsia" w:ascii="仿宋" w:hAnsi="仿宋" w:eastAsia="仿宋" w:cs="Times New Roman"/>
                <w:spacing w:val="-2"/>
                <w:kern w:val="2"/>
                <w:sz w:val="22"/>
                <w:szCs w:val="22"/>
                <w:lang w:val="en-US" w:eastAsia="zh-CN" w:bidi="ar-SA"/>
              </w:rPr>
              <w:t xml:space="preserve"> 尹强</w:t>
            </w:r>
          </w:p>
        </w:tc>
        <w:tc>
          <w:tcPr>
            <w:tcW w:w="2184" w:type="dxa"/>
          </w:tcPr>
          <w:p w14:paraId="06ACCBF4">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432" w:firstLineChars="200"/>
              <w:jc w:val="both"/>
              <w:textAlignment w:val="auto"/>
              <w:rPr>
                <w:rFonts w:hint="default" w:ascii="仿宋" w:hAnsi="仿宋" w:eastAsia="仿宋" w:cs="Times New Roman"/>
                <w:spacing w:val="-2"/>
                <w:kern w:val="2"/>
                <w:sz w:val="22"/>
                <w:szCs w:val="22"/>
                <w:lang w:val="en-US" w:eastAsia="zh-CN" w:bidi="ar-SA"/>
              </w:rPr>
            </w:pPr>
            <w:r>
              <w:rPr>
                <w:rFonts w:hint="eastAsia" w:ascii="仿宋" w:hAnsi="仿宋" w:eastAsia="仿宋" w:cs="Times New Roman"/>
                <w:spacing w:val="-2"/>
                <w:kern w:val="2"/>
                <w:sz w:val="22"/>
                <w:szCs w:val="22"/>
                <w:lang w:val="en-US" w:eastAsia="zh-CN" w:bidi="ar-SA"/>
              </w:rPr>
              <w:t xml:space="preserve">  财务</w:t>
            </w:r>
          </w:p>
        </w:tc>
        <w:tc>
          <w:tcPr>
            <w:tcW w:w="2184" w:type="dxa"/>
          </w:tcPr>
          <w:p w14:paraId="1B5B5F3D">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432" w:firstLineChars="200"/>
              <w:jc w:val="both"/>
              <w:textAlignment w:val="auto"/>
              <w:rPr>
                <w:rFonts w:hint="default" w:ascii="仿宋" w:hAnsi="仿宋" w:eastAsia="仿宋" w:cs="Times New Roman"/>
                <w:spacing w:val="-2"/>
                <w:kern w:val="2"/>
                <w:sz w:val="22"/>
                <w:szCs w:val="22"/>
                <w:lang w:val="en-US" w:eastAsia="zh-CN" w:bidi="ar-SA"/>
              </w:rPr>
            </w:pPr>
            <w:bookmarkStart w:id="0" w:name="_GoBack"/>
            <w:bookmarkEnd w:id="0"/>
          </w:p>
        </w:tc>
      </w:tr>
      <w:tr w14:paraId="49849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3" w:type="dxa"/>
          </w:tcPr>
          <w:p w14:paraId="36FC2F4B">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432" w:firstLineChars="200"/>
              <w:jc w:val="both"/>
              <w:textAlignment w:val="auto"/>
              <w:rPr>
                <w:rFonts w:hint="default" w:ascii="仿宋" w:hAnsi="仿宋" w:eastAsia="仿宋" w:cs="Times New Roman"/>
                <w:spacing w:val="-2"/>
                <w:kern w:val="2"/>
                <w:sz w:val="22"/>
                <w:szCs w:val="22"/>
                <w:lang w:val="en-US" w:eastAsia="zh-CN" w:bidi="ar-SA"/>
              </w:rPr>
            </w:pPr>
          </w:p>
        </w:tc>
        <w:tc>
          <w:tcPr>
            <w:tcW w:w="2184" w:type="dxa"/>
          </w:tcPr>
          <w:p w14:paraId="7C155CD6">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432" w:firstLineChars="200"/>
              <w:jc w:val="both"/>
              <w:textAlignment w:val="auto"/>
              <w:rPr>
                <w:rFonts w:hint="default" w:ascii="仿宋" w:hAnsi="仿宋" w:eastAsia="仿宋" w:cs="Times New Roman"/>
                <w:spacing w:val="-2"/>
                <w:kern w:val="2"/>
                <w:sz w:val="22"/>
                <w:szCs w:val="22"/>
                <w:lang w:val="en-US" w:eastAsia="zh-CN" w:bidi="ar-SA"/>
              </w:rPr>
            </w:pPr>
          </w:p>
        </w:tc>
        <w:tc>
          <w:tcPr>
            <w:tcW w:w="2184" w:type="dxa"/>
          </w:tcPr>
          <w:p w14:paraId="16D8290C">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432" w:firstLineChars="200"/>
              <w:jc w:val="both"/>
              <w:textAlignment w:val="auto"/>
              <w:rPr>
                <w:rFonts w:hint="default" w:ascii="仿宋" w:hAnsi="仿宋" w:eastAsia="仿宋" w:cs="Times New Roman"/>
                <w:spacing w:val="-2"/>
                <w:kern w:val="2"/>
                <w:sz w:val="22"/>
                <w:szCs w:val="22"/>
                <w:lang w:val="en-US" w:eastAsia="zh-CN" w:bidi="ar-SA"/>
              </w:rPr>
            </w:pPr>
          </w:p>
        </w:tc>
        <w:tc>
          <w:tcPr>
            <w:tcW w:w="2184" w:type="dxa"/>
          </w:tcPr>
          <w:p w14:paraId="1D052317">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432" w:firstLineChars="200"/>
              <w:jc w:val="both"/>
              <w:textAlignment w:val="auto"/>
              <w:rPr>
                <w:rFonts w:hint="default" w:ascii="仿宋" w:hAnsi="仿宋" w:eastAsia="仿宋" w:cs="Times New Roman"/>
                <w:spacing w:val="-2"/>
                <w:kern w:val="2"/>
                <w:sz w:val="22"/>
                <w:szCs w:val="22"/>
                <w:lang w:val="en-US" w:eastAsia="zh-CN" w:bidi="ar-SA"/>
              </w:rPr>
            </w:pPr>
          </w:p>
        </w:tc>
      </w:tr>
      <w:tr w14:paraId="364D2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3" w:type="dxa"/>
          </w:tcPr>
          <w:p w14:paraId="578C513D">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432" w:firstLineChars="200"/>
              <w:jc w:val="both"/>
              <w:textAlignment w:val="auto"/>
              <w:rPr>
                <w:rFonts w:hint="default" w:ascii="仿宋" w:hAnsi="仿宋" w:eastAsia="仿宋" w:cs="Times New Roman"/>
                <w:spacing w:val="-2"/>
                <w:kern w:val="2"/>
                <w:sz w:val="22"/>
                <w:szCs w:val="22"/>
                <w:lang w:val="en-US" w:eastAsia="zh-CN" w:bidi="ar-SA"/>
              </w:rPr>
            </w:pPr>
          </w:p>
        </w:tc>
        <w:tc>
          <w:tcPr>
            <w:tcW w:w="2184" w:type="dxa"/>
          </w:tcPr>
          <w:p w14:paraId="2D88D9CC">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432" w:firstLineChars="200"/>
              <w:jc w:val="both"/>
              <w:textAlignment w:val="auto"/>
              <w:rPr>
                <w:rFonts w:hint="default" w:ascii="仿宋" w:hAnsi="仿宋" w:eastAsia="仿宋" w:cs="Times New Roman"/>
                <w:spacing w:val="-2"/>
                <w:kern w:val="2"/>
                <w:sz w:val="22"/>
                <w:szCs w:val="22"/>
                <w:lang w:val="en-US" w:eastAsia="zh-CN" w:bidi="ar-SA"/>
              </w:rPr>
            </w:pPr>
          </w:p>
        </w:tc>
        <w:tc>
          <w:tcPr>
            <w:tcW w:w="2184" w:type="dxa"/>
          </w:tcPr>
          <w:p w14:paraId="0F53FB35">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432" w:firstLineChars="200"/>
              <w:jc w:val="both"/>
              <w:textAlignment w:val="auto"/>
              <w:rPr>
                <w:rFonts w:hint="default" w:ascii="仿宋" w:hAnsi="仿宋" w:eastAsia="仿宋" w:cs="Times New Roman"/>
                <w:spacing w:val="-2"/>
                <w:kern w:val="2"/>
                <w:sz w:val="22"/>
                <w:szCs w:val="22"/>
                <w:lang w:val="en-US" w:eastAsia="zh-CN" w:bidi="ar-SA"/>
              </w:rPr>
            </w:pPr>
          </w:p>
        </w:tc>
        <w:tc>
          <w:tcPr>
            <w:tcW w:w="2184" w:type="dxa"/>
          </w:tcPr>
          <w:p w14:paraId="0F79A40F">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432" w:firstLineChars="200"/>
              <w:jc w:val="both"/>
              <w:textAlignment w:val="auto"/>
              <w:rPr>
                <w:rFonts w:hint="default" w:ascii="仿宋" w:hAnsi="仿宋" w:eastAsia="仿宋" w:cs="Times New Roman"/>
                <w:spacing w:val="-2"/>
                <w:kern w:val="2"/>
                <w:sz w:val="22"/>
                <w:szCs w:val="22"/>
                <w:lang w:val="en-US" w:eastAsia="zh-CN" w:bidi="ar-SA"/>
              </w:rPr>
            </w:pPr>
          </w:p>
        </w:tc>
      </w:tr>
      <w:tr w14:paraId="6C852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3" w:type="dxa"/>
          </w:tcPr>
          <w:p w14:paraId="7E2730D6">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432" w:firstLineChars="200"/>
              <w:jc w:val="both"/>
              <w:textAlignment w:val="auto"/>
              <w:rPr>
                <w:rFonts w:hint="default" w:ascii="仿宋" w:hAnsi="仿宋" w:eastAsia="仿宋" w:cs="Times New Roman"/>
                <w:spacing w:val="-2"/>
                <w:kern w:val="2"/>
                <w:sz w:val="22"/>
                <w:szCs w:val="22"/>
                <w:lang w:val="en-US" w:eastAsia="zh-CN" w:bidi="ar-SA"/>
              </w:rPr>
            </w:pPr>
          </w:p>
        </w:tc>
        <w:tc>
          <w:tcPr>
            <w:tcW w:w="2184" w:type="dxa"/>
          </w:tcPr>
          <w:p w14:paraId="3D7FD0A1">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432" w:firstLineChars="200"/>
              <w:jc w:val="both"/>
              <w:textAlignment w:val="auto"/>
              <w:rPr>
                <w:rFonts w:hint="default" w:ascii="仿宋" w:hAnsi="仿宋" w:eastAsia="仿宋" w:cs="Times New Roman"/>
                <w:spacing w:val="-2"/>
                <w:kern w:val="2"/>
                <w:sz w:val="22"/>
                <w:szCs w:val="22"/>
                <w:lang w:val="en-US" w:eastAsia="zh-CN" w:bidi="ar-SA"/>
              </w:rPr>
            </w:pPr>
          </w:p>
        </w:tc>
        <w:tc>
          <w:tcPr>
            <w:tcW w:w="2184" w:type="dxa"/>
          </w:tcPr>
          <w:p w14:paraId="6CCC96AF">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432" w:firstLineChars="200"/>
              <w:jc w:val="both"/>
              <w:textAlignment w:val="auto"/>
              <w:rPr>
                <w:rFonts w:hint="default" w:ascii="仿宋" w:hAnsi="仿宋" w:eastAsia="仿宋" w:cs="Times New Roman"/>
                <w:spacing w:val="-2"/>
                <w:kern w:val="2"/>
                <w:sz w:val="22"/>
                <w:szCs w:val="22"/>
                <w:lang w:val="en-US" w:eastAsia="zh-CN" w:bidi="ar-SA"/>
              </w:rPr>
            </w:pPr>
          </w:p>
        </w:tc>
        <w:tc>
          <w:tcPr>
            <w:tcW w:w="2184" w:type="dxa"/>
          </w:tcPr>
          <w:p w14:paraId="543EDF1D">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432" w:firstLineChars="200"/>
              <w:jc w:val="both"/>
              <w:textAlignment w:val="auto"/>
              <w:rPr>
                <w:rFonts w:hint="default" w:ascii="仿宋" w:hAnsi="仿宋" w:eastAsia="仿宋" w:cs="Times New Roman"/>
                <w:spacing w:val="-2"/>
                <w:kern w:val="2"/>
                <w:sz w:val="22"/>
                <w:szCs w:val="22"/>
                <w:lang w:val="en-US" w:eastAsia="zh-CN" w:bidi="ar-SA"/>
              </w:rPr>
            </w:pPr>
          </w:p>
        </w:tc>
      </w:tr>
      <w:tr w14:paraId="790F1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3" w:type="dxa"/>
          </w:tcPr>
          <w:p w14:paraId="1FE41AE7">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432" w:firstLineChars="200"/>
              <w:jc w:val="both"/>
              <w:textAlignment w:val="auto"/>
              <w:rPr>
                <w:rFonts w:hint="default" w:ascii="仿宋" w:hAnsi="仿宋" w:eastAsia="仿宋" w:cs="Times New Roman"/>
                <w:spacing w:val="-2"/>
                <w:kern w:val="2"/>
                <w:sz w:val="22"/>
                <w:szCs w:val="22"/>
                <w:lang w:val="en-US" w:eastAsia="zh-CN" w:bidi="ar-SA"/>
              </w:rPr>
            </w:pPr>
          </w:p>
        </w:tc>
        <w:tc>
          <w:tcPr>
            <w:tcW w:w="2184" w:type="dxa"/>
          </w:tcPr>
          <w:p w14:paraId="214AAA2E">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432" w:firstLineChars="200"/>
              <w:jc w:val="both"/>
              <w:textAlignment w:val="auto"/>
              <w:rPr>
                <w:rFonts w:hint="default" w:ascii="仿宋" w:hAnsi="仿宋" w:eastAsia="仿宋" w:cs="Times New Roman"/>
                <w:spacing w:val="-2"/>
                <w:kern w:val="2"/>
                <w:sz w:val="22"/>
                <w:szCs w:val="22"/>
                <w:lang w:val="en-US" w:eastAsia="zh-CN" w:bidi="ar-SA"/>
              </w:rPr>
            </w:pPr>
          </w:p>
        </w:tc>
        <w:tc>
          <w:tcPr>
            <w:tcW w:w="2184" w:type="dxa"/>
          </w:tcPr>
          <w:p w14:paraId="75071185">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432" w:firstLineChars="200"/>
              <w:jc w:val="both"/>
              <w:textAlignment w:val="auto"/>
              <w:rPr>
                <w:rFonts w:hint="default" w:ascii="仿宋" w:hAnsi="仿宋" w:eastAsia="仿宋" w:cs="Times New Roman"/>
                <w:spacing w:val="-2"/>
                <w:kern w:val="2"/>
                <w:sz w:val="22"/>
                <w:szCs w:val="22"/>
                <w:lang w:val="en-US" w:eastAsia="zh-CN" w:bidi="ar-SA"/>
              </w:rPr>
            </w:pPr>
          </w:p>
        </w:tc>
        <w:tc>
          <w:tcPr>
            <w:tcW w:w="2184" w:type="dxa"/>
          </w:tcPr>
          <w:p w14:paraId="5D31C4F6">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432" w:firstLineChars="200"/>
              <w:jc w:val="both"/>
              <w:textAlignment w:val="auto"/>
              <w:rPr>
                <w:rFonts w:hint="default" w:ascii="仿宋" w:hAnsi="仿宋" w:eastAsia="仿宋" w:cs="Times New Roman"/>
                <w:spacing w:val="-2"/>
                <w:kern w:val="2"/>
                <w:sz w:val="22"/>
                <w:szCs w:val="22"/>
                <w:lang w:val="en-US" w:eastAsia="zh-CN" w:bidi="ar-SA"/>
              </w:rPr>
            </w:pPr>
          </w:p>
        </w:tc>
      </w:tr>
    </w:tbl>
    <w:p w14:paraId="3B83C2D1">
      <w:pPr>
        <w:keepNext w:val="0"/>
        <w:keepLines w:val="0"/>
        <w:pageBreakBefore w:val="0"/>
        <w:widowControl w:val="0"/>
        <w:kinsoku/>
        <w:wordWrap/>
        <w:overflowPunct/>
        <w:topLinePunct w:val="0"/>
        <w:autoSpaceDE/>
        <w:autoSpaceDN/>
        <w:bidi w:val="0"/>
        <w:adjustRightInd/>
        <w:snapToGrid w:val="0"/>
        <w:spacing w:line="520" w:lineRule="exact"/>
        <w:ind w:firstLine="440" w:firstLineChars="200"/>
        <w:textAlignment w:val="auto"/>
        <w:rPr>
          <w:rFonts w:hint="default" w:ascii="Times New Roman Regular" w:hAnsi="Times New Roman Regular" w:eastAsia="仿宋_GB2312" w:cs="Times New Roman Regular"/>
          <w:color w:val="auto"/>
          <w:sz w:val="22"/>
          <w:szCs w:val="22"/>
          <w:highlight w:val="none"/>
          <w:lang w:val="en-US" w:eastAsia="zh-CN"/>
        </w:rPr>
      </w:pPr>
    </w:p>
    <w:sectPr>
      <w:footerReference r:id="rId3" w:type="default"/>
      <w:pgSz w:w="11906" w:h="16838"/>
      <w:pgMar w:top="2098" w:right="1800"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823029C-0C12-467D-9E37-144322B405F1}"/>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72B1A827-3AE3-4D19-9097-D5B36E90D7C6}"/>
  </w:font>
  <w:font w:name="仿宋_GB2312">
    <w:panose1 w:val="02010609030101010101"/>
    <w:charset w:val="86"/>
    <w:family w:val="auto"/>
    <w:pitch w:val="default"/>
    <w:sig w:usb0="00000001" w:usb1="080E0000" w:usb2="00000000" w:usb3="00000000" w:csb0="00040000" w:csb1="00000000"/>
    <w:embedRegular r:id="rId3" w:fontKey="{CD39F6E6-E1A4-42FF-BC48-C516D4E3FBB6}"/>
  </w:font>
  <w:font w:name="Calibri Light">
    <w:panose1 w:val="020F0302020204030204"/>
    <w:charset w:val="00"/>
    <w:family w:val="auto"/>
    <w:pitch w:val="default"/>
    <w:sig w:usb0="E4002EFF" w:usb1="C0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embedRegular r:id="rId4" w:fontKey="{EE9AC2C1-63FC-46A8-874D-DB4A4F95516E}"/>
  </w:font>
  <w:font w:name="方正小标宋简体">
    <w:panose1 w:val="02010600010101010101"/>
    <w:charset w:val="86"/>
    <w:family w:val="auto"/>
    <w:pitch w:val="default"/>
    <w:sig w:usb0="00000001" w:usb1="080E0000" w:usb2="00000000" w:usb3="00000000" w:csb0="00040000" w:csb1="00000000"/>
    <w:embedRegular r:id="rId5" w:fontKey="{41113BCF-AA7E-41E5-9798-9846EBD4BB02}"/>
  </w:font>
  <w:font w:name="仿宋">
    <w:panose1 w:val="02010609060101010101"/>
    <w:charset w:val="86"/>
    <w:family w:val="auto"/>
    <w:pitch w:val="default"/>
    <w:sig w:usb0="800002BF" w:usb1="38CF7CFA" w:usb2="00000016" w:usb3="00000000" w:csb0="00040001" w:csb1="00000000"/>
    <w:embedRegular r:id="rId6" w:fontKey="{CA292AC1-6DC7-47A5-BE6F-2767A23FA975}"/>
  </w:font>
  <w:font w:name="方正黑体_GBK">
    <w:panose1 w:val="03000509000000000000"/>
    <w:charset w:val="86"/>
    <w:family w:val="auto"/>
    <w:pitch w:val="default"/>
    <w:sig w:usb0="00000001" w:usb1="080E0000" w:usb2="00000000" w:usb3="00000000" w:csb0="00040000" w:csb1="00000000"/>
    <w:embedRegular r:id="rId7" w:fontKey="{9E07CA14-938C-4610-ACCA-60F783ED8D42}"/>
  </w:font>
  <w:font w:name="Times New Roman Regular">
    <w:altName w:val="Times New Roman"/>
    <w:panose1 w:val="02020603050405020304"/>
    <w:charset w:val="00"/>
    <w:family w:val="auto"/>
    <w:pitch w:val="default"/>
    <w:sig w:usb0="00000000" w:usb1="00000000" w:usb2="00000009" w:usb3="00000000" w:csb0="400001FF" w:csb1="FFFF0000"/>
    <w:embedRegular r:id="rId8" w:fontKey="{D5FC06AA-89F0-4F15-B21A-DA190A18DDC1}"/>
  </w:font>
  <w:font w:name="方正仿宋_GB2312">
    <w:panose1 w:val="02000000000000000000"/>
    <w:charset w:val="86"/>
    <w:family w:val="auto"/>
    <w:pitch w:val="default"/>
    <w:sig w:usb0="A00002BF" w:usb1="184F6CFA" w:usb2="00000012" w:usb3="00000000" w:csb0="00040001" w:csb1="00000000"/>
    <w:embedRegular r:id="rId9" w:fontKey="{90047E40-0223-440F-AF0F-2FAC8851B209}"/>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38C5C2">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DC83DA">
                          <w:pPr>
                            <w:pStyle w:val="6"/>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BDC83DA">
                    <w:pPr>
                      <w:pStyle w:val="6"/>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BjYmJkZTgyZjQzZTk3ZTUzMWNlNWIzZDJmYjY5OGMifQ=="/>
    <w:docVar w:name="KSO_WPS_MARK_KEY" w:val="9920a277-c0c3-43b4-93d3-1636fe398e0b"/>
  </w:docVars>
  <w:rsids>
    <w:rsidRoot w:val="753C4E9B"/>
    <w:rsid w:val="00DA3EA5"/>
    <w:rsid w:val="00F27441"/>
    <w:rsid w:val="02330C86"/>
    <w:rsid w:val="02F85826"/>
    <w:rsid w:val="05467D5B"/>
    <w:rsid w:val="056326BB"/>
    <w:rsid w:val="05D1260E"/>
    <w:rsid w:val="05E732EC"/>
    <w:rsid w:val="05E95AA6"/>
    <w:rsid w:val="05E964FB"/>
    <w:rsid w:val="068B17DF"/>
    <w:rsid w:val="071E2D3E"/>
    <w:rsid w:val="07283BBC"/>
    <w:rsid w:val="07866B35"/>
    <w:rsid w:val="08CA1708"/>
    <w:rsid w:val="09246605"/>
    <w:rsid w:val="09FB55B8"/>
    <w:rsid w:val="0AEC35AC"/>
    <w:rsid w:val="0B074C74"/>
    <w:rsid w:val="0B7003AA"/>
    <w:rsid w:val="0C180A78"/>
    <w:rsid w:val="0C491D7D"/>
    <w:rsid w:val="0D276746"/>
    <w:rsid w:val="0D464D9C"/>
    <w:rsid w:val="0DD52794"/>
    <w:rsid w:val="0E956870"/>
    <w:rsid w:val="0FA87068"/>
    <w:rsid w:val="0FC17A7B"/>
    <w:rsid w:val="10AF3221"/>
    <w:rsid w:val="10C666A5"/>
    <w:rsid w:val="1223366A"/>
    <w:rsid w:val="12B653D2"/>
    <w:rsid w:val="13F53078"/>
    <w:rsid w:val="143877FD"/>
    <w:rsid w:val="14DE3B0C"/>
    <w:rsid w:val="156F6E5A"/>
    <w:rsid w:val="159E5049"/>
    <w:rsid w:val="15A87985"/>
    <w:rsid w:val="164F5C2A"/>
    <w:rsid w:val="175E0F34"/>
    <w:rsid w:val="176B0033"/>
    <w:rsid w:val="17FCFFF6"/>
    <w:rsid w:val="18155A97"/>
    <w:rsid w:val="18A92683"/>
    <w:rsid w:val="197F71C1"/>
    <w:rsid w:val="19BE1F2F"/>
    <w:rsid w:val="19E805B2"/>
    <w:rsid w:val="1BB03B3E"/>
    <w:rsid w:val="1BCD48DA"/>
    <w:rsid w:val="1CBF872E"/>
    <w:rsid w:val="1D254DE8"/>
    <w:rsid w:val="1D314D7C"/>
    <w:rsid w:val="1E51534F"/>
    <w:rsid w:val="1F0D3312"/>
    <w:rsid w:val="1F10520A"/>
    <w:rsid w:val="200C0B9F"/>
    <w:rsid w:val="2011123A"/>
    <w:rsid w:val="207812B9"/>
    <w:rsid w:val="22FE234B"/>
    <w:rsid w:val="235B7D44"/>
    <w:rsid w:val="235C0A1E"/>
    <w:rsid w:val="237A70F6"/>
    <w:rsid w:val="244E37C0"/>
    <w:rsid w:val="246E7AA4"/>
    <w:rsid w:val="24B16B47"/>
    <w:rsid w:val="24D10F97"/>
    <w:rsid w:val="250215C6"/>
    <w:rsid w:val="250368CE"/>
    <w:rsid w:val="268D7140"/>
    <w:rsid w:val="274243CE"/>
    <w:rsid w:val="275807AF"/>
    <w:rsid w:val="277E6F02"/>
    <w:rsid w:val="27B8643F"/>
    <w:rsid w:val="29990575"/>
    <w:rsid w:val="29B03871"/>
    <w:rsid w:val="2A1B45E1"/>
    <w:rsid w:val="2ACA3AF6"/>
    <w:rsid w:val="2AF6742D"/>
    <w:rsid w:val="2B4D3342"/>
    <w:rsid w:val="2C2440A3"/>
    <w:rsid w:val="2CE92B98"/>
    <w:rsid w:val="2CF860BF"/>
    <w:rsid w:val="2DF528E6"/>
    <w:rsid w:val="2EAC037F"/>
    <w:rsid w:val="2EBF0A1C"/>
    <w:rsid w:val="2F2D14C0"/>
    <w:rsid w:val="2FA71273"/>
    <w:rsid w:val="30191A45"/>
    <w:rsid w:val="312A2265"/>
    <w:rsid w:val="31794E91"/>
    <w:rsid w:val="31CE2C88"/>
    <w:rsid w:val="325D030E"/>
    <w:rsid w:val="326A2A2B"/>
    <w:rsid w:val="326D075E"/>
    <w:rsid w:val="32B048E2"/>
    <w:rsid w:val="3330157F"/>
    <w:rsid w:val="333F3E43"/>
    <w:rsid w:val="33775400"/>
    <w:rsid w:val="33AE4FD8"/>
    <w:rsid w:val="33B43F5E"/>
    <w:rsid w:val="33E92667"/>
    <w:rsid w:val="34AF4725"/>
    <w:rsid w:val="35903A30"/>
    <w:rsid w:val="360B3153"/>
    <w:rsid w:val="36653C36"/>
    <w:rsid w:val="367774C5"/>
    <w:rsid w:val="36FC0F5D"/>
    <w:rsid w:val="373158C6"/>
    <w:rsid w:val="375773F8"/>
    <w:rsid w:val="37E961A0"/>
    <w:rsid w:val="388365F5"/>
    <w:rsid w:val="393E32BB"/>
    <w:rsid w:val="397F0B6A"/>
    <w:rsid w:val="3B1517E1"/>
    <w:rsid w:val="3B4C0F20"/>
    <w:rsid w:val="3CC86CCC"/>
    <w:rsid w:val="3E151DEB"/>
    <w:rsid w:val="3EFDDE87"/>
    <w:rsid w:val="3F7614BA"/>
    <w:rsid w:val="3FC86909"/>
    <w:rsid w:val="3FCA2004"/>
    <w:rsid w:val="3FD80FD4"/>
    <w:rsid w:val="40F7192E"/>
    <w:rsid w:val="414A5F02"/>
    <w:rsid w:val="41601281"/>
    <w:rsid w:val="419B2857"/>
    <w:rsid w:val="41D71DA8"/>
    <w:rsid w:val="4258464E"/>
    <w:rsid w:val="427377F5"/>
    <w:rsid w:val="439E2535"/>
    <w:rsid w:val="43A85162"/>
    <w:rsid w:val="44393D26"/>
    <w:rsid w:val="446B2C72"/>
    <w:rsid w:val="45837C34"/>
    <w:rsid w:val="46695F10"/>
    <w:rsid w:val="47431429"/>
    <w:rsid w:val="492A2C9F"/>
    <w:rsid w:val="499917D4"/>
    <w:rsid w:val="4A3D4856"/>
    <w:rsid w:val="4B27547B"/>
    <w:rsid w:val="4B5F0424"/>
    <w:rsid w:val="4C6611ED"/>
    <w:rsid w:val="4D5D3BD3"/>
    <w:rsid w:val="4D8C0894"/>
    <w:rsid w:val="4DA34774"/>
    <w:rsid w:val="4E0D2791"/>
    <w:rsid w:val="4E392624"/>
    <w:rsid w:val="4E4D5283"/>
    <w:rsid w:val="4EB7F892"/>
    <w:rsid w:val="4FB65548"/>
    <w:rsid w:val="51621046"/>
    <w:rsid w:val="52756B57"/>
    <w:rsid w:val="5281374D"/>
    <w:rsid w:val="52B04D36"/>
    <w:rsid w:val="52EC0A69"/>
    <w:rsid w:val="534F15BC"/>
    <w:rsid w:val="534F27A6"/>
    <w:rsid w:val="536E3CD2"/>
    <w:rsid w:val="54330A77"/>
    <w:rsid w:val="544762D1"/>
    <w:rsid w:val="54D758A7"/>
    <w:rsid w:val="5507618C"/>
    <w:rsid w:val="552A0475"/>
    <w:rsid w:val="55690BF5"/>
    <w:rsid w:val="561A5A4B"/>
    <w:rsid w:val="56282A95"/>
    <w:rsid w:val="56981066"/>
    <w:rsid w:val="56C97471"/>
    <w:rsid w:val="578D10CB"/>
    <w:rsid w:val="59592BFC"/>
    <w:rsid w:val="5A5915AC"/>
    <w:rsid w:val="5AB83A84"/>
    <w:rsid w:val="5ABBC979"/>
    <w:rsid w:val="5B721B0E"/>
    <w:rsid w:val="5BFC7B3B"/>
    <w:rsid w:val="5C3929A3"/>
    <w:rsid w:val="5C543F83"/>
    <w:rsid w:val="5CC26747"/>
    <w:rsid w:val="5D080CF3"/>
    <w:rsid w:val="5E77C7C6"/>
    <w:rsid w:val="5EC549C2"/>
    <w:rsid w:val="5F7D704B"/>
    <w:rsid w:val="5FFFAAE0"/>
    <w:rsid w:val="60C43183"/>
    <w:rsid w:val="610A00F6"/>
    <w:rsid w:val="62257C51"/>
    <w:rsid w:val="62A52B40"/>
    <w:rsid w:val="6372336A"/>
    <w:rsid w:val="63C30268"/>
    <w:rsid w:val="63FF44D2"/>
    <w:rsid w:val="66347B2F"/>
    <w:rsid w:val="667FD72C"/>
    <w:rsid w:val="66916949"/>
    <w:rsid w:val="67EB5C4D"/>
    <w:rsid w:val="6A12486A"/>
    <w:rsid w:val="6A150622"/>
    <w:rsid w:val="6ABE64BE"/>
    <w:rsid w:val="6AD94673"/>
    <w:rsid w:val="6B5F16C5"/>
    <w:rsid w:val="6C382C77"/>
    <w:rsid w:val="6CC60283"/>
    <w:rsid w:val="6CF3EA5A"/>
    <w:rsid w:val="6D062D75"/>
    <w:rsid w:val="6D856F28"/>
    <w:rsid w:val="6DB620A5"/>
    <w:rsid w:val="6DCD0AF3"/>
    <w:rsid w:val="6E0A7889"/>
    <w:rsid w:val="6EA939B8"/>
    <w:rsid w:val="6FBE14AD"/>
    <w:rsid w:val="6FEE1FCA"/>
    <w:rsid w:val="6FF637CB"/>
    <w:rsid w:val="701E09D9"/>
    <w:rsid w:val="715220E5"/>
    <w:rsid w:val="71542301"/>
    <w:rsid w:val="71885A70"/>
    <w:rsid w:val="724A3704"/>
    <w:rsid w:val="724C2FD8"/>
    <w:rsid w:val="727F33AE"/>
    <w:rsid w:val="72B43A2C"/>
    <w:rsid w:val="72D14428"/>
    <w:rsid w:val="72FF1584"/>
    <w:rsid w:val="73191FE8"/>
    <w:rsid w:val="73832A2A"/>
    <w:rsid w:val="73E6614E"/>
    <w:rsid w:val="74553D3C"/>
    <w:rsid w:val="75322959"/>
    <w:rsid w:val="753C4E9B"/>
    <w:rsid w:val="75840CDB"/>
    <w:rsid w:val="766F7295"/>
    <w:rsid w:val="768F7938"/>
    <w:rsid w:val="769B7804"/>
    <w:rsid w:val="76A07565"/>
    <w:rsid w:val="779276DF"/>
    <w:rsid w:val="779FCBF0"/>
    <w:rsid w:val="77D31AA6"/>
    <w:rsid w:val="77F7E21B"/>
    <w:rsid w:val="780879A1"/>
    <w:rsid w:val="781113A7"/>
    <w:rsid w:val="78232A2D"/>
    <w:rsid w:val="787C3EEC"/>
    <w:rsid w:val="789D27E0"/>
    <w:rsid w:val="78A376CA"/>
    <w:rsid w:val="78B2790D"/>
    <w:rsid w:val="791E6510"/>
    <w:rsid w:val="792504E8"/>
    <w:rsid w:val="799A0ACD"/>
    <w:rsid w:val="79E2F975"/>
    <w:rsid w:val="7B384D50"/>
    <w:rsid w:val="7B3BDBF2"/>
    <w:rsid w:val="7BAD7448"/>
    <w:rsid w:val="7BB015AD"/>
    <w:rsid w:val="7BB8348D"/>
    <w:rsid w:val="7C6D24C9"/>
    <w:rsid w:val="7C8D4A41"/>
    <w:rsid w:val="7D9D5624"/>
    <w:rsid w:val="7E575A0F"/>
    <w:rsid w:val="7EBDCBBF"/>
    <w:rsid w:val="7EC74CC1"/>
    <w:rsid w:val="7ED311A8"/>
    <w:rsid w:val="7EE6408F"/>
    <w:rsid w:val="7F286B7B"/>
    <w:rsid w:val="7F3EB32E"/>
    <w:rsid w:val="7F5F3F3B"/>
    <w:rsid w:val="7F5FE5E8"/>
    <w:rsid w:val="7F7FC8C5"/>
    <w:rsid w:val="7FFDE9AB"/>
    <w:rsid w:val="7FFEB77D"/>
    <w:rsid w:val="7FFFADA2"/>
    <w:rsid w:val="9ED5792A"/>
    <w:rsid w:val="AEFFB886"/>
    <w:rsid w:val="BEFF7926"/>
    <w:rsid w:val="CF12F568"/>
    <w:rsid w:val="DEBF7731"/>
    <w:rsid w:val="E39F96A6"/>
    <w:rsid w:val="E6DFCF67"/>
    <w:rsid w:val="EBB76B61"/>
    <w:rsid w:val="F6D78CAF"/>
    <w:rsid w:val="F7DA3342"/>
    <w:rsid w:val="FBD266D3"/>
    <w:rsid w:val="FBFF7914"/>
    <w:rsid w:val="FDBFA637"/>
    <w:rsid w:val="FE6B70D4"/>
    <w:rsid w:val="FF2C1D8F"/>
    <w:rsid w:val="FF7BBB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widowControl/>
      <w:spacing w:before="100" w:beforeAutospacing="1" w:after="100" w:afterAutospacing="1"/>
      <w:jc w:val="center"/>
      <w:outlineLvl w:val="0"/>
    </w:pPr>
    <w:rPr>
      <w:rFonts w:ascii="宋体" w:hAnsi="宋体" w:eastAsia="仿宋_GB2312" w:cs="宋体"/>
      <w:bCs/>
      <w:kern w:val="36"/>
      <w:sz w:val="28"/>
      <w:szCs w:val="48"/>
    </w:rPr>
  </w:style>
  <w:style w:type="paragraph" w:styleId="3">
    <w:name w:val="heading 2"/>
    <w:basedOn w:val="1"/>
    <w:next w:val="1"/>
    <w:autoRedefine/>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character" w:default="1" w:styleId="12">
    <w:name w:val="Default Paragraph Font"/>
    <w:autoRedefine/>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Indent"/>
    <w:basedOn w:val="1"/>
    <w:autoRedefine/>
    <w:unhideWhenUsed/>
    <w:qFormat/>
    <w:uiPriority w:val="0"/>
    <w:pPr>
      <w:spacing w:beforeLines="0" w:afterLines="0"/>
      <w:ind w:firstLine="640" w:firstLineChars="200"/>
    </w:pPr>
    <w:rPr>
      <w:rFonts w:hint="default"/>
      <w:sz w:val="32"/>
    </w:rPr>
  </w:style>
  <w:style w:type="paragraph" w:styleId="5">
    <w:name w:val="Body Text Indent 2"/>
    <w:qFormat/>
    <w:uiPriority w:val="0"/>
    <w:pPr>
      <w:widowControl w:val="0"/>
      <w:spacing w:after="120" w:line="480" w:lineRule="auto"/>
      <w:ind w:left="200" w:leftChars="200"/>
      <w:jc w:val="both"/>
    </w:pPr>
    <w:rPr>
      <w:rFonts w:ascii="Calibri" w:hAnsi="Calibri" w:eastAsia="宋体" w:cs="Times New Roman"/>
      <w:kern w:val="2"/>
      <w:sz w:val="21"/>
      <w:szCs w:val="24"/>
      <w:lang w:val="en-US" w:eastAsia="zh-CN" w:bidi="ar-SA"/>
    </w:rPr>
  </w:style>
  <w:style w:type="paragraph" w:styleId="6">
    <w:name w:val="footer"/>
    <w:basedOn w:val="1"/>
    <w:autoRedefine/>
    <w:qFormat/>
    <w:uiPriority w:val="0"/>
    <w:pPr>
      <w:tabs>
        <w:tab w:val="center" w:pos="4153"/>
        <w:tab w:val="right" w:pos="8306"/>
      </w:tabs>
      <w:snapToGrid w:val="0"/>
      <w:jc w:val="left"/>
    </w:pPr>
    <w:rPr>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9">
    <w:name w:val="Body Text First Indent 2"/>
    <w:basedOn w:val="4"/>
    <w:autoRedefine/>
    <w:unhideWhenUsed/>
    <w:qFormat/>
    <w:uiPriority w:val="99"/>
    <w:pPr>
      <w:spacing w:beforeLines="0" w:afterLines="0"/>
      <w:ind w:firstLine="420"/>
    </w:pPr>
    <w:rPr>
      <w:rFonts w:hint="default"/>
      <w:sz w:val="32"/>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标题1"/>
    <w:basedOn w:val="3"/>
    <w:autoRedefine/>
    <w:qFormat/>
    <w:uiPriority w:val="0"/>
    <w:rPr>
      <w:rFonts w:eastAsia="黑体"/>
    </w:rPr>
  </w:style>
  <w:style w:type="paragraph" w:customStyle="1" w:styleId="14">
    <w:name w:val="首行缩进"/>
    <w:basedOn w:val="1"/>
    <w:autoRedefine/>
    <w:qFormat/>
    <w:uiPriority w:val="0"/>
    <w:pPr>
      <w:ind w:firstLine="480" w:firstLineChars="200"/>
    </w:pPr>
    <w:rPr>
      <w:lang w:val="zh-CN"/>
    </w:rPr>
  </w:style>
  <w:style w:type="paragraph" w:customStyle="1" w:styleId="15">
    <w:name w:val="无间隔"/>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36</Pages>
  <Words>6969</Words>
  <Characters>7211</Characters>
  <Lines>0</Lines>
  <Paragraphs>0</Paragraphs>
  <TotalTime>51</TotalTime>
  <ScaleCrop>false</ScaleCrop>
  <LinksUpToDate>false</LinksUpToDate>
  <CharactersWithSpaces>7787</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2024-02-23T10:03:00Z</dcterms:created>
  <dc:creator>1402836399</dc:creator>
  <cp:lastModifiedBy>芳芳</cp:lastModifiedBy>
  <cp:lastPrinted>2025-04-10T10:25:00Z</cp:lastPrinted>
  <dcterms:modified xsi:type="dcterms:W3CDTF">2025-06-21T08:49:41Z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2E59967559EAD85B47E0F5671AAD0169_43</vt:lpwstr>
  </property>
  <property fmtid="{D5CDD505-2E9C-101B-9397-08002B2CF9AE}" pid="4" name="KSOTemplateDocerSaveRecord">
    <vt:lpwstr>eyJoZGlkIjoiZGM2ZTBlYzI5ZWYwZjQ0NzgyZTQxM2IyYjRkYTIzNmEiLCJ1c2VySWQiOiIyMzgxMTg3NTUifQ==</vt:lpwstr>
  </property>
</Properties>
</file>