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3EC46">
      <w:pPr>
        <w:pStyle w:val="15"/>
        <w:jc w:val="both"/>
        <w:rPr>
          <w:rFonts w:hAnsi="黑体"/>
          <w:sz w:val="36"/>
          <w:szCs w:val="36"/>
        </w:rPr>
      </w:pPr>
      <w:r>
        <w:rPr>
          <w:rFonts w:hint="eastAsia" w:hAnsi="黑体"/>
          <w:sz w:val="36"/>
          <w:szCs w:val="36"/>
        </w:rPr>
        <w:t>附件1</w:t>
      </w:r>
    </w:p>
    <w:p w14:paraId="39664455">
      <w:pPr>
        <w:pStyle w:val="15"/>
        <w:jc w:val="center"/>
        <w:rPr>
          <w:rFonts w:ascii="Times New Roman" w:hAnsi="Times New Roman" w:cs="Times New Roman"/>
          <w:sz w:val="56"/>
          <w:szCs w:val="56"/>
        </w:rPr>
      </w:pPr>
    </w:p>
    <w:p w14:paraId="7A084B5E">
      <w:pPr>
        <w:pStyle w:val="15"/>
        <w:jc w:val="center"/>
        <w:rPr>
          <w:rFonts w:ascii="Times New Roman" w:hAnsi="Times New Roman" w:cs="Times New Roman"/>
          <w:sz w:val="84"/>
          <w:szCs w:val="84"/>
        </w:rPr>
      </w:pPr>
    </w:p>
    <w:p w14:paraId="76E3691A">
      <w:pPr>
        <w:pStyle w:val="15"/>
        <w:jc w:val="center"/>
        <w:rPr>
          <w:rFonts w:ascii="Times New Roman" w:hAnsi="Times New Roman" w:cs="Times New Roman"/>
          <w:sz w:val="84"/>
          <w:szCs w:val="84"/>
        </w:rPr>
      </w:pPr>
    </w:p>
    <w:p w14:paraId="297BF11A">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46055A61">
      <w:pPr>
        <w:pStyle w:val="15"/>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怀化市不动产登记中心</w:t>
      </w:r>
      <w:r>
        <w:rPr>
          <w:rFonts w:ascii="Times New Roman" w:hAnsi="Times New Roman" w:eastAsia="方正小标宋简体" w:cs="Times New Roman"/>
          <w:sz w:val="72"/>
          <w:szCs w:val="72"/>
        </w:rPr>
        <w:t>部门决算</w:t>
      </w:r>
    </w:p>
    <w:p w14:paraId="06AD9982">
      <w:pPr>
        <w:pStyle w:val="15"/>
        <w:jc w:val="center"/>
        <w:rPr>
          <w:rFonts w:ascii="Times New Roman" w:hAnsi="Times New Roman" w:eastAsia="方正小标宋_GBK" w:cs="Times New Roman"/>
          <w:sz w:val="56"/>
          <w:szCs w:val="56"/>
        </w:rPr>
      </w:pPr>
    </w:p>
    <w:p w14:paraId="376734E2">
      <w:pPr>
        <w:pStyle w:val="15"/>
        <w:jc w:val="center"/>
        <w:rPr>
          <w:rFonts w:ascii="Times New Roman" w:hAnsi="Times New Roman" w:cs="Times New Roman"/>
          <w:sz w:val="56"/>
          <w:szCs w:val="56"/>
        </w:rPr>
      </w:pPr>
    </w:p>
    <w:p w14:paraId="6EE34486">
      <w:pPr>
        <w:pStyle w:val="15"/>
        <w:rPr>
          <w:rFonts w:ascii="Times New Roman" w:hAnsi="Times New Roman" w:cs="Times New Roman"/>
          <w:sz w:val="56"/>
          <w:szCs w:val="56"/>
        </w:rPr>
      </w:pPr>
    </w:p>
    <w:p w14:paraId="552F3CD7">
      <w:pPr>
        <w:pStyle w:val="15"/>
        <w:jc w:val="center"/>
        <w:rPr>
          <w:rFonts w:ascii="Times New Roman" w:hAnsi="Times New Roman" w:cs="Times New Roman"/>
          <w:sz w:val="32"/>
          <w:szCs w:val="32"/>
        </w:rPr>
      </w:pPr>
    </w:p>
    <w:p w14:paraId="423D0294">
      <w:pPr>
        <w:pStyle w:val="15"/>
        <w:jc w:val="center"/>
        <w:rPr>
          <w:rFonts w:ascii="Times New Roman" w:hAnsi="Times New Roman" w:cs="Times New Roman"/>
          <w:sz w:val="32"/>
          <w:szCs w:val="32"/>
        </w:rPr>
      </w:pPr>
    </w:p>
    <w:p w14:paraId="3F5DBC98">
      <w:pPr>
        <w:pStyle w:val="15"/>
        <w:jc w:val="center"/>
        <w:rPr>
          <w:rFonts w:ascii="Times New Roman" w:hAnsi="Times New Roman" w:cs="Times New Roman"/>
          <w:sz w:val="32"/>
          <w:szCs w:val="32"/>
        </w:rPr>
      </w:pPr>
    </w:p>
    <w:p w14:paraId="62D05879">
      <w:pPr>
        <w:pStyle w:val="15"/>
        <w:jc w:val="center"/>
        <w:rPr>
          <w:rFonts w:ascii="Times New Roman" w:hAnsi="Times New Roman" w:cs="Times New Roman"/>
          <w:sz w:val="32"/>
          <w:szCs w:val="32"/>
        </w:rPr>
      </w:pPr>
    </w:p>
    <w:p w14:paraId="25112518">
      <w:pPr>
        <w:pStyle w:val="15"/>
        <w:jc w:val="center"/>
        <w:rPr>
          <w:rFonts w:ascii="Times New Roman" w:hAnsi="Times New Roman" w:cs="Times New Roman"/>
          <w:sz w:val="32"/>
          <w:szCs w:val="32"/>
        </w:rPr>
      </w:pPr>
    </w:p>
    <w:p w14:paraId="407C2069">
      <w:pPr>
        <w:pStyle w:val="15"/>
        <w:jc w:val="center"/>
        <w:rPr>
          <w:rFonts w:ascii="Times New Roman" w:hAnsi="Times New Roman" w:cs="Times New Roman"/>
          <w:sz w:val="32"/>
          <w:szCs w:val="32"/>
        </w:rPr>
      </w:pPr>
    </w:p>
    <w:p w14:paraId="4BFED840">
      <w:pPr>
        <w:pStyle w:val="15"/>
        <w:spacing w:line="540" w:lineRule="exact"/>
        <w:jc w:val="center"/>
        <w:rPr>
          <w:rFonts w:ascii="Times New Roman" w:hAnsi="Times New Roman" w:cs="Times New Roman"/>
          <w:sz w:val="56"/>
          <w:szCs w:val="56"/>
        </w:rPr>
      </w:pPr>
    </w:p>
    <w:p w14:paraId="611A938E">
      <w:pPr>
        <w:rPr>
          <w:rFonts w:ascii="Times New Roman" w:hAnsi="Times New Roman" w:cs="Times New Roman"/>
          <w:b/>
          <w:sz w:val="36"/>
          <w:szCs w:val="28"/>
        </w:rPr>
        <w:sectPr>
          <w:headerReference r:id="rId5" w:type="first"/>
          <w:footerReference r:id="rId8" w:type="first"/>
          <w:headerReference r:id="rId3" w:type="default"/>
          <w:footerReference r:id="rId6" w:type="default"/>
          <w:headerReference r:id="rId4" w:type="even"/>
          <w:footerReference r:id="rId7" w:type="even"/>
          <w:pgSz w:w="11906" w:h="16838"/>
          <w:pgMar w:top="1417" w:right="1588" w:bottom="1417" w:left="1588" w:header="851" w:footer="992" w:gutter="0"/>
          <w:cols w:space="425" w:num="1"/>
          <w:docGrid w:type="lines" w:linePitch="312" w:charSpace="0"/>
        </w:sectPr>
      </w:pPr>
    </w:p>
    <w:p w14:paraId="59F87668">
      <w:pPr>
        <w:pStyle w:val="15"/>
        <w:spacing w:line="600" w:lineRule="exact"/>
        <w:jc w:val="both"/>
        <w:rPr>
          <w:rFonts w:ascii="Times New Roman" w:hAnsi="Times New Roman" w:cs="Times New Roman"/>
          <w:b/>
          <w:sz w:val="36"/>
          <w:szCs w:val="28"/>
        </w:rPr>
        <w:sectPr>
          <w:footerReference r:id="rId9" w:type="default"/>
          <w:pgSz w:w="11906" w:h="16838"/>
          <w:pgMar w:top="1417" w:right="1588" w:bottom="1417" w:left="1588" w:header="851" w:footer="992" w:gutter="0"/>
          <w:pgNumType w:start="1"/>
          <w:cols w:space="425" w:num="1"/>
          <w:docGrid w:type="lines" w:linePitch="312" w:charSpace="0"/>
        </w:sectPr>
      </w:pPr>
    </w:p>
    <w:p w14:paraId="2DBA0624">
      <w:pPr>
        <w:pStyle w:val="15"/>
        <w:spacing w:line="600" w:lineRule="exact"/>
        <w:jc w:val="both"/>
        <w:rPr>
          <w:rFonts w:ascii="Times New Roman" w:hAnsi="Times New Roman" w:cs="Times New Roman"/>
          <w:b/>
          <w:sz w:val="36"/>
          <w:szCs w:val="28"/>
        </w:rPr>
      </w:pPr>
    </w:p>
    <w:p w14:paraId="4370BD1E">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2B6438A1">
      <w:pPr>
        <w:pStyle w:val="15"/>
        <w:spacing w:line="600" w:lineRule="exact"/>
        <w:jc w:val="center"/>
        <w:rPr>
          <w:rFonts w:ascii="Times New Roman" w:hAnsi="Times New Roman" w:cs="Times New Roman"/>
          <w:b/>
          <w:sz w:val="36"/>
          <w:szCs w:val="28"/>
        </w:rPr>
      </w:pPr>
    </w:p>
    <w:p w14:paraId="390A61DE">
      <w:pPr>
        <w:pStyle w:val="15"/>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怀化市不动产登记中心</w:t>
      </w:r>
      <w:r>
        <w:rPr>
          <w:rFonts w:ascii="Times New Roman" w:hAnsi="Times New Roman" w:cs="Times New Roman"/>
          <w:bCs/>
          <w:sz w:val="32"/>
          <w:szCs w:val="32"/>
        </w:rPr>
        <w:t>概况</w:t>
      </w:r>
    </w:p>
    <w:p w14:paraId="0BD47693">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7EE7A80">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3B1DBD11">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6A299FEC">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00C066A6">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DC9AE9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0A4455C9">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6A7D5C5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30212116">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C6C8C13">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6CE4F21B">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01DAC552">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397E81CA">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483927F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116E9A2E">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3458EBE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00FA18F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7DF48D4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15DF7AF3">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10" w:type="default"/>
          <w:pgSz w:w="11906" w:h="16838"/>
          <w:pgMar w:top="1417" w:right="1588" w:bottom="1417" w:left="1588" w:header="851" w:footer="992" w:gutter="0"/>
          <w:pgNumType w:start="1"/>
          <w:cols w:space="425" w:num="1"/>
          <w:docGrid w:type="lines" w:linePitch="312" w:charSpace="0"/>
        </w:sectPr>
      </w:pPr>
    </w:p>
    <w:p w14:paraId="145667E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7F45363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437B1C1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5E2B3B8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545198C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0EF1FA0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785FAAC9">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782682F5">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18FE05AC">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64731632">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0CE99647">
      <w:pPr>
        <w:pStyle w:val="15"/>
        <w:spacing w:line="600" w:lineRule="exact"/>
        <w:rPr>
          <w:rFonts w:ascii="Times New Roman" w:hAnsi="Times New Roman" w:cs="Times New Roman"/>
          <w:bCs/>
          <w:sz w:val="28"/>
          <w:szCs w:val="28"/>
        </w:rPr>
      </w:pPr>
    </w:p>
    <w:p w14:paraId="487DEA44">
      <w:pPr>
        <w:jc w:val="center"/>
        <w:rPr>
          <w:rFonts w:ascii="Times New Roman" w:hAnsi="Times New Roman" w:cs="Times New Roman"/>
          <w:sz w:val="72"/>
          <w:szCs w:val="72"/>
        </w:rPr>
      </w:pPr>
    </w:p>
    <w:p w14:paraId="21D97DD2">
      <w:pPr>
        <w:jc w:val="center"/>
        <w:rPr>
          <w:rFonts w:ascii="Times New Roman" w:hAnsi="Times New Roman" w:cs="Times New Roman"/>
          <w:sz w:val="72"/>
          <w:szCs w:val="72"/>
        </w:rPr>
      </w:pPr>
    </w:p>
    <w:p w14:paraId="2340B28A">
      <w:pPr>
        <w:jc w:val="center"/>
        <w:rPr>
          <w:rFonts w:ascii="Times New Roman" w:hAnsi="Times New Roman" w:cs="Times New Roman"/>
          <w:sz w:val="72"/>
          <w:szCs w:val="72"/>
        </w:rPr>
      </w:pPr>
    </w:p>
    <w:p w14:paraId="5469B00A">
      <w:pPr>
        <w:pStyle w:val="7"/>
        <w:rPr>
          <w:rFonts w:ascii="Times New Roman" w:hAnsi="Times New Roman" w:cs="Times New Roman"/>
        </w:rPr>
        <w:sectPr>
          <w:footerReference r:id="rId11" w:type="default"/>
          <w:pgSz w:w="11906" w:h="16838"/>
          <w:pgMar w:top="1417" w:right="1588" w:bottom="1417" w:left="1588" w:header="851" w:footer="992" w:gutter="0"/>
          <w:pgNumType w:start="1"/>
          <w:cols w:space="425" w:num="1"/>
          <w:docGrid w:type="lines" w:linePitch="312" w:charSpace="0"/>
        </w:sectPr>
      </w:pPr>
    </w:p>
    <w:p w14:paraId="305F8136">
      <w:pPr>
        <w:rPr>
          <w:rFonts w:ascii="Times New Roman" w:hAnsi="Times New Roman" w:eastAsia="方正小标宋_GBK" w:cs="Times New Roman"/>
          <w:sz w:val="72"/>
          <w:szCs w:val="72"/>
        </w:rPr>
      </w:pPr>
    </w:p>
    <w:p w14:paraId="4C9F6693">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7C24D2AF">
      <w:pPr>
        <w:pStyle w:val="15"/>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怀化市不动产登记中心</w:t>
      </w:r>
      <w:r>
        <w:rPr>
          <w:rFonts w:ascii="Times New Roman" w:hAnsi="Times New Roman" w:eastAsia="方正小标宋_GBK" w:cs="Times New Roman"/>
          <w:sz w:val="52"/>
          <w:szCs w:val="52"/>
        </w:rPr>
        <w:t>概况</w:t>
      </w:r>
    </w:p>
    <w:p w14:paraId="54A0571C">
      <w:pPr>
        <w:pStyle w:val="8"/>
        <w:ind w:left="0" w:leftChars="0" w:firstLine="0" w:firstLineChars="0"/>
        <w:rPr>
          <w:rFonts w:ascii="Times New Roman" w:hAnsi="Times New Roman" w:cs="Times New Roman"/>
        </w:rPr>
      </w:pPr>
    </w:p>
    <w:p w14:paraId="41010D7A">
      <w:pPr>
        <w:pStyle w:val="16"/>
        <w:numPr>
          <w:ilvl w:val="0"/>
          <w:numId w:val="1"/>
        </w:numPr>
        <w:spacing w:line="600" w:lineRule="exact"/>
        <w:ind w:firstLine="0"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部门职责</w:t>
      </w:r>
    </w:p>
    <w:p w14:paraId="38229ED9">
      <w:pPr>
        <w:ind w:firstLine="640" w:firstLineChars="200"/>
        <w:rPr>
          <w:rFonts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lang w:eastAsia="zh-CN"/>
        </w:rPr>
        <w:t>根据湖南省机构编制委员会办公室《关于怀化市不动产登记中心机构编制事项的批复》（湘编办复字{2016}32号）和《怀化市机构编制委员会关于明确怀化市不动产登记中心机构规格的通知》（怀编{2016}29号）精神，怀化市不动产登记中心为市自然资源和规划局管理的副处级公益一类事业单位。</w:t>
      </w:r>
    </w:p>
    <w:p w14:paraId="50B5B803">
      <w:pPr>
        <w:ind w:firstLine="640" w:firstLineChars="200"/>
        <w:rPr>
          <w:rFonts w:ascii="仿宋" w:hAnsi="仿宋" w:eastAsia="仿宋" w:cs="仿宋"/>
          <w:color w:val="000000"/>
          <w:sz w:val="32"/>
          <w:szCs w:val="32"/>
          <w:lang w:eastAsia="zh-CN"/>
        </w:rPr>
      </w:pPr>
      <w:r>
        <w:rPr>
          <w:rFonts w:hint="eastAsia" w:ascii="仿宋" w:hAnsi="仿宋" w:eastAsia="仿宋" w:cs="仿宋"/>
          <w:color w:val="000000"/>
          <w:sz w:val="32"/>
          <w:szCs w:val="32"/>
          <w:lang w:eastAsia="zh-CN"/>
        </w:rPr>
        <w:t>主要职责包括：</w:t>
      </w:r>
    </w:p>
    <w:p w14:paraId="044B1AC9">
      <w:pPr>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1、依法统一受理和办理鹤城区行政区划范围内不动产权利登记事务。</w:t>
      </w:r>
    </w:p>
    <w:p w14:paraId="5DF28538">
      <w:pPr>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2、承担有关不动产登记权籍调查、统计分析、监测利用工作；协助市自然资源和规划局做好不动产权籍管理和因不动产登记引起的不动产权属争议、纠纷调处工作。</w:t>
      </w:r>
    </w:p>
    <w:p w14:paraId="7B22E952">
      <w:pPr>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3、负责有关不动产登记档案的归档、管理工作；依法提供不动产登记资料社会查询、咨询服务；协助市自然资源和规划局建立统一的不动产登记管理信息平台，推进不动产登记有关信息互通共享。</w:t>
      </w:r>
    </w:p>
    <w:p w14:paraId="28F7D203">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4、承担市自然资源和规划局交办的其他事项。</w:t>
      </w:r>
    </w:p>
    <w:p w14:paraId="1FBADA82">
      <w:pPr>
        <w:pStyle w:val="16"/>
        <w:numPr>
          <w:ilvl w:val="0"/>
          <w:numId w:val="0"/>
        </w:numPr>
        <w:spacing w:line="600" w:lineRule="exact"/>
        <w:jc w:val="left"/>
        <w:rPr>
          <w:rFonts w:ascii="Times New Roman" w:hAnsi="Times New Roman" w:eastAsia="黑体" w:cs="Times New Roman"/>
          <w:sz w:val="32"/>
          <w:szCs w:val="32"/>
        </w:rPr>
      </w:pPr>
    </w:p>
    <w:p w14:paraId="300F4C94">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5D1A751B">
      <w:pPr>
        <w:spacing w:line="600" w:lineRule="exact"/>
        <w:ind w:firstLine="643" w:firstLineChars="200"/>
        <w:rPr>
          <w:rFonts w:ascii="仿宋" w:hAnsi="仿宋" w:eastAsia="仿宋" w:cs="仿宋"/>
          <w:b/>
          <w:sz w:val="32"/>
          <w:szCs w:val="32"/>
          <w:lang w:eastAsia="zh-CN"/>
        </w:rPr>
      </w:pPr>
      <w:r>
        <w:rPr>
          <w:rFonts w:hint="eastAsia" w:ascii="仿宋" w:hAnsi="仿宋" w:eastAsia="仿宋" w:cs="仿宋"/>
          <w:b/>
          <w:sz w:val="32"/>
          <w:szCs w:val="32"/>
          <w:lang w:eastAsia="zh-CN"/>
        </w:rPr>
        <w:t>（一）内设机构设置。</w:t>
      </w:r>
    </w:p>
    <w:p w14:paraId="4A6E008D">
      <w:pPr>
        <w:spacing w:line="600" w:lineRule="exact"/>
        <w:ind w:firstLine="640" w:firstLineChars="200"/>
        <w:rPr>
          <w:rFonts w:ascii="仿宋" w:hAnsi="仿宋" w:eastAsia="仿宋" w:cs="仿宋"/>
          <w:bCs/>
          <w:sz w:val="32"/>
          <w:szCs w:val="32"/>
          <w:lang w:eastAsia="zh-CN"/>
        </w:rPr>
      </w:pPr>
      <w:r>
        <w:rPr>
          <w:rFonts w:hint="eastAsia" w:ascii="仿宋" w:hAnsi="仿宋" w:eastAsia="仿宋" w:cs="仿宋"/>
          <w:bCs/>
          <w:sz w:val="32"/>
          <w:szCs w:val="32"/>
          <w:lang w:eastAsia="zh-CN"/>
        </w:rPr>
        <w:t>怀化市不动产登记中心内设科室为：办公室、财务室、法规室、权籍调查室（纠纷调处室）、测绘服务室、档案信息室。</w:t>
      </w:r>
    </w:p>
    <w:p w14:paraId="64421800">
      <w:pPr>
        <w:spacing w:line="600" w:lineRule="exact"/>
        <w:ind w:firstLine="643" w:firstLineChars="200"/>
        <w:rPr>
          <w:rFonts w:ascii="仿宋" w:hAnsi="仿宋" w:eastAsia="仿宋" w:cs="仿宋"/>
          <w:b/>
          <w:sz w:val="32"/>
          <w:szCs w:val="32"/>
          <w:lang w:eastAsia="zh-CN"/>
        </w:rPr>
      </w:pPr>
      <w:r>
        <w:rPr>
          <w:rFonts w:hint="eastAsia" w:ascii="仿宋" w:hAnsi="仿宋" w:eastAsia="仿宋" w:cs="仿宋"/>
          <w:b/>
          <w:sz w:val="32"/>
          <w:szCs w:val="32"/>
          <w:lang w:eastAsia="zh-CN"/>
        </w:rPr>
        <w:t>（二）决算单位构成。</w:t>
      </w:r>
    </w:p>
    <w:p w14:paraId="04F6C18D">
      <w:pPr>
        <w:spacing w:line="600" w:lineRule="exact"/>
        <w:ind w:firstLine="640" w:firstLineChars="200"/>
        <w:rPr>
          <w:rFonts w:ascii="仿宋" w:hAnsi="仿宋" w:eastAsia="仿宋" w:cs="仿宋"/>
          <w:bCs/>
          <w:sz w:val="32"/>
          <w:szCs w:val="32"/>
          <w:lang w:eastAsia="zh-CN"/>
        </w:rPr>
      </w:pPr>
      <w:r>
        <w:rPr>
          <w:rFonts w:hint="eastAsia" w:ascii="仿宋" w:hAnsi="仿宋" w:eastAsia="仿宋" w:cs="仿宋"/>
          <w:bCs/>
          <w:sz w:val="32"/>
          <w:szCs w:val="32"/>
          <w:lang w:eastAsia="zh-CN"/>
        </w:rPr>
        <w:t>怀化市不动产登记中心</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w:t>
      </w:r>
      <w:r>
        <w:rPr>
          <w:rFonts w:hint="eastAsia" w:ascii="仿宋" w:hAnsi="仿宋" w:eastAsia="仿宋" w:cs="仿宋"/>
          <w:bCs/>
          <w:sz w:val="32"/>
          <w:szCs w:val="32"/>
          <w:lang w:eastAsia="zh-CN"/>
        </w:rPr>
        <w:t>怀化市不动产登记中心本级。</w:t>
      </w:r>
    </w:p>
    <w:p w14:paraId="20AC5E76">
      <w:pPr>
        <w:jc w:val="left"/>
        <w:rPr>
          <w:rFonts w:ascii="Times New Roman" w:hAnsi="Times New Roman" w:eastAsia="仿宋_GB2312" w:cs="Times New Roman"/>
          <w:sz w:val="28"/>
          <w:szCs w:val="32"/>
        </w:rPr>
      </w:pPr>
    </w:p>
    <w:p w14:paraId="7F6BE35F">
      <w:pPr>
        <w:jc w:val="center"/>
        <w:rPr>
          <w:rFonts w:ascii="Times New Roman" w:hAnsi="Times New Roman" w:eastAsia="黑体" w:cs="Times New Roman"/>
          <w:sz w:val="28"/>
          <w:szCs w:val="28"/>
        </w:rPr>
      </w:pPr>
    </w:p>
    <w:p w14:paraId="1AEADCC0">
      <w:pPr>
        <w:jc w:val="center"/>
        <w:rPr>
          <w:rFonts w:ascii="Times New Roman" w:hAnsi="Times New Roman" w:eastAsia="黑体" w:cs="Times New Roman"/>
          <w:sz w:val="28"/>
          <w:szCs w:val="28"/>
        </w:rPr>
      </w:pPr>
    </w:p>
    <w:p w14:paraId="331F6D61">
      <w:pPr>
        <w:jc w:val="center"/>
        <w:rPr>
          <w:rFonts w:ascii="Times New Roman" w:hAnsi="Times New Roman" w:eastAsia="黑体" w:cs="Times New Roman"/>
          <w:sz w:val="28"/>
          <w:szCs w:val="28"/>
        </w:rPr>
      </w:pPr>
    </w:p>
    <w:p w14:paraId="3AE70421">
      <w:pPr>
        <w:jc w:val="center"/>
        <w:rPr>
          <w:rFonts w:ascii="Times New Roman" w:hAnsi="Times New Roman" w:eastAsia="黑体" w:cs="Times New Roman"/>
          <w:sz w:val="28"/>
          <w:szCs w:val="28"/>
        </w:rPr>
      </w:pPr>
    </w:p>
    <w:p w14:paraId="0005C74E">
      <w:pPr>
        <w:jc w:val="center"/>
        <w:rPr>
          <w:rFonts w:ascii="Times New Roman" w:hAnsi="Times New Roman" w:eastAsia="黑体" w:cs="Times New Roman"/>
          <w:sz w:val="28"/>
          <w:szCs w:val="28"/>
        </w:rPr>
      </w:pPr>
    </w:p>
    <w:p w14:paraId="5CBD56AB">
      <w:pPr>
        <w:pStyle w:val="7"/>
        <w:rPr>
          <w:rFonts w:ascii="Times New Roman" w:hAnsi="Times New Roman" w:cs="Times New Roman"/>
        </w:rPr>
        <w:sectPr>
          <w:footerReference r:id="rId12" w:type="default"/>
          <w:pgSz w:w="11906" w:h="16838"/>
          <w:pgMar w:top="1417" w:right="1588" w:bottom="1417" w:left="1588" w:header="851" w:footer="992" w:gutter="0"/>
          <w:pgNumType w:start="1"/>
          <w:cols w:space="425" w:num="1"/>
          <w:docGrid w:type="lines" w:linePitch="312" w:charSpace="0"/>
        </w:sectPr>
      </w:pPr>
    </w:p>
    <w:p w14:paraId="25BE79D5">
      <w:pPr>
        <w:pStyle w:val="15"/>
        <w:jc w:val="center"/>
        <w:rPr>
          <w:rFonts w:hint="eastAsia" w:ascii="方正小标宋_GBK" w:hAnsi="方正小标宋_GBK" w:eastAsia="方正小标宋_GBK" w:cs="方正小标宋_GBK"/>
          <w:sz w:val="84"/>
          <w:szCs w:val="84"/>
        </w:rPr>
      </w:pPr>
    </w:p>
    <w:p w14:paraId="5900851A">
      <w:pPr>
        <w:pStyle w:val="15"/>
        <w:jc w:val="center"/>
        <w:rPr>
          <w:rFonts w:hint="eastAsia" w:ascii="方正小标宋_GBK" w:hAnsi="方正小标宋_GBK" w:eastAsia="方正小标宋_GBK" w:cs="方正小标宋_GBK"/>
          <w:sz w:val="84"/>
          <w:szCs w:val="84"/>
        </w:rPr>
      </w:pPr>
    </w:p>
    <w:p w14:paraId="7157C060">
      <w:pPr>
        <w:pStyle w:val="15"/>
        <w:jc w:val="center"/>
        <w:rPr>
          <w:rFonts w:hint="eastAsia" w:ascii="方正小标宋_GBK" w:hAnsi="方正小标宋_GBK" w:eastAsia="方正小标宋_GBK" w:cs="方正小标宋_GBK"/>
          <w:sz w:val="84"/>
          <w:szCs w:val="84"/>
        </w:rPr>
      </w:pPr>
    </w:p>
    <w:p w14:paraId="16172863">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3CE64BDA">
      <w:pPr>
        <w:pStyle w:val="15"/>
        <w:jc w:val="center"/>
        <w:rPr>
          <w:rFonts w:hint="eastAsia" w:ascii="方正小标宋_GBK" w:hAnsi="方正小标宋_GBK" w:eastAsia="方正小标宋_GBK" w:cs="方正小标宋_GBK"/>
          <w:sz w:val="84"/>
          <w:szCs w:val="84"/>
        </w:rPr>
      </w:pPr>
    </w:p>
    <w:p w14:paraId="30A090B4">
      <w:pPr>
        <w:jc w:val="center"/>
        <w:rPr>
          <w:rFonts w:hint="eastAsia" w:eastAsiaTheme="minorEastAsia"/>
          <w:sz w:val="72"/>
          <w:szCs w:val="72"/>
          <w:lang w:eastAsia="zh-CN"/>
        </w:rPr>
      </w:pPr>
      <w:r>
        <w:rPr>
          <w:rFonts w:hint="eastAsia" w:ascii="宋体" w:hAnsi="宋体" w:eastAsia="宋体" w:cs="宋体"/>
          <w:sz w:val="48"/>
          <w:szCs w:val="48"/>
          <w:lang w:eastAsia="zh-CN"/>
        </w:rPr>
        <w:t>见附件</w:t>
      </w:r>
    </w:p>
    <w:p w14:paraId="03EA9261">
      <w:pPr>
        <w:jc w:val="center"/>
        <w:rPr>
          <w:sz w:val="72"/>
          <w:szCs w:val="72"/>
        </w:rPr>
      </w:pPr>
    </w:p>
    <w:p w14:paraId="3F151B37">
      <w:pPr>
        <w:jc w:val="center"/>
        <w:rPr>
          <w:sz w:val="72"/>
          <w:szCs w:val="72"/>
        </w:rPr>
      </w:pPr>
    </w:p>
    <w:p w14:paraId="35FAC8CA">
      <w:pPr>
        <w:pStyle w:val="15"/>
        <w:rPr>
          <w:rFonts w:ascii="Times New Roman" w:hAnsi="Times New Roman" w:cs="Times New Roman"/>
          <w:sz w:val="72"/>
          <w:szCs w:val="72"/>
        </w:rPr>
      </w:pPr>
    </w:p>
    <w:p w14:paraId="030AE146">
      <w:pPr>
        <w:pStyle w:val="15"/>
        <w:rPr>
          <w:rFonts w:ascii="Times New Roman" w:hAnsi="Times New Roman" w:cs="Times New Roman"/>
          <w:sz w:val="72"/>
          <w:szCs w:val="72"/>
        </w:rPr>
      </w:pPr>
    </w:p>
    <w:p w14:paraId="2950516F">
      <w:pPr>
        <w:pStyle w:val="15"/>
        <w:jc w:val="center"/>
        <w:rPr>
          <w:rFonts w:ascii="Times New Roman" w:hAnsi="Times New Roman" w:cs="Times New Roman"/>
          <w:sz w:val="72"/>
          <w:szCs w:val="72"/>
        </w:rPr>
      </w:pPr>
    </w:p>
    <w:p w14:paraId="38FF0956">
      <w:pPr>
        <w:pStyle w:val="15"/>
        <w:jc w:val="center"/>
        <w:rPr>
          <w:rFonts w:ascii="Times New Roman" w:hAnsi="Times New Roman" w:eastAsia="方正小标宋_GBK" w:cs="Times New Roman"/>
          <w:sz w:val="72"/>
          <w:szCs w:val="72"/>
        </w:rPr>
      </w:pPr>
    </w:p>
    <w:p w14:paraId="45D3537F">
      <w:pPr>
        <w:pStyle w:val="15"/>
        <w:spacing w:line="360" w:lineRule="auto"/>
        <w:jc w:val="center"/>
        <w:rPr>
          <w:rFonts w:ascii="Times New Roman" w:hAnsi="Times New Roman" w:eastAsia="方正小标宋_GBK" w:cs="Times New Roman"/>
          <w:sz w:val="52"/>
          <w:szCs w:val="52"/>
        </w:rPr>
      </w:pPr>
    </w:p>
    <w:p w14:paraId="1CED05D3">
      <w:pPr>
        <w:pStyle w:val="15"/>
        <w:spacing w:line="360" w:lineRule="auto"/>
        <w:jc w:val="center"/>
        <w:rPr>
          <w:rFonts w:ascii="Times New Roman" w:hAnsi="Times New Roman" w:eastAsia="方正小标宋_GBK" w:cs="Times New Roman"/>
          <w:sz w:val="52"/>
          <w:szCs w:val="52"/>
        </w:rPr>
      </w:pPr>
    </w:p>
    <w:p w14:paraId="6F2B0D07">
      <w:pPr>
        <w:pStyle w:val="15"/>
        <w:spacing w:line="360" w:lineRule="auto"/>
        <w:jc w:val="center"/>
        <w:rPr>
          <w:rFonts w:ascii="Times New Roman" w:hAnsi="Times New Roman" w:eastAsia="方正小标宋_GBK" w:cs="Times New Roman"/>
          <w:sz w:val="52"/>
          <w:szCs w:val="52"/>
        </w:rPr>
      </w:pPr>
    </w:p>
    <w:p w14:paraId="5012D3D1">
      <w:pPr>
        <w:pStyle w:val="15"/>
        <w:spacing w:line="360" w:lineRule="auto"/>
        <w:jc w:val="center"/>
        <w:rPr>
          <w:rFonts w:ascii="Times New Roman" w:hAnsi="Times New Roman" w:eastAsia="方正小标宋_GBK" w:cs="Times New Roman"/>
          <w:sz w:val="52"/>
          <w:szCs w:val="52"/>
        </w:rPr>
      </w:pPr>
    </w:p>
    <w:p w14:paraId="25FF4FDA">
      <w:pPr>
        <w:pStyle w:val="15"/>
        <w:spacing w:line="360" w:lineRule="auto"/>
        <w:jc w:val="center"/>
        <w:rPr>
          <w:rFonts w:ascii="Times New Roman" w:hAnsi="Times New Roman" w:eastAsia="方正小标宋_GBK" w:cs="Times New Roman"/>
          <w:sz w:val="52"/>
          <w:szCs w:val="52"/>
        </w:rPr>
      </w:pPr>
    </w:p>
    <w:p w14:paraId="54EEA118">
      <w:pPr>
        <w:pStyle w:val="15"/>
        <w:spacing w:line="360" w:lineRule="auto"/>
        <w:jc w:val="center"/>
        <w:rPr>
          <w:rFonts w:ascii="Times New Roman" w:hAnsi="Times New Roman" w:eastAsia="方正小标宋_GBK" w:cs="Times New Roman"/>
          <w:sz w:val="52"/>
          <w:szCs w:val="52"/>
        </w:rPr>
      </w:pPr>
    </w:p>
    <w:p w14:paraId="2EB74243">
      <w:pPr>
        <w:pStyle w:val="15"/>
        <w:spacing w:line="360" w:lineRule="auto"/>
        <w:jc w:val="center"/>
        <w:rPr>
          <w:rFonts w:ascii="Times New Roman" w:hAnsi="Times New Roman" w:eastAsia="方正小标宋_GBK" w:cs="Times New Roman"/>
          <w:sz w:val="52"/>
          <w:szCs w:val="52"/>
        </w:rPr>
      </w:pPr>
    </w:p>
    <w:p w14:paraId="1B89D916">
      <w:pPr>
        <w:pStyle w:val="15"/>
        <w:spacing w:line="360" w:lineRule="auto"/>
        <w:jc w:val="center"/>
        <w:rPr>
          <w:rFonts w:ascii="Times New Roman" w:hAnsi="Times New Roman" w:eastAsia="方正小标宋_GBK" w:cs="Times New Roman"/>
          <w:sz w:val="52"/>
          <w:szCs w:val="52"/>
        </w:rPr>
      </w:pPr>
    </w:p>
    <w:p w14:paraId="60569B1E">
      <w:pPr>
        <w:pStyle w:val="15"/>
        <w:spacing w:line="360" w:lineRule="auto"/>
        <w:ind w:firstLine="3640" w:firstLineChars="7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548AC6B">
      <w:pPr>
        <w:pStyle w:val="15"/>
        <w:spacing w:line="360" w:lineRule="auto"/>
        <w:jc w:val="center"/>
        <w:rPr>
          <w:rFonts w:ascii="Times New Roman" w:hAnsi="Times New Roman" w:eastAsia="方正小标宋_GBK" w:cs="Times New Roman"/>
          <w:sz w:val="52"/>
          <w:szCs w:val="52"/>
        </w:rPr>
      </w:pPr>
    </w:p>
    <w:p w14:paraId="670A7132">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404E6F50">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43CCCC80">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24FC56C4">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2060.78</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55.26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2.61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严格执行开支标准，厉行节约。</w:t>
      </w:r>
    </w:p>
    <w:p w14:paraId="7115D338">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E59404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2060.78</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1792.91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87</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267.88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13</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549C63D5">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86F344C">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2060.78</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1890.92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91.76</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169.86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8.24</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1A2BD495">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5AE279FA">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1792.91</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9.37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0.53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工资的调整。</w:t>
      </w:r>
    </w:p>
    <w:p w14:paraId="5C13EF1A">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385C4CF">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C242C66">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1757.46</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85.28</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203.72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13.11</w:t>
      </w:r>
      <w:r>
        <w:rPr>
          <w:rFonts w:ascii="Times New Roman" w:hAnsi="Times New Roman" w:eastAsia="仿宋_GB2312" w:cs="Times New Roman"/>
          <w:sz w:val="32"/>
          <w:szCs w:val="32"/>
        </w:rPr>
        <w:t>%，</w:t>
      </w:r>
      <w:r>
        <w:rPr>
          <w:rFonts w:hint="eastAsia" w:ascii="Times New Roman" w:hAnsi="Times New Roman" w:eastAsia="仿宋_GB2312"/>
          <w:sz w:val="32"/>
          <w:szCs w:val="32"/>
        </w:rPr>
        <w:t>主要是因为职工工资及五险一金正常调整</w:t>
      </w:r>
      <w:r>
        <w:rPr>
          <w:rFonts w:hint="eastAsia" w:ascii="Times New Roman" w:hAnsi="Times New Roman" w:eastAsia="仿宋_GB2312"/>
          <w:sz w:val="32"/>
          <w:szCs w:val="32"/>
          <w:lang w:eastAsia="zh-CN"/>
        </w:rPr>
        <w:t>。</w:t>
      </w:r>
    </w:p>
    <w:p w14:paraId="77147EF0">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86268BF">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1757.46</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406.48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23.13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26.42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卫生健康（类）支出</w:t>
      </w:r>
      <w:r>
        <w:rPr>
          <w:rFonts w:hint="eastAsia" w:ascii="Times New Roman" w:hAnsi="Times New Roman" w:eastAsia="仿宋_GB2312" w:cs="Times New Roman"/>
          <w:sz w:val="32"/>
          <w:szCs w:val="32"/>
          <w:lang w:val="en-US" w:eastAsia="zh-CN"/>
        </w:rPr>
        <w:t>15.2万元，占0.86%；其他城乡社区支出855.95万元，占48.7%；自然资源海洋气象等支出408.37万元，占23.24%；其他支出45.04万元，占2.56%。</w:t>
      </w:r>
    </w:p>
    <w:p w14:paraId="40215EA8">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6D8AED6C">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1792.43</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1757.46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98.5</w:t>
      </w:r>
      <w:r>
        <w:rPr>
          <w:rFonts w:ascii="Times New Roman" w:hAnsi="Times New Roman" w:eastAsia="仿宋_GB2312" w:cs="Times New Roman"/>
          <w:sz w:val="32"/>
          <w:szCs w:val="32"/>
        </w:rPr>
        <w:t>%，其中：</w:t>
      </w:r>
    </w:p>
    <w:p w14:paraId="5B43F9B0">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lang w:eastAsia="zh-CN"/>
        </w:rPr>
        <w:t>人大事务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行政运行</w:t>
      </w:r>
      <w:r>
        <w:rPr>
          <w:rFonts w:ascii="Times New Roman" w:hAnsi="Times New Roman" w:eastAsia="仿宋_GB2312" w:cs="Times New Roman"/>
          <w:sz w:val="32"/>
          <w:szCs w:val="32"/>
        </w:rPr>
        <w:t>（项）。</w:t>
      </w:r>
    </w:p>
    <w:p w14:paraId="3E84DABA">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5.32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5.32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eastAsia="zh-CN"/>
        </w:rPr>
        <w:t>。</w:t>
      </w:r>
    </w:p>
    <w:p w14:paraId="5F2A0EC5">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w:t>
      </w:r>
      <w:r>
        <w:rPr>
          <w:rFonts w:hint="eastAsia" w:ascii="Times New Roman" w:hAnsi="Times New Roman" w:eastAsia="仿宋_GB2312" w:cs="Times New Roman"/>
          <w:sz w:val="32"/>
          <w:szCs w:val="32"/>
          <w:lang w:eastAsia="zh-CN"/>
        </w:rPr>
        <w:t>其他一般公共服务支出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其他一般公共服务支出</w:t>
      </w:r>
      <w:r>
        <w:rPr>
          <w:rFonts w:ascii="Times New Roman" w:hAnsi="Times New Roman" w:eastAsia="仿宋_GB2312" w:cs="Times New Roman"/>
          <w:sz w:val="32"/>
          <w:szCs w:val="32"/>
        </w:rPr>
        <w:t>（项）。</w:t>
      </w:r>
    </w:p>
    <w:p w14:paraId="104A2782">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426.16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401.16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94.13</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严格按照财政支出标准，例行节约。</w:t>
      </w:r>
    </w:p>
    <w:p w14:paraId="34899398">
      <w:pPr>
        <w:pStyle w:val="15"/>
        <w:numPr>
          <w:ilvl w:val="0"/>
          <w:numId w:val="2"/>
        </w:numPr>
        <w:spacing w:line="600" w:lineRule="exact"/>
        <w:ind w:left="0" w:leftChars="0"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社会保障和就业支出（类）行政事业单位养老支出（款）机关事业单位基本养老保险缴费支出（项）。</w:t>
      </w:r>
    </w:p>
    <w:p w14:paraId="6A6E2DD9">
      <w:pPr>
        <w:pStyle w:val="15"/>
        <w:numPr>
          <w:ilvl w:val="0"/>
          <w:numId w:val="0"/>
        </w:numPr>
        <w:spacing w:line="600" w:lineRule="exact"/>
        <w:ind w:leftChars="250" w:firstLine="320" w:firstLineChars="100"/>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年初预算22.78万元，支出决算22.77万元，完成年初预算的100%，决算数等于年初预算数</w:t>
      </w:r>
      <w:r>
        <w:rPr>
          <w:rFonts w:hint="eastAsia" w:ascii="Times New Roman" w:hAnsi="Times New Roman" w:eastAsia="仿宋_GB2312"/>
          <w:sz w:val="32"/>
          <w:szCs w:val="32"/>
          <w:lang w:eastAsia="zh-CN"/>
        </w:rPr>
        <w:t>。</w:t>
      </w:r>
    </w:p>
    <w:p w14:paraId="60DE1ABA">
      <w:pPr>
        <w:pStyle w:val="15"/>
        <w:numPr>
          <w:ilvl w:val="0"/>
          <w:numId w:val="2"/>
        </w:numPr>
        <w:spacing w:line="600" w:lineRule="exact"/>
        <w:ind w:left="0" w:leftChars="0"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社会保障和就业支出（类）行政事业单位养老支出（款）</w:t>
      </w:r>
      <w:r>
        <w:rPr>
          <w:rFonts w:hint="eastAsia" w:ascii="Times New Roman" w:hAnsi="Times New Roman" w:eastAsia="仿宋_GB2312"/>
          <w:sz w:val="32"/>
          <w:szCs w:val="32"/>
          <w:lang w:eastAsia="zh-CN"/>
        </w:rPr>
        <w:t>行政单位离退休</w:t>
      </w:r>
      <w:r>
        <w:rPr>
          <w:rFonts w:hint="eastAsia" w:ascii="Times New Roman" w:hAnsi="Times New Roman" w:eastAsia="仿宋_GB2312"/>
          <w:sz w:val="32"/>
          <w:szCs w:val="32"/>
        </w:rPr>
        <w:t>（项）。</w:t>
      </w:r>
    </w:p>
    <w:p w14:paraId="41C2D992">
      <w:pPr>
        <w:pStyle w:val="15"/>
        <w:numPr>
          <w:ilvl w:val="0"/>
          <w:numId w:val="0"/>
        </w:numPr>
        <w:spacing w:line="600" w:lineRule="exact"/>
        <w:ind w:leftChars="250" w:firstLine="320" w:firstLineChars="1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年初预算3.65万元，支出决算3.65万元，完成年初预算的100%，决算数等于年初预算数。</w:t>
      </w:r>
    </w:p>
    <w:p w14:paraId="5D4A3191">
      <w:pPr>
        <w:pStyle w:val="15"/>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卫生健康支出（类）行政事业单位医疗（款）行政单位医疗（项）。</w:t>
      </w:r>
    </w:p>
    <w:p w14:paraId="7500AB55">
      <w:pPr>
        <w:pStyle w:val="15"/>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15.2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15.2</w:t>
      </w:r>
      <w:r>
        <w:rPr>
          <w:rFonts w:hint="eastAsia" w:ascii="Times New Roman" w:hAnsi="Times New Roman" w:eastAsia="仿宋_GB2312"/>
          <w:sz w:val="32"/>
          <w:szCs w:val="32"/>
        </w:rPr>
        <w:t>万元，完成</w:t>
      </w:r>
      <w:r>
        <w:rPr>
          <w:rFonts w:hint="eastAsia" w:ascii="Times New Roman" w:hAnsi="Times New Roman" w:eastAsia="仿宋_GB2312"/>
          <w:sz w:val="32"/>
          <w:szCs w:val="32"/>
          <w:lang w:eastAsia="zh-CN"/>
        </w:rPr>
        <w:t>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于年初预算数</w:t>
      </w:r>
      <w:r>
        <w:rPr>
          <w:rFonts w:hint="eastAsia" w:ascii="Times New Roman" w:hAnsi="Times New Roman" w:eastAsia="仿宋_GB2312"/>
          <w:sz w:val="32"/>
          <w:szCs w:val="32"/>
          <w:lang w:eastAsia="zh-CN"/>
        </w:rPr>
        <w:t>。</w:t>
      </w:r>
    </w:p>
    <w:p w14:paraId="5FDBF4EC">
      <w:pPr>
        <w:pStyle w:val="15"/>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城乡社区支出（类）城乡社区管理事务（款）</w:t>
      </w:r>
      <w:r>
        <w:rPr>
          <w:rFonts w:hint="eastAsia" w:ascii="Times New Roman" w:hAnsi="Times New Roman" w:eastAsia="仿宋_GB2312"/>
          <w:sz w:val="32"/>
          <w:szCs w:val="32"/>
          <w:lang w:eastAsia="zh-CN"/>
        </w:rPr>
        <w:t>其他城乡社区管理事务支出</w:t>
      </w:r>
      <w:r>
        <w:rPr>
          <w:rFonts w:hint="eastAsia" w:ascii="Times New Roman" w:hAnsi="Times New Roman" w:eastAsia="仿宋_GB2312"/>
          <w:sz w:val="32"/>
          <w:szCs w:val="32"/>
        </w:rPr>
        <w:t>（项）。</w:t>
      </w:r>
    </w:p>
    <w:p w14:paraId="3E42C756">
      <w:pPr>
        <w:pStyle w:val="15"/>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922.39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855.95</w:t>
      </w:r>
      <w:r>
        <w:rPr>
          <w:rFonts w:hint="eastAsia" w:ascii="Times New Roman" w:hAnsi="Times New Roman" w:eastAsia="仿宋_GB2312"/>
          <w:sz w:val="32"/>
          <w:szCs w:val="32"/>
        </w:rPr>
        <w:t>万元，完成</w:t>
      </w:r>
      <w:r>
        <w:rPr>
          <w:rFonts w:hint="eastAsia" w:ascii="Times New Roman" w:hAnsi="Times New Roman" w:eastAsia="仿宋_GB2312"/>
          <w:sz w:val="32"/>
          <w:szCs w:val="32"/>
          <w:lang w:eastAsia="zh-CN"/>
        </w:rPr>
        <w:t>年初预算的</w:t>
      </w:r>
      <w:r>
        <w:rPr>
          <w:rFonts w:hint="eastAsia" w:ascii="Times New Roman" w:hAnsi="Times New Roman" w:eastAsia="仿宋_GB2312"/>
          <w:sz w:val="32"/>
          <w:szCs w:val="32"/>
          <w:lang w:val="en-US" w:eastAsia="zh-CN"/>
        </w:rPr>
        <w:t>92.8%</w:t>
      </w:r>
      <w:r>
        <w:rPr>
          <w:rFonts w:hint="eastAsia" w:ascii="Times New Roman" w:hAnsi="Times New Roman" w:eastAsia="仿宋_GB2312"/>
          <w:sz w:val="32"/>
          <w:szCs w:val="32"/>
        </w:rPr>
        <w:t>，决算数小于年初预算的主要原因是：</w:t>
      </w:r>
      <w:r>
        <w:rPr>
          <w:rFonts w:hint="eastAsia" w:ascii="Times New Roman" w:hAnsi="Times New Roman" w:eastAsia="仿宋_GB2312" w:cs="Times New Roman"/>
          <w:sz w:val="32"/>
          <w:szCs w:val="32"/>
          <w:lang w:eastAsia="zh-CN"/>
        </w:rPr>
        <w:t>严格按照财政支出标准，例行节约</w:t>
      </w:r>
      <w:r>
        <w:rPr>
          <w:rFonts w:hint="eastAsia" w:ascii="Times New Roman" w:hAnsi="Times New Roman" w:eastAsia="仿宋_GB2312"/>
          <w:sz w:val="32"/>
          <w:szCs w:val="32"/>
        </w:rPr>
        <w:t>。</w:t>
      </w:r>
    </w:p>
    <w:p w14:paraId="55884824">
      <w:pPr>
        <w:pStyle w:val="15"/>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、自然资源海洋气象等支出（类）自然资源事务（款）</w:t>
      </w:r>
      <w:r>
        <w:rPr>
          <w:rFonts w:hint="eastAsia" w:ascii="Times New Roman" w:hAnsi="Times New Roman" w:eastAsia="仿宋_GB2312"/>
          <w:sz w:val="32"/>
          <w:szCs w:val="32"/>
          <w:lang w:eastAsia="zh-CN"/>
        </w:rPr>
        <w:t>行政</w:t>
      </w:r>
      <w:r>
        <w:rPr>
          <w:rFonts w:hint="eastAsia" w:ascii="Times New Roman" w:hAnsi="Times New Roman" w:eastAsia="仿宋_GB2312"/>
          <w:sz w:val="32"/>
          <w:szCs w:val="32"/>
        </w:rPr>
        <w:t>运行（项）</w:t>
      </w:r>
    </w:p>
    <w:p w14:paraId="4786D360">
      <w:pPr>
        <w:pStyle w:val="15"/>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290.94</w:t>
      </w:r>
      <w:r>
        <w:rPr>
          <w:rFonts w:hint="eastAsia" w:ascii="Times New Roman" w:hAnsi="Times New Roman" w:eastAsia="仿宋_GB2312"/>
          <w:sz w:val="32"/>
          <w:szCs w:val="32"/>
        </w:rPr>
        <w:t>万元，支出决算</w:t>
      </w:r>
      <w:r>
        <w:rPr>
          <w:rFonts w:hint="eastAsia" w:ascii="Times New Roman" w:hAnsi="Times New Roman" w:eastAsia="仿宋_GB2312"/>
          <w:sz w:val="32"/>
          <w:szCs w:val="32"/>
          <w:lang w:val="en-US" w:eastAsia="zh-CN"/>
        </w:rPr>
        <w:t>225.36</w:t>
      </w:r>
      <w:r>
        <w:rPr>
          <w:rFonts w:hint="eastAsia" w:ascii="Times New Roman" w:hAnsi="Times New Roman" w:eastAsia="仿宋_GB2312"/>
          <w:sz w:val="32"/>
          <w:szCs w:val="32"/>
        </w:rPr>
        <w:t>万元，完成年初预算</w:t>
      </w:r>
      <w:r>
        <w:rPr>
          <w:rFonts w:hint="eastAsia" w:ascii="Times New Roman" w:hAnsi="Times New Roman" w:eastAsia="仿宋_GB2312"/>
          <w:sz w:val="32"/>
          <w:szCs w:val="32"/>
          <w:lang w:val="en-US" w:eastAsia="zh-CN"/>
        </w:rPr>
        <w:t>77.46</w:t>
      </w:r>
      <w:r>
        <w:rPr>
          <w:rFonts w:hint="eastAsia" w:ascii="Times New Roman" w:hAnsi="Times New Roman" w:eastAsia="仿宋_GB2312"/>
          <w:sz w:val="32"/>
          <w:szCs w:val="32"/>
        </w:rPr>
        <w:t>%，决算数小于年初预算的主要原因是：</w:t>
      </w:r>
      <w:r>
        <w:rPr>
          <w:rFonts w:ascii="Times New Roman" w:hAnsi="Times New Roman" w:eastAsia="仿宋_GB2312"/>
          <w:sz w:val="32"/>
          <w:szCs w:val="32"/>
          <w:lang w:bidi="en-US"/>
        </w:rPr>
        <w:t>年初预算在此项的部分项目支出本年度实际未发生</w:t>
      </w:r>
      <w:r>
        <w:rPr>
          <w:rFonts w:hint="eastAsia" w:ascii="Times New Roman" w:hAnsi="Times New Roman" w:eastAsia="仿宋_GB2312"/>
          <w:sz w:val="32"/>
          <w:szCs w:val="32"/>
        </w:rPr>
        <w:t>。</w:t>
      </w:r>
    </w:p>
    <w:p w14:paraId="32640099">
      <w:pPr>
        <w:pStyle w:val="15"/>
        <w:numPr>
          <w:ilvl w:val="0"/>
          <w:numId w:val="0"/>
        </w:numPr>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自然资源海洋气象等支出（类）自然资源事务（款）</w:t>
      </w:r>
      <w:r>
        <w:rPr>
          <w:rFonts w:hint="eastAsia" w:ascii="Times New Roman" w:hAnsi="Times New Roman" w:eastAsia="仿宋_GB2312"/>
          <w:sz w:val="32"/>
          <w:szCs w:val="32"/>
          <w:lang w:eastAsia="zh-CN"/>
        </w:rPr>
        <w:t>其他自然资事务等支出</w:t>
      </w:r>
      <w:r>
        <w:rPr>
          <w:rFonts w:hint="eastAsia" w:ascii="Times New Roman" w:hAnsi="Times New Roman" w:eastAsia="仿宋_GB2312"/>
          <w:sz w:val="32"/>
          <w:szCs w:val="32"/>
        </w:rPr>
        <w:t>（项）</w:t>
      </w:r>
    </w:p>
    <w:p w14:paraId="359004C4">
      <w:pPr>
        <w:pStyle w:val="15"/>
        <w:numPr>
          <w:ilvl w:val="0"/>
          <w:numId w:val="0"/>
        </w:numPr>
        <w:spacing w:line="600" w:lineRule="exact"/>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年初预算为0，支出决算56.99万元，无法计算完成比例。决算数大于年初预算数的主要原因是：其他自然资源事务支出未列入年初预算，执行中增加预算。</w:t>
      </w:r>
    </w:p>
    <w:p w14:paraId="4EA8F72A">
      <w:pPr>
        <w:pStyle w:val="15"/>
        <w:numPr>
          <w:ilvl w:val="0"/>
          <w:numId w:val="0"/>
        </w:numPr>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自然资源海洋气象等支出（类）自然资源事务（款）</w:t>
      </w:r>
      <w:r>
        <w:rPr>
          <w:rFonts w:hint="eastAsia" w:ascii="Times New Roman" w:hAnsi="Times New Roman" w:eastAsia="仿宋_GB2312"/>
          <w:sz w:val="32"/>
          <w:szCs w:val="32"/>
          <w:lang w:eastAsia="zh-CN"/>
        </w:rPr>
        <w:t>事业运行支出</w:t>
      </w:r>
      <w:r>
        <w:rPr>
          <w:rFonts w:hint="eastAsia" w:ascii="Times New Roman" w:hAnsi="Times New Roman" w:eastAsia="仿宋_GB2312"/>
          <w:sz w:val="32"/>
          <w:szCs w:val="32"/>
        </w:rPr>
        <w:t>（项）</w:t>
      </w:r>
    </w:p>
    <w:p w14:paraId="0CC89371">
      <w:pPr>
        <w:pStyle w:val="15"/>
        <w:spacing w:line="600" w:lineRule="exact"/>
        <w:ind w:firstLine="800" w:firstLineChars="25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106</w:t>
      </w:r>
      <w:r>
        <w:rPr>
          <w:rFonts w:hint="eastAsia" w:ascii="Times New Roman" w:hAnsi="Times New Roman" w:eastAsia="仿宋_GB2312"/>
          <w:sz w:val="32"/>
          <w:szCs w:val="32"/>
        </w:rPr>
        <w:t>万元，支出决算</w:t>
      </w:r>
      <w:r>
        <w:rPr>
          <w:rFonts w:hint="eastAsia" w:ascii="Times New Roman" w:hAnsi="Times New Roman" w:eastAsia="仿宋_GB2312"/>
          <w:sz w:val="32"/>
          <w:szCs w:val="32"/>
          <w:lang w:val="en-US" w:eastAsia="zh-CN"/>
        </w:rPr>
        <w:t>126.02</w:t>
      </w:r>
      <w:r>
        <w:rPr>
          <w:rFonts w:hint="eastAsia" w:ascii="Times New Roman" w:hAnsi="Times New Roman" w:eastAsia="仿宋_GB2312"/>
          <w:sz w:val="32"/>
          <w:szCs w:val="32"/>
        </w:rPr>
        <w:t>万元，完成年初预算</w:t>
      </w:r>
      <w:r>
        <w:rPr>
          <w:rFonts w:hint="eastAsia" w:ascii="Times New Roman" w:hAnsi="Times New Roman" w:eastAsia="仿宋_GB2312"/>
          <w:sz w:val="32"/>
          <w:szCs w:val="32"/>
          <w:lang w:val="en-US" w:eastAsia="zh-CN"/>
        </w:rPr>
        <w:t>118.89</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于年初预算的主要原因是：</w:t>
      </w:r>
      <w:r>
        <w:rPr>
          <w:rFonts w:hint="eastAsia" w:ascii="Times New Roman" w:hAnsi="Times New Roman" w:eastAsia="仿宋_GB2312"/>
          <w:sz w:val="32"/>
          <w:szCs w:val="32"/>
          <w:lang w:val="en-US" w:eastAsia="zh-CN"/>
        </w:rPr>
        <w:t>事业运行支出部分未列入年初预算，执行中增加预算。</w:t>
      </w:r>
    </w:p>
    <w:p w14:paraId="51767095">
      <w:pPr>
        <w:pStyle w:val="15"/>
        <w:numPr>
          <w:ilvl w:val="0"/>
          <w:numId w:val="0"/>
        </w:numPr>
        <w:spacing w:line="60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10、其他支出（类）其他支出（款）其他支出（项）</w:t>
      </w:r>
    </w:p>
    <w:p w14:paraId="187903FB">
      <w:pPr>
        <w:pStyle w:val="15"/>
        <w:numPr>
          <w:ilvl w:val="0"/>
          <w:numId w:val="0"/>
        </w:numPr>
        <w:spacing w:line="60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年初预算为0，支出决算45.04万元，无法计算完成比例，决算大于年初预算的主要原因是：其他支出未列入年初预算，执行中增加预算。</w:t>
      </w:r>
    </w:p>
    <w:p w14:paraId="10554761">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586FFF7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1623.04</w:t>
      </w:r>
      <w:r>
        <w:rPr>
          <w:rFonts w:ascii="Times New Roman" w:hAnsi="Times New Roman" w:eastAsia="仿宋_GB2312" w:cs="Times New Roman"/>
          <w:sz w:val="32"/>
          <w:szCs w:val="32"/>
        </w:rPr>
        <w:t>万元，其中：</w:t>
      </w:r>
    </w:p>
    <w:p w14:paraId="2BF6BD05">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b/>
          <w:bCs/>
          <w:sz w:val="32"/>
          <w:szCs w:val="32"/>
          <w:lang w:val="en-US" w:eastAsia="zh-CN"/>
        </w:rPr>
        <w:t>1369.12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84.35</w:t>
      </w:r>
      <w:r>
        <w:rPr>
          <w:rFonts w:ascii="Times New Roman" w:hAnsi="Times New Roman" w:eastAsia="仿宋_GB2312" w:cs="Times New Roman"/>
          <w:sz w:val="32"/>
          <w:szCs w:val="32"/>
        </w:rPr>
        <w:t>%,</w:t>
      </w:r>
      <w:r>
        <w:rPr>
          <w:rFonts w:hint="eastAsia" w:ascii="Times New Roman" w:hAnsi="Times New Roman" w:eastAsia="仿宋_GB2312"/>
          <w:sz w:val="32"/>
          <w:szCs w:val="32"/>
        </w:rPr>
        <w:t>主要包括基本工资、津贴补贴、奖金、伙食补助费、绩效工资、机关事业单位基本养老保险缴费、职工基本医疗保险缴费、对个人和家庭的补助、生活补助、医疗补助、其他</w:t>
      </w:r>
      <w:r>
        <w:rPr>
          <w:rFonts w:hint="eastAsia" w:ascii="Times New Roman" w:hAnsi="Times New Roman" w:eastAsia="仿宋_GB2312"/>
          <w:sz w:val="32"/>
          <w:szCs w:val="32"/>
          <w:lang w:eastAsia="zh-CN"/>
        </w:rPr>
        <w:t>对</w:t>
      </w:r>
      <w:r>
        <w:rPr>
          <w:rFonts w:hint="eastAsia" w:ascii="Times New Roman" w:hAnsi="Times New Roman" w:eastAsia="仿宋_GB2312"/>
          <w:sz w:val="32"/>
          <w:szCs w:val="32"/>
        </w:rPr>
        <w:t>个</w:t>
      </w:r>
      <w:r>
        <w:rPr>
          <w:rFonts w:hint="eastAsia" w:ascii="Times New Roman" w:hAnsi="Times New Roman" w:eastAsia="仿宋_GB2312"/>
          <w:sz w:val="32"/>
          <w:szCs w:val="32"/>
          <w:lang w:eastAsia="zh-CN"/>
        </w:rPr>
        <w:t>人和家庭的补助。</w:t>
      </w:r>
    </w:p>
    <w:p w14:paraId="1730E1B1">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b/>
          <w:bCs/>
          <w:sz w:val="32"/>
          <w:szCs w:val="32"/>
          <w:lang w:val="en-US" w:eastAsia="zh-CN"/>
        </w:rPr>
        <w:t>253.92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15.65</w:t>
      </w:r>
      <w:r>
        <w:rPr>
          <w:rFonts w:ascii="Times New Roman" w:hAnsi="Times New Roman" w:eastAsia="仿宋_GB2312" w:cs="Times New Roman"/>
          <w:sz w:val="32"/>
          <w:szCs w:val="32"/>
        </w:rPr>
        <w:t>%，</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eastAsia="zh-CN"/>
        </w:rPr>
        <w:t>印刷费、咨询费、</w:t>
      </w:r>
      <w:r>
        <w:rPr>
          <w:rFonts w:hint="eastAsia" w:ascii="Times New Roman" w:hAnsi="Times New Roman" w:eastAsia="仿宋_GB2312"/>
          <w:sz w:val="32"/>
          <w:szCs w:val="32"/>
        </w:rPr>
        <w:t>差旅费、邮电费、维修费、培训费、</w:t>
      </w:r>
      <w:r>
        <w:rPr>
          <w:rFonts w:hint="eastAsia" w:ascii="Times New Roman" w:hAnsi="Times New Roman" w:eastAsia="仿宋_GB2312"/>
          <w:sz w:val="32"/>
          <w:szCs w:val="32"/>
          <w:lang w:eastAsia="zh-CN"/>
        </w:rPr>
        <w:t>劳务费、</w:t>
      </w:r>
      <w:r>
        <w:rPr>
          <w:rFonts w:hint="eastAsia" w:ascii="Times New Roman" w:hAnsi="Times New Roman" w:eastAsia="仿宋_GB2312"/>
          <w:sz w:val="32"/>
          <w:szCs w:val="32"/>
        </w:rPr>
        <w:t>工会经费、</w:t>
      </w:r>
      <w:r>
        <w:rPr>
          <w:rFonts w:hint="eastAsia" w:ascii="Times New Roman" w:hAnsi="Times New Roman" w:eastAsia="仿宋_GB2312"/>
          <w:sz w:val="32"/>
          <w:szCs w:val="32"/>
          <w:lang w:eastAsia="zh-CN"/>
        </w:rPr>
        <w:t>公务用车运行维护费</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资本性支出</w:t>
      </w:r>
      <w:r>
        <w:rPr>
          <w:rFonts w:hint="eastAsia" w:ascii="Times New Roman" w:hAnsi="Times New Roman" w:eastAsia="仿宋_GB2312"/>
          <w:sz w:val="32"/>
          <w:szCs w:val="32"/>
        </w:rPr>
        <w:t>、其他商品和服务支出</w:t>
      </w:r>
      <w:r>
        <w:rPr>
          <w:rFonts w:hint="eastAsia" w:ascii="Times New Roman" w:hAnsi="Times New Roman" w:eastAsia="仿宋_GB2312"/>
          <w:sz w:val="32"/>
          <w:szCs w:val="32"/>
          <w:lang w:eastAsia="zh-CN"/>
        </w:rPr>
        <w:t>。</w:t>
      </w:r>
    </w:p>
    <w:p w14:paraId="7A1EF6F6">
      <w:pPr>
        <w:pStyle w:val="15"/>
        <w:numPr>
          <w:ilvl w:val="0"/>
          <w:numId w:val="3"/>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3F11675A">
      <w:pPr>
        <w:pStyle w:val="15"/>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2A0F84D7">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yellow"/>
          <w:lang w:eastAsia="zh-CN"/>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3.38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97.63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小于预算数</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落实过“紧日子”要求，严格执行开支标准，厉行节约</w:t>
      </w:r>
      <w:r>
        <w:rPr>
          <w:rFonts w:hint="eastAsia" w:ascii="Times New Roman" w:hAnsi="Times New Roman" w:eastAsia="仿宋_GB2312" w:cs="Times New Roman"/>
          <w:sz w:val="32"/>
          <w:szCs w:val="32"/>
          <w:lang w:eastAsia="zh-CN"/>
        </w:rPr>
        <w:t>。</w:t>
      </w:r>
    </w:p>
    <w:p w14:paraId="63EB4AF7">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7EF57D43">
      <w:pPr>
        <w:pStyle w:val="15"/>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支出决算为0万元，</w:t>
      </w:r>
      <w:r>
        <w:rPr>
          <w:rFonts w:hint="eastAsia" w:ascii="Times New Roman" w:hAnsi="Times New Roman" w:eastAsia="仿宋_GB2312"/>
          <w:sz w:val="32"/>
          <w:szCs w:val="32"/>
          <w:lang w:eastAsia="zh-CN"/>
        </w:rPr>
        <w:t>预算决算金额均为</w:t>
      </w:r>
      <w:r>
        <w:rPr>
          <w:rFonts w:hint="eastAsia" w:ascii="Times New Roman" w:hAnsi="Times New Roman" w:eastAsia="仿宋_GB2312"/>
          <w:sz w:val="32"/>
          <w:szCs w:val="32"/>
          <w:lang w:val="en-US" w:eastAsia="zh-CN"/>
        </w:rPr>
        <w:t>0万元</w:t>
      </w:r>
      <w:r>
        <w:rPr>
          <w:rFonts w:hint="eastAsia" w:ascii="Times New Roman" w:hAnsi="Times New Roman" w:eastAsia="仿宋_GB2312"/>
          <w:sz w:val="32"/>
          <w:szCs w:val="32"/>
          <w:lang w:bidi="en-US"/>
        </w:rPr>
        <w:t>，</w:t>
      </w:r>
      <w:r>
        <w:rPr>
          <w:rFonts w:hint="eastAsia" w:ascii="Times New Roman" w:hAnsi="Times New Roman" w:eastAsia="仿宋_GB2312"/>
          <w:sz w:val="32"/>
          <w:szCs w:val="32"/>
          <w:lang w:eastAsia="zh-CN" w:bidi="en-US"/>
        </w:rPr>
        <w:t>无法计算完成百分比</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等于预算数。</w:t>
      </w:r>
      <w:r>
        <w:rPr>
          <w:rFonts w:hint="eastAsia" w:ascii="Times New Roman" w:hAnsi="Times New Roman" w:eastAsia="仿宋_GB2312"/>
          <w:sz w:val="32"/>
          <w:szCs w:val="32"/>
          <w:lang w:val="en-US" w:eastAsia="zh-CN"/>
        </w:rPr>
        <w:t>主要原因是单位未因公出国(境）。</w:t>
      </w:r>
    </w:p>
    <w:p w14:paraId="3159DDE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ascii="Times New Roman" w:hAnsi="Times New Roman" w:eastAsia="仿宋_GB2312" w:cs="Times New Roman"/>
          <w:sz w:val="32"/>
          <w:szCs w:val="32"/>
        </w:rPr>
        <w:t>2.</w:t>
      </w:r>
      <w:r>
        <w:rPr>
          <w:rFonts w:hint="eastAsia" w:ascii="Times New Roman" w:hAnsi="Times New Roman" w:eastAsia="仿宋_GB2312"/>
          <w:sz w:val="32"/>
          <w:szCs w:val="32"/>
        </w:rPr>
        <w:t>公务用车购置费支出预算为0万元，支出决算为0万元，</w:t>
      </w:r>
      <w:r>
        <w:rPr>
          <w:rFonts w:hint="eastAsia" w:ascii="Times New Roman" w:hAnsi="Times New Roman" w:eastAsia="仿宋_GB2312"/>
          <w:sz w:val="32"/>
          <w:szCs w:val="32"/>
          <w:lang w:eastAsia="zh-CN"/>
        </w:rPr>
        <w:t>预算决算金额均为</w:t>
      </w:r>
      <w:r>
        <w:rPr>
          <w:rFonts w:hint="eastAsia" w:ascii="Times New Roman" w:hAnsi="Times New Roman" w:eastAsia="仿宋_GB2312"/>
          <w:sz w:val="32"/>
          <w:szCs w:val="32"/>
          <w:lang w:val="en-US" w:eastAsia="zh-CN"/>
        </w:rPr>
        <w:t>0万元</w:t>
      </w:r>
      <w:r>
        <w:rPr>
          <w:rFonts w:hint="eastAsia" w:ascii="Times New Roman" w:hAnsi="Times New Roman" w:eastAsia="仿宋_GB2312"/>
          <w:sz w:val="32"/>
          <w:szCs w:val="32"/>
          <w:lang w:bidi="en-US"/>
        </w:rPr>
        <w:t>，</w:t>
      </w:r>
      <w:r>
        <w:rPr>
          <w:rFonts w:hint="eastAsia" w:ascii="Times New Roman" w:hAnsi="Times New Roman" w:eastAsia="仿宋_GB2312"/>
          <w:sz w:val="32"/>
          <w:szCs w:val="32"/>
          <w:lang w:eastAsia="zh-CN" w:bidi="en-US"/>
        </w:rPr>
        <w:t>无法计算完成百分比，主要原因是未购置公务用车。与上年相比持平均为</w:t>
      </w:r>
      <w:r>
        <w:rPr>
          <w:rFonts w:hint="eastAsia" w:ascii="Times New Roman" w:hAnsi="Times New Roman" w:eastAsia="仿宋_GB2312"/>
          <w:sz w:val="32"/>
          <w:szCs w:val="32"/>
          <w:lang w:val="en-US" w:eastAsia="zh-CN" w:bidi="en-US"/>
        </w:rPr>
        <w:t>0万元，无法计算完成百分比，</w:t>
      </w:r>
      <w:r>
        <w:rPr>
          <w:rFonts w:hint="eastAsia" w:ascii="Times New Roman" w:hAnsi="Times New Roman" w:eastAsia="仿宋_GB2312"/>
          <w:sz w:val="32"/>
          <w:szCs w:val="32"/>
          <w:lang w:bidi="en-US"/>
        </w:rPr>
        <w:t>主要原因</w:t>
      </w:r>
      <w:r>
        <w:rPr>
          <w:rFonts w:hint="eastAsia" w:ascii="Times New Roman" w:hAnsi="Times New Roman" w:eastAsia="仿宋_GB2312"/>
          <w:sz w:val="32"/>
          <w:szCs w:val="32"/>
          <w:lang w:eastAsia="zh-CN" w:bidi="en-US"/>
        </w:rPr>
        <w:t>是</w:t>
      </w:r>
      <w:r>
        <w:rPr>
          <w:rFonts w:hint="eastAsia" w:ascii="Times New Roman" w:hAnsi="Times New Roman" w:eastAsia="仿宋_GB2312"/>
          <w:sz w:val="32"/>
          <w:szCs w:val="32"/>
        </w:rPr>
        <w:t>本年度未购置公务用车。</w:t>
      </w:r>
    </w:p>
    <w:p w14:paraId="3B3F2939">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3.3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24E67CBE">
      <w:pPr>
        <w:pStyle w:val="15"/>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车辆维修保养和保险费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0.09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2.8</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eastAsia="zh-CN"/>
        </w:rPr>
        <w:t>严格按照财政预算要求开支</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辆。</w:t>
      </w:r>
    </w:p>
    <w:p w14:paraId="2E23F2E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0.08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%，决算数小于预算数的主要原因</w:t>
      </w:r>
      <w:r>
        <w:rPr>
          <w:rFonts w:hint="eastAsia" w:ascii="Times New Roman" w:hAnsi="Times New Roman" w:eastAsia="仿宋_GB2312"/>
          <w:sz w:val="32"/>
          <w:szCs w:val="32"/>
          <w:lang w:eastAsia="zh-CN"/>
        </w:rPr>
        <w:t>是落实过“紧日子”要求，严格执行公务接待开支标准。</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0.08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落实过“紧日子”要求，严格执行开支标准</w:t>
      </w:r>
      <w:r>
        <w:rPr>
          <w:rFonts w:hint="eastAsia" w:ascii="Times New Roman" w:hAnsi="Times New Roman" w:eastAsia="仿宋_GB2312"/>
          <w:sz w:val="32"/>
          <w:szCs w:val="32"/>
        </w:rPr>
        <w:t>。</w:t>
      </w:r>
    </w:p>
    <w:p w14:paraId="3776577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p>
    <w:p w14:paraId="321A209D">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8747E3E">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35.45</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35.45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35.45</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5A45E54B">
      <w:pPr>
        <w:pStyle w:val="15"/>
        <w:spacing w:line="600" w:lineRule="exact"/>
        <w:ind w:firstLine="640" w:firstLineChars="200"/>
        <w:rPr>
          <w:rFonts w:ascii="Times New Roman" w:hAnsi="Times New Roman" w:eastAsia="仿宋_GB2312"/>
          <w:sz w:val="32"/>
          <w:szCs w:val="32"/>
        </w:rPr>
      </w:pPr>
      <w:r>
        <w:rPr>
          <w:rFonts w:ascii="Times New Roman" w:hAnsi="Times New Roman" w:eastAsia="仿宋_GB2312" w:cs="Times New Roman"/>
          <w:sz w:val="32"/>
          <w:szCs w:val="32"/>
        </w:rPr>
        <w:t>1、</w:t>
      </w:r>
      <w:r>
        <w:rPr>
          <w:rFonts w:hint="eastAsia" w:ascii="Times New Roman" w:hAnsi="Times New Roman" w:eastAsia="仿宋_GB2312"/>
          <w:sz w:val="32"/>
          <w:szCs w:val="32"/>
        </w:rPr>
        <w:t>城乡社区支出（类）国有土地使用权出让收入安排的支出（款）土地出让业务支出（项）。</w:t>
      </w:r>
    </w:p>
    <w:p w14:paraId="4940BC26">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52.8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35.45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67.14</w:t>
      </w:r>
      <w:r>
        <w:rPr>
          <w:rFonts w:ascii="Times New Roman" w:hAnsi="Times New Roman" w:eastAsia="仿宋_GB2312" w:cs="Times New Roman"/>
          <w:sz w:val="32"/>
          <w:szCs w:val="32"/>
        </w:rPr>
        <w:t>%，决算数小于年初预算数</w:t>
      </w:r>
      <w:r>
        <w:rPr>
          <w:rFonts w:hint="eastAsia" w:ascii="Times New Roman" w:hAnsi="Times New Roman" w:eastAsia="仿宋_GB2312" w:cs="Times New Roman"/>
          <w:sz w:val="32"/>
          <w:szCs w:val="32"/>
          <w:lang w:eastAsia="zh-CN"/>
        </w:rPr>
        <w:t>，</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落实过“紧日子”要求，严格执行开支标准</w:t>
      </w:r>
      <w:r>
        <w:rPr>
          <w:rFonts w:hint="eastAsia" w:ascii="Times New Roman" w:hAnsi="Times New Roman" w:eastAsia="仿宋_GB2312" w:cs="Times New Roman"/>
          <w:sz w:val="32"/>
          <w:szCs w:val="32"/>
          <w:lang w:eastAsia="zh-CN"/>
        </w:rPr>
        <w:t>。</w:t>
      </w:r>
    </w:p>
    <w:p w14:paraId="4166F224">
      <w:pPr>
        <w:autoSpaceDE w:val="0"/>
        <w:autoSpaceDN w:val="0"/>
        <w:adjustRightInd w:val="0"/>
        <w:spacing w:line="500" w:lineRule="exact"/>
        <w:ind w:firstLine="640" w:firstLineChars="200"/>
        <w:rPr>
          <w:rFonts w:ascii="黑体" w:hAnsi="黑体" w:eastAsia="黑体" w:cs="仿宋"/>
          <w:color w:val="000000"/>
          <w:sz w:val="32"/>
          <w:szCs w:val="32"/>
          <w:lang w:eastAsia="zh-CN"/>
        </w:rPr>
      </w:pPr>
      <w:r>
        <w:rPr>
          <w:rFonts w:hint="eastAsia" w:ascii="黑体" w:hAnsi="黑体" w:eastAsia="黑体"/>
          <w:sz w:val="32"/>
          <w:szCs w:val="32"/>
          <w:lang w:eastAsia="zh-CN"/>
        </w:rPr>
        <w:t>九、</w:t>
      </w:r>
      <w:r>
        <w:rPr>
          <w:rFonts w:hint="eastAsia" w:ascii="黑体" w:hAnsi="黑体" w:eastAsia="黑体" w:cs="仿宋"/>
          <w:color w:val="000000"/>
          <w:sz w:val="32"/>
          <w:szCs w:val="32"/>
          <w:lang w:eastAsia="zh-CN"/>
        </w:rPr>
        <w:t>国有资本经营预算财政拨款支出决算情况说明</w:t>
      </w:r>
    </w:p>
    <w:p w14:paraId="78FA5CF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2024年度</w:t>
      </w:r>
      <w:r>
        <w:rPr>
          <w:rFonts w:hint="eastAsia" w:ascii="Times New Roman" w:hAnsi="Times New Roman" w:eastAsia="仿宋_GB2312"/>
          <w:sz w:val="32"/>
          <w:szCs w:val="32"/>
        </w:rPr>
        <w:t>本单位无国有资本经营预算</w:t>
      </w:r>
      <w:r>
        <w:rPr>
          <w:rFonts w:hint="eastAsia" w:ascii="Times New Roman" w:hAnsi="Times New Roman" w:eastAsia="仿宋_GB2312"/>
          <w:sz w:val="32"/>
          <w:szCs w:val="32"/>
          <w:lang w:eastAsia="zh-CN"/>
        </w:rPr>
        <w:t>财政拨款支出。</w:t>
      </w:r>
    </w:p>
    <w:p w14:paraId="66D180C5">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14:paraId="67A7BD87">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253.92</w:t>
      </w:r>
      <w:r>
        <w:rPr>
          <w:rFonts w:ascii="Times New Roman" w:hAnsi="Times New Roman" w:eastAsia="仿宋_GB2312" w:cs="Times New Roman"/>
          <w:sz w:val="32"/>
          <w:szCs w:val="32"/>
        </w:rPr>
        <w:t>万元，比年初预算数增加</w:t>
      </w:r>
      <w:r>
        <w:rPr>
          <w:rFonts w:hint="eastAsia" w:ascii="Times New Roman" w:hAnsi="Times New Roman" w:eastAsia="仿宋_GB2312" w:cs="Times New Roman"/>
          <w:sz w:val="32"/>
          <w:szCs w:val="32"/>
          <w:lang w:val="en-US" w:eastAsia="zh-CN"/>
        </w:rPr>
        <w:t>52.35</w:t>
      </w:r>
      <w:r>
        <w:rPr>
          <w:rFonts w:ascii="Times New Roman" w:hAnsi="Times New Roman" w:eastAsia="仿宋_GB2312" w:cs="Times New Roman"/>
          <w:sz w:val="32"/>
          <w:szCs w:val="32"/>
        </w:rPr>
        <w:t xml:space="preserve"> 万元，增长</w:t>
      </w:r>
      <w:r>
        <w:rPr>
          <w:rFonts w:hint="eastAsia" w:ascii="Times New Roman" w:hAnsi="Times New Roman" w:eastAsia="仿宋_GB2312" w:cs="Times New Roman"/>
          <w:sz w:val="32"/>
          <w:szCs w:val="32"/>
          <w:lang w:val="en-US" w:eastAsia="zh-CN"/>
        </w:rPr>
        <w:t>25.97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人员的调整增加。其中：办公费</w:t>
      </w:r>
      <w:r>
        <w:rPr>
          <w:rFonts w:hint="eastAsia" w:ascii="Times New Roman" w:hAnsi="Times New Roman" w:eastAsia="仿宋_GB2312" w:cs="Times New Roman"/>
          <w:sz w:val="32"/>
          <w:szCs w:val="32"/>
          <w:lang w:val="en-US" w:eastAsia="zh-CN"/>
        </w:rPr>
        <w:t>19.84万元；</w:t>
      </w:r>
      <w:r>
        <w:rPr>
          <w:rFonts w:hint="eastAsia" w:ascii="Times New Roman" w:hAnsi="Times New Roman" w:eastAsia="仿宋_GB2312"/>
          <w:sz w:val="32"/>
          <w:szCs w:val="32"/>
          <w:lang w:val="en-US" w:eastAsia="zh-CN"/>
        </w:rPr>
        <w:t>刷费4.35万元；水费1.1万元；邮电费2.02万元；差旅费6.85万元；维修费2.14万元；培训费0.53万元；专用材料费1.3万元；劳务费47.56万元；委托业务服务费13.21万元；工会经费66.73万元；福利费5.42万元；公务用车运行维护费3.3万元；其他交通费用4.47万元；其他商品和服务支出72.77万元；资本性支出2.25万元</w:t>
      </w:r>
      <w:r>
        <w:rPr>
          <w:rFonts w:hint="eastAsia" w:ascii="Times New Roman" w:hAnsi="Times New Roman" w:eastAsia="仿宋_GB2312"/>
          <w:sz w:val="32"/>
          <w:szCs w:val="32"/>
        </w:rPr>
        <w:t>。</w:t>
      </w:r>
    </w:p>
    <w:p w14:paraId="0498F456">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14:paraId="2D8FBE37">
      <w:pPr>
        <w:pStyle w:val="15"/>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0.53</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用于开展湖南省事业单位人员培训，内容为自然资源和规划相关内容</w:t>
      </w:r>
      <w:r>
        <w:rPr>
          <w:rFonts w:ascii="Times New Roman" w:hAnsi="Times New Roman" w:eastAsia="仿宋_GB2312" w:cs="Times New Roman"/>
          <w:sz w:val="32"/>
          <w:szCs w:val="32"/>
        </w:rPr>
        <w:t>；</w:t>
      </w:r>
      <w:r>
        <w:rPr>
          <w:rFonts w:hint="eastAsia" w:ascii="Times New Roman" w:hAnsi="Times New Roman" w:eastAsia="仿宋_GB2312"/>
          <w:sz w:val="32"/>
          <w:szCs w:val="32"/>
        </w:rPr>
        <w:t>未举办节庆、晚会、论坛、赛事等活动，开支0万元</w:t>
      </w:r>
      <w:r>
        <w:rPr>
          <w:rFonts w:hint="eastAsia" w:ascii="Times New Roman" w:hAnsi="Times New Roman" w:eastAsia="仿宋_GB2312"/>
          <w:sz w:val="32"/>
          <w:szCs w:val="32"/>
          <w:lang w:eastAsia="zh-CN"/>
        </w:rPr>
        <w:t>。</w:t>
      </w:r>
    </w:p>
    <w:p w14:paraId="75BE7CB7">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0CD6400E">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103.02</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103.02</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103.02</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103.02</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12B4F124">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14:paraId="5E912C2F">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sz w:val="32"/>
          <w:szCs w:val="32"/>
        </w:rPr>
        <w:t>地籍调查、落宗确权、日常公务用车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（套）。</w:t>
      </w:r>
    </w:p>
    <w:p w14:paraId="263392EF">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8A6A6EF">
      <w:pPr>
        <w:overflowPunct w:val="0"/>
        <w:spacing w:line="600" w:lineRule="exact"/>
        <w:ind w:left="958" w:leftChars="304" w:hanging="320" w:hangingChars="100"/>
        <w:rPr>
          <w:rFonts w:ascii="Times New Roman" w:hAnsi="Times New Roman" w:eastAsia="仿宋_GB2312" w:cs="Times New Roman"/>
          <w:b/>
          <w:bCs/>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p>
    <w:p w14:paraId="0762AF22">
      <w:pPr>
        <w:overflowPunct w:val="0"/>
        <w:spacing w:line="600" w:lineRule="exact"/>
        <w:ind w:firstLine="640" w:firstLineChars="200"/>
        <w:jc w:val="both"/>
        <w:rPr>
          <w:rFonts w:ascii="Times New Roman" w:hAnsi="Times New Roman" w:eastAsia="楷体" w:cs="Times New Roman"/>
          <w:b/>
          <w:bCs/>
          <w:sz w:val="32"/>
          <w:szCs w:val="32"/>
        </w:rPr>
      </w:pPr>
      <w:bookmarkStart w:id="0" w:name="_GoBack"/>
      <w:bookmarkEnd w:id="0"/>
      <w:r>
        <w:rPr>
          <w:rFonts w:ascii="Times New Roman" w:hAnsi="Times New Roman" w:eastAsia="仿宋_GB2312" w:cs="Times New Roman"/>
          <w:kern w:val="0"/>
          <w:sz w:val="32"/>
          <w:szCs w:val="32"/>
        </w:rPr>
        <w:t>2024年度本部门整体支出开展绩效自评，涉及项目</w:t>
      </w:r>
      <w:r>
        <w:rPr>
          <w:rFonts w:hint="eastAsia" w:ascii="Times New Roman" w:hAnsi="Times New Roman" w:eastAsia="仿宋_GB2312" w:cs="Times New Roman"/>
          <w:kern w:val="0"/>
          <w:sz w:val="32"/>
          <w:szCs w:val="32"/>
          <w:lang w:val="en-US" w:eastAsia="zh-CN"/>
        </w:rPr>
        <w:t>6</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173.71</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138.26</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79.59</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35.45</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20.41</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社</w:t>
      </w:r>
      <w:r>
        <w:rPr>
          <w:rFonts w:ascii="Times New Roman" w:hAnsi="Times New Roman" w:eastAsia="仿宋_GB2312" w:cs="Times New Roman"/>
          <w:kern w:val="0"/>
          <w:sz w:val="32"/>
          <w:szCs w:val="32"/>
        </w:rPr>
        <w:t>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57A0E0B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2270.35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2060.78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90.77</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kern w:val="0"/>
          <w:sz w:val="32"/>
          <w:szCs w:val="32"/>
          <w:lang w:val="en-US" w:eastAsia="zh-CN"/>
        </w:rPr>
        <w:t>97.9</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良好</w:t>
      </w:r>
      <w:r>
        <w:rPr>
          <w:rFonts w:ascii="Times New Roman" w:hAnsi="Times New Roman" w:eastAsia="仿宋_GB2312" w:cs="Times New Roman"/>
          <w:sz w:val="32"/>
          <w:szCs w:val="32"/>
        </w:rPr>
        <w:t>”。绩效目标完成情况：</w:t>
      </w:r>
      <w:r>
        <w:rPr>
          <w:rFonts w:hint="eastAsia" w:ascii="仿宋" w:hAnsi="仿宋" w:eastAsia="仿宋" w:cs="仿宋"/>
          <w:color w:val="auto"/>
          <w:kern w:val="2"/>
          <w:sz w:val="32"/>
          <w:szCs w:val="32"/>
          <w:highlight w:val="none"/>
          <w:lang w:val="en-US" w:eastAsia="zh-CN" w:bidi="ar-SA"/>
        </w:rPr>
        <w:t>按照怀财绩〔2025〕32号要求，我中心从部门整体运行成本、管理效率和履职效能三个维度进行自评，通过对本部门在预算编制、预算执行、信息公开、绩效管理、政府采购、资产管理等方面以及工作任务完成情况进行分析，2024年整体支出绩效自评得分97.90分。</w:t>
      </w:r>
    </w:p>
    <w:p w14:paraId="594C9A4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从自评情况看，怀化市不动产登记中心2024年度部门履职整体完成情况良好，部门总体预算绩效目标任务与部门履职、年度工作任务相符；年度绩效目标设置合理、明确，绩效指标清晰、细化、可衡量；预算编制较为完整规范；年度工作计划安排合理，人员合理控制，“三公经费”得以压减控制，政府采购合法合规，预算管理制度健全，资金使用合规，预决算信息按规定进行公开。</w:t>
      </w:r>
    </w:p>
    <w:p w14:paraId="161A4B4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发现的主要问题及原因：</w:t>
      </w:r>
    </w:p>
    <w:p w14:paraId="0C92EF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（一）预算编制工作还有待细化，预算编制还不够明确和细化。</w:t>
      </w:r>
    </w:p>
    <w:p w14:paraId="61199ED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（二）中心全额编制人员少，主要是差额拨款，收入少导致经费不足，日常公用经费不足、与实际支出相差甚远，目前收入维持运转较困难。</w:t>
      </w:r>
    </w:p>
    <w:p w14:paraId="52DE0A8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（三）中心项目经费没有保障，由于经费形式是差额拨款，收入不足导致部门预算资金有缺口。</w:t>
      </w:r>
    </w:p>
    <w:p w14:paraId="1413773B">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kern w:val="0"/>
          <w:sz w:val="32"/>
          <w:szCs w:val="32"/>
        </w:rPr>
        <w:t>。</w:t>
      </w:r>
    </w:p>
    <w:p w14:paraId="4F033074">
      <w:pPr>
        <w:pStyle w:val="9"/>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ascii="Times New Roman" w:hAnsi="Times New Roman" w:eastAsia="楷体_GB2312" w:cs="Times New Roman"/>
          <w:b/>
          <w:bCs/>
          <w:color w:val="auto"/>
          <w:kern w:val="2"/>
          <w:sz w:val="32"/>
          <w:szCs w:val="32"/>
        </w:rPr>
        <w:t>评价结果应用情况。</w:t>
      </w:r>
      <w:r>
        <w:rPr>
          <w:rFonts w:ascii="Times New Roman" w:hAnsi="Times New Roman" w:eastAsia="仿宋_GB2312" w:cs="Times New Roman"/>
          <w:color w:val="auto"/>
          <w:sz w:val="32"/>
          <w:szCs w:val="32"/>
        </w:rPr>
        <w:t>请根据2024年度绩效自评结果、部门评价结果、财政评价结果对本部门2025年度预算安排，支出结构调整，资金管理，制度建设等方面结果运用进行简要说明。</w:t>
      </w:r>
      <w:r>
        <w:rPr>
          <w:rFonts w:hint="default" w:ascii="仿宋" w:hAnsi="仿宋" w:eastAsia="仿宋" w:cs="仿宋"/>
          <w:color w:val="auto"/>
          <w:kern w:val="2"/>
          <w:sz w:val="32"/>
          <w:szCs w:val="32"/>
          <w:highlight w:val="none"/>
          <w:lang w:val="en-US" w:eastAsia="zh-CN" w:bidi="ar-SA"/>
        </w:rPr>
        <w:t>绩效自评结果可以进一步规范财政资金管理，强化部门绩效和责任意识，切实提高财政资金使用效益，同时编制下一年的部门预算可以参考绩效自评结果，以提高预算编制的精准性。</w:t>
      </w:r>
      <w:r>
        <w:rPr>
          <w:rFonts w:hint="eastAsia" w:ascii="仿宋" w:hAnsi="仿宋" w:eastAsia="仿宋" w:cs="仿宋"/>
          <w:color w:val="auto"/>
          <w:kern w:val="2"/>
          <w:sz w:val="32"/>
          <w:szCs w:val="32"/>
          <w:highlight w:val="none"/>
          <w:lang w:val="en-US" w:eastAsia="zh-CN" w:bidi="ar-SA"/>
        </w:rPr>
        <w:t>绩效自评</w:t>
      </w:r>
      <w:r>
        <w:rPr>
          <w:rFonts w:hint="default" w:ascii="仿宋" w:hAnsi="仿宋" w:eastAsia="仿宋" w:cs="仿宋"/>
          <w:color w:val="auto"/>
          <w:kern w:val="2"/>
          <w:sz w:val="32"/>
          <w:szCs w:val="32"/>
          <w:highlight w:val="none"/>
          <w:lang w:val="en-US" w:eastAsia="zh-CN" w:bidi="ar-SA"/>
        </w:rPr>
        <w:t>结果</w:t>
      </w:r>
      <w:r>
        <w:rPr>
          <w:rFonts w:hint="eastAsia" w:ascii="仿宋" w:hAnsi="仿宋" w:eastAsia="仿宋" w:cs="仿宋"/>
          <w:color w:val="auto"/>
          <w:kern w:val="2"/>
          <w:sz w:val="32"/>
          <w:szCs w:val="32"/>
          <w:highlight w:val="none"/>
          <w:lang w:val="en-US" w:eastAsia="zh-CN" w:bidi="ar-SA"/>
        </w:rPr>
        <w:t>按照</w:t>
      </w:r>
      <w:r>
        <w:rPr>
          <w:rFonts w:hint="default" w:ascii="仿宋" w:hAnsi="仿宋" w:eastAsia="仿宋" w:cs="仿宋"/>
          <w:color w:val="auto"/>
          <w:kern w:val="2"/>
          <w:sz w:val="32"/>
          <w:szCs w:val="32"/>
          <w:highlight w:val="none"/>
          <w:lang w:val="en-US" w:eastAsia="zh-CN" w:bidi="ar-SA"/>
        </w:rPr>
        <w:t>财政要求及时公开。</w:t>
      </w:r>
    </w:p>
    <w:p w14:paraId="3A40BC19">
      <w:pPr>
        <w:pStyle w:val="15"/>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408B7535">
      <w:pPr>
        <w:pStyle w:val="15"/>
        <w:jc w:val="center"/>
        <w:rPr>
          <w:rFonts w:ascii="Times New Roman" w:hAnsi="Times New Roman" w:cs="Times New Roman"/>
          <w:sz w:val="72"/>
          <w:szCs w:val="72"/>
        </w:rPr>
      </w:pPr>
    </w:p>
    <w:p w14:paraId="57026907">
      <w:pPr>
        <w:pStyle w:val="15"/>
        <w:jc w:val="center"/>
        <w:rPr>
          <w:rFonts w:ascii="Times New Roman" w:hAnsi="Times New Roman" w:cs="Times New Roman"/>
          <w:sz w:val="72"/>
          <w:szCs w:val="72"/>
        </w:rPr>
      </w:pPr>
    </w:p>
    <w:p w14:paraId="7D9AF861">
      <w:pPr>
        <w:pStyle w:val="15"/>
        <w:jc w:val="center"/>
        <w:rPr>
          <w:rFonts w:ascii="Times New Roman" w:hAnsi="Times New Roman" w:cs="Times New Roman"/>
          <w:sz w:val="72"/>
          <w:szCs w:val="72"/>
        </w:rPr>
      </w:pPr>
    </w:p>
    <w:p w14:paraId="69026C1E">
      <w:pPr>
        <w:pStyle w:val="15"/>
        <w:jc w:val="center"/>
        <w:rPr>
          <w:rFonts w:ascii="Times New Roman" w:hAnsi="Times New Roman" w:cs="Times New Roman"/>
          <w:sz w:val="72"/>
          <w:szCs w:val="72"/>
        </w:rPr>
      </w:pPr>
    </w:p>
    <w:p w14:paraId="00F1B633">
      <w:pPr>
        <w:pStyle w:val="15"/>
        <w:jc w:val="center"/>
        <w:rPr>
          <w:rFonts w:ascii="Times New Roman" w:hAnsi="Times New Roman" w:cs="Times New Roman"/>
          <w:sz w:val="72"/>
          <w:szCs w:val="72"/>
        </w:rPr>
      </w:pPr>
    </w:p>
    <w:p w14:paraId="559F3883">
      <w:pPr>
        <w:pStyle w:val="15"/>
        <w:jc w:val="center"/>
        <w:rPr>
          <w:rFonts w:ascii="Times New Roman" w:hAnsi="Times New Roman" w:cs="Times New Roman"/>
          <w:sz w:val="72"/>
          <w:szCs w:val="72"/>
        </w:rPr>
      </w:pPr>
    </w:p>
    <w:p w14:paraId="6CBFF48A">
      <w:pPr>
        <w:pStyle w:val="15"/>
        <w:jc w:val="center"/>
        <w:rPr>
          <w:rFonts w:ascii="Times New Roman" w:hAnsi="Times New Roman" w:cs="Times New Roman"/>
          <w:sz w:val="72"/>
          <w:szCs w:val="72"/>
        </w:rPr>
      </w:pPr>
    </w:p>
    <w:p w14:paraId="0CC50498">
      <w:pPr>
        <w:pStyle w:val="15"/>
        <w:jc w:val="center"/>
        <w:rPr>
          <w:rFonts w:ascii="Times New Roman" w:hAnsi="Times New Roman" w:cs="Times New Roman"/>
          <w:sz w:val="72"/>
          <w:szCs w:val="72"/>
        </w:rPr>
      </w:pPr>
    </w:p>
    <w:p w14:paraId="6CFA3191">
      <w:pPr>
        <w:pStyle w:val="15"/>
        <w:jc w:val="center"/>
        <w:rPr>
          <w:rFonts w:ascii="Times New Roman" w:hAnsi="Times New Roman" w:cs="Times New Roman"/>
          <w:sz w:val="72"/>
          <w:szCs w:val="72"/>
        </w:rPr>
      </w:pPr>
    </w:p>
    <w:p w14:paraId="0D0A76A1">
      <w:pPr>
        <w:pStyle w:val="15"/>
        <w:jc w:val="center"/>
        <w:rPr>
          <w:rFonts w:ascii="Times New Roman" w:hAnsi="Times New Roman" w:cs="Times New Roman"/>
          <w:sz w:val="72"/>
          <w:szCs w:val="72"/>
        </w:rPr>
      </w:pPr>
    </w:p>
    <w:p w14:paraId="23E149C8">
      <w:pPr>
        <w:pStyle w:val="15"/>
        <w:jc w:val="both"/>
        <w:rPr>
          <w:rFonts w:ascii="Times New Roman" w:hAnsi="Times New Roman" w:cs="Times New Roman"/>
          <w:sz w:val="72"/>
          <w:szCs w:val="72"/>
        </w:rPr>
      </w:pPr>
    </w:p>
    <w:p w14:paraId="12CA3348">
      <w:pPr>
        <w:pStyle w:val="15"/>
        <w:spacing w:line="360" w:lineRule="auto"/>
        <w:jc w:val="center"/>
        <w:rPr>
          <w:rFonts w:ascii="Times New Roman" w:hAnsi="Times New Roman" w:eastAsia="方正小标宋_GBK" w:cs="Times New Roman"/>
          <w:sz w:val="52"/>
          <w:szCs w:val="52"/>
        </w:rPr>
      </w:pPr>
    </w:p>
    <w:p w14:paraId="5FF43B2B">
      <w:pPr>
        <w:pStyle w:val="15"/>
        <w:spacing w:line="360" w:lineRule="auto"/>
        <w:ind w:firstLine="2080" w:firstLineChars="4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46A1BE8E">
      <w:pPr>
        <w:widowControl/>
        <w:jc w:val="left"/>
        <w:rPr>
          <w:rFonts w:ascii="Times New Roman" w:hAnsi="Times New Roman" w:cs="Times New Roman"/>
          <w:color w:val="000000"/>
          <w:kern w:val="0"/>
          <w:sz w:val="32"/>
          <w:szCs w:val="32"/>
        </w:rPr>
      </w:pPr>
    </w:p>
    <w:p w14:paraId="6ABCF75D">
      <w:pPr>
        <w:ind w:firstLine="640" w:firstLineChars="200"/>
        <w:rPr>
          <w:rFonts w:ascii="仿宋" w:hAnsi="仿宋" w:eastAsia="仿宋" w:cs="仿宋"/>
          <w:color w:val="000000"/>
          <w:sz w:val="32"/>
          <w:szCs w:val="32"/>
          <w:lang w:eastAsia="zh-CN"/>
        </w:rPr>
      </w:pPr>
      <w:r>
        <w:rPr>
          <w:rFonts w:hint="eastAsia" w:ascii="仿宋" w:hAnsi="仿宋" w:eastAsia="仿宋" w:cs="仿宋"/>
          <w:b/>
          <w:bCs/>
          <w:color w:val="000000"/>
          <w:sz w:val="32"/>
          <w:szCs w:val="32"/>
          <w:lang w:eastAsia="zh-CN"/>
        </w:rPr>
        <w:t>一、机关运行经费：</w:t>
      </w:r>
      <w:r>
        <w:rPr>
          <w:rFonts w:hint="eastAsia" w:ascii="仿宋" w:hAnsi="仿宋" w:eastAsia="仿宋" w:cs="仿宋"/>
          <w:color w:val="000000"/>
          <w:sz w:val="32"/>
          <w:szCs w:val="32"/>
          <w:lang w:eastAsia="zh-CN"/>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F882BB4">
      <w:pPr>
        <w:ind w:firstLine="640" w:firstLineChars="200"/>
        <w:rPr>
          <w:rFonts w:ascii="仿宋" w:hAnsi="仿宋" w:eastAsia="仿宋" w:cs="仿宋"/>
          <w:color w:val="000000"/>
          <w:sz w:val="32"/>
          <w:szCs w:val="32"/>
          <w:lang w:eastAsia="zh-CN"/>
        </w:rPr>
      </w:pPr>
      <w:r>
        <w:rPr>
          <w:rFonts w:hint="eastAsia" w:ascii="仿宋" w:hAnsi="仿宋" w:eastAsia="仿宋" w:cs="仿宋"/>
          <w:b/>
          <w:bCs/>
          <w:color w:val="000000"/>
          <w:sz w:val="32"/>
          <w:szCs w:val="32"/>
          <w:lang w:eastAsia="zh-CN"/>
        </w:rPr>
        <w:t>二、“三公”经费：</w:t>
      </w:r>
      <w:r>
        <w:rPr>
          <w:rFonts w:hint="eastAsia" w:ascii="仿宋" w:hAnsi="仿宋" w:eastAsia="仿宋" w:cs="仿宋"/>
          <w:color w:val="000000"/>
          <w:sz w:val="32"/>
          <w:szCs w:val="32"/>
          <w:lang w:eastAsia="zh-CN"/>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D4BC955">
      <w:pPr>
        <w:pStyle w:val="15"/>
        <w:jc w:val="center"/>
        <w:rPr>
          <w:rFonts w:ascii="Times New Roman" w:hAnsi="Times New Roman" w:cs="Times New Roman"/>
          <w:sz w:val="72"/>
          <w:szCs w:val="72"/>
        </w:rPr>
      </w:pPr>
    </w:p>
    <w:p w14:paraId="1F027B3C">
      <w:pPr>
        <w:pStyle w:val="15"/>
        <w:jc w:val="center"/>
        <w:rPr>
          <w:rFonts w:ascii="Times New Roman" w:hAnsi="Times New Roman" w:cs="Times New Roman"/>
          <w:sz w:val="72"/>
          <w:szCs w:val="72"/>
        </w:rPr>
      </w:pPr>
    </w:p>
    <w:p w14:paraId="4E22B63D">
      <w:pPr>
        <w:pStyle w:val="15"/>
        <w:jc w:val="center"/>
        <w:rPr>
          <w:rFonts w:ascii="Times New Roman" w:hAnsi="Times New Roman" w:cs="Times New Roman"/>
          <w:sz w:val="72"/>
          <w:szCs w:val="72"/>
        </w:rPr>
      </w:pPr>
    </w:p>
    <w:p w14:paraId="08F103FE">
      <w:pPr>
        <w:pStyle w:val="15"/>
        <w:jc w:val="center"/>
        <w:rPr>
          <w:rFonts w:ascii="Times New Roman" w:hAnsi="Times New Roman" w:cs="Times New Roman"/>
          <w:sz w:val="72"/>
          <w:szCs w:val="72"/>
        </w:rPr>
      </w:pPr>
    </w:p>
    <w:p w14:paraId="2F881060">
      <w:pPr>
        <w:pStyle w:val="15"/>
        <w:jc w:val="center"/>
        <w:rPr>
          <w:rFonts w:ascii="Times New Roman" w:hAnsi="Times New Roman" w:cs="Times New Roman"/>
          <w:sz w:val="72"/>
          <w:szCs w:val="72"/>
        </w:rPr>
      </w:pPr>
    </w:p>
    <w:p w14:paraId="19CE03D0">
      <w:pPr>
        <w:pStyle w:val="15"/>
        <w:spacing w:line="360" w:lineRule="auto"/>
        <w:ind w:firstLine="3120" w:firstLineChars="600"/>
        <w:jc w:val="both"/>
        <w:rPr>
          <w:rFonts w:ascii="Times New Roman" w:hAnsi="Times New Roman" w:eastAsia="方正小标宋_GBK" w:cs="Times New Roman"/>
          <w:sz w:val="52"/>
          <w:szCs w:val="52"/>
        </w:rPr>
      </w:pPr>
    </w:p>
    <w:p w14:paraId="75DFFBF8">
      <w:pPr>
        <w:pStyle w:val="15"/>
        <w:spacing w:line="360" w:lineRule="auto"/>
        <w:ind w:firstLine="3120" w:firstLineChars="6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第五部分 </w:t>
      </w:r>
    </w:p>
    <w:p w14:paraId="1A58B35F">
      <w:pPr>
        <w:pStyle w:val="15"/>
        <w:spacing w:line="360" w:lineRule="auto"/>
        <w:ind w:firstLine="3120" w:firstLineChars="6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附 件</w:t>
      </w:r>
    </w:p>
    <w:p w14:paraId="09A5F28E">
      <w:pPr>
        <w:rPr>
          <w:rFonts w:ascii="Times New Roman" w:hAnsi="Times New Roman" w:cs="Times New Roman"/>
          <w:sz w:val="72"/>
          <w:szCs w:val="72"/>
        </w:rPr>
      </w:pPr>
    </w:p>
    <w:p w14:paraId="38153FF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p>
    <w:p w14:paraId="2F5FC64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p>
    <w:p w14:paraId="4D8C158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p>
    <w:p w14:paraId="037949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p>
    <w:p w14:paraId="32031BF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p>
    <w:p w14:paraId="44ABF72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p>
    <w:p w14:paraId="0937E71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p>
    <w:p w14:paraId="7FC9173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p>
    <w:p w14:paraId="7FB44E0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p>
    <w:p w14:paraId="28B257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p>
    <w:p w14:paraId="16C84E9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p>
    <w:p w14:paraId="58D5E9D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p>
    <w:p w14:paraId="0B36E77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p>
    <w:p w14:paraId="3565BC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p>
    <w:p w14:paraId="54DA8587">
      <w:pPr>
        <w:widowControl/>
        <w:shd w:val="clear" w:color="auto" w:fill="FFFFFF"/>
        <w:spacing w:line="600" w:lineRule="atLeast"/>
        <w:jc w:val="center"/>
        <w:rPr>
          <w:rFonts w:hint="eastAsia" w:ascii="Times New Roman" w:hAnsi="Times New Roman" w:eastAsia="黑体" w:cs="Times New Roman"/>
          <w:bCs/>
          <w:color w:val="000000"/>
          <w:kern w:val="0"/>
          <w:sz w:val="32"/>
          <w:szCs w:val="32"/>
          <w:lang w:val="en-US" w:eastAsia="zh-CN" w:bidi="ar-SA"/>
        </w:rPr>
      </w:pPr>
    </w:p>
    <w:p w14:paraId="134A5A4B">
      <w:pPr>
        <w:widowControl/>
        <w:shd w:val="clear" w:color="auto" w:fill="FFFFFF"/>
        <w:spacing w:line="600" w:lineRule="atLeast"/>
        <w:jc w:val="center"/>
        <w:rPr>
          <w:rFonts w:hint="eastAsia" w:ascii="Times New Roman" w:hAnsi="Times New Roman" w:eastAsia="黑体" w:cs="Times New Roman"/>
          <w:bCs/>
          <w:color w:val="000000"/>
          <w:kern w:val="0"/>
          <w:sz w:val="32"/>
          <w:szCs w:val="32"/>
          <w:lang w:val="en-US" w:eastAsia="zh-CN" w:bidi="ar-SA"/>
        </w:rPr>
      </w:pPr>
      <w:r>
        <w:rPr>
          <w:rFonts w:hint="eastAsia" w:ascii="Times New Roman" w:hAnsi="Times New Roman" w:eastAsia="黑体" w:cs="Times New Roman"/>
          <w:bCs/>
          <w:color w:val="000000"/>
          <w:kern w:val="0"/>
          <w:sz w:val="32"/>
          <w:szCs w:val="32"/>
          <w:lang w:val="en-US" w:eastAsia="zh-CN" w:bidi="ar-SA"/>
        </w:rPr>
        <w:t>怀化市不动产登记中心2024年</w:t>
      </w:r>
    </w:p>
    <w:p w14:paraId="5E04E687">
      <w:pPr>
        <w:widowControl/>
        <w:shd w:val="clear" w:color="auto" w:fill="FFFFFF"/>
        <w:spacing w:line="600" w:lineRule="atLeast"/>
        <w:jc w:val="center"/>
        <w:rPr>
          <w:rFonts w:hint="default" w:ascii="仿宋" w:hAnsi="仿宋" w:eastAsia="仿宋" w:cs="仿宋"/>
          <w:color w:val="auto"/>
          <w:sz w:val="32"/>
          <w:szCs w:val="32"/>
          <w:highlight w:val="none"/>
          <w:lang w:val="en-US" w:eastAsia="zh-CN"/>
        </w:rPr>
      </w:pPr>
      <w:r>
        <w:rPr>
          <w:rFonts w:hint="eastAsia" w:ascii="Times New Roman" w:hAnsi="Times New Roman" w:eastAsia="黑体" w:cs="Times New Roman"/>
          <w:bCs/>
          <w:color w:val="000000"/>
          <w:kern w:val="0"/>
          <w:sz w:val="32"/>
          <w:szCs w:val="32"/>
          <w:lang w:val="en-US" w:eastAsia="zh-CN" w:bidi="ar-SA"/>
        </w:rPr>
        <w:t>整体支出绩效自评报告</w:t>
      </w:r>
    </w:p>
    <w:p w14:paraId="49ADC87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p>
    <w:p w14:paraId="15A4C4D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b/>
          <w:bCs/>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切实做好2024年度部门整体支出绩效评价工作，强化绩效和责任意识，提高财政资金使用效益，根据《怀化市财政局关于开展2024年度市级预算部门绩效自评和部门评价的通知》（怀财绩〔2025〕32号）文件精神，结合单位实际，对部门整体支出绩效评价指标完成情况做出了客观、公正的评价，现将自评情况报告如下：</w:t>
      </w:r>
    </w:p>
    <w:p w14:paraId="1F16B6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（一）部门（单位）基本情况</w:t>
      </w:r>
    </w:p>
    <w:p w14:paraId="4EE4AA2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1.机构设置情况</w:t>
      </w:r>
    </w:p>
    <w:p w14:paraId="4E2333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根据湖南省机构编制委员会办公室《关于怀化市不动产登记中心机构编制事项的批复》（湘编办复字〔2016〕32号）和《怀化市机构编制委员会关于明确怀化市不动产登记中心机构规格的通知》（怀编〔2016〕29号）精神，怀化市不动产登记中心为市自然资源和规划局管理的副处级公益一类事业单位。</w:t>
      </w:r>
    </w:p>
    <w:p w14:paraId="351DEA8D">
      <w:pPr>
        <w:keepNext w:val="0"/>
        <w:keepLines w:val="0"/>
        <w:pageBreakBefore w:val="0"/>
        <w:widowControl w:val="0"/>
        <w:kinsoku/>
        <w:wordWrap/>
        <w:overflowPunct/>
        <w:topLinePunct w:val="0"/>
        <w:autoSpaceDE/>
        <w:autoSpaceDN/>
        <w:bidi w:val="0"/>
        <w:adjustRightInd/>
        <w:spacing w:line="520" w:lineRule="exact"/>
        <w:ind w:firstLine="640" w:firstLineChars="200"/>
        <w:jc w:val="left"/>
        <w:textAlignment w:val="auto"/>
        <w:rPr>
          <w:rFonts w:ascii="仿宋" w:hAnsi="仿宋" w:eastAsia="仿宋"/>
          <w:sz w:val="32"/>
          <w:szCs w:val="32"/>
        </w:rPr>
      </w:pPr>
      <w:r>
        <w:rPr>
          <w:rFonts w:hint="eastAsia" w:ascii="仿宋" w:hAnsi="仿宋" w:eastAsia="仿宋"/>
          <w:sz w:val="32"/>
          <w:szCs w:val="32"/>
        </w:rPr>
        <w:t>怀化市不动产登记中心作为二级部门预算单位，我中心设</w:t>
      </w:r>
      <w:r>
        <w:rPr>
          <w:rFonts w:hint="eastAsia" w:ascii="仿宋" w:hAnsi="仿宋" w:eastAsia="仿宋"/>
          <w:sz w:val="32"/>
          <w:szCs w:val="32"/>
          <w:highlight w:val="none"/>
          <w:lang w:val="en-US" w:eastAsia="zh-CN"/>
        </w:rPr>
        <w:t>6</w:t>
      </w:r>
      <w:r>
        <w:rPr>
          <w:rFonts w:hint="eastAsia" w:ascii="仿宋" w:hAnsi="仿宋" w:eastAsia="仿宋"/>
          <w:sz w:val="32"/>
          <w:szCs w:val="32"/>
        </w:rPr>
        <w:t>个内设科室和4个分支机构</w:t>
      </w:r>
      <w:r>
        <w:rPr>
          <w:rFonts w:hint="eastAsia" w:ascii="仿宋" w:hAnsi="仿宋" w:eastAsia="仿宋"/>
          <w:sz w:val="32"/>
          <w:szCs w:val="32"/>
          <w:lang w:eastAsia="zh-CN"/>
        </w:rPr>
        <w:t>，</w:t>
      </w:r>
      <w:r>
        <w:rPr>
          <w:rFonts w:hint="eastAsia" w:ascii="仿宋" w:hAnsi="仿宋" w:eastAsia="仿宋"/>
          <w:sz w:val="32"/>
          <w:szCs w:val="32"/>
        </w:rPr>
        <w:t>内设科室为：办公室、财务室、</w:t>
      </w:r>
      <w:r>
        <w:rPr>
          <w:rFonts w:hint="eastAsia" w:ascii="仿宋" w:hAnsi="仿宋" w:eastAsia="仿宋"/>
          <w:sz w:val="32"/>
          <w:szCs w:val="32"/>
          <w:highlight w:val="none"/>
        </w:rPr>
        <w:t>法规室、</w:t>
      </w:r>
      <w:r>
        <w:rPr>
          <w:rFonts w:hint="eastAsia" w:ascii="仿宋" w:hAnsi="仿宋" w:eastAsia="仿宋"/>
          <w:sz w:val="32"/>
          <w:szCs w:val="32"/>
        </w:rPr>
        <w:t>权籍调查室（纠纷调处室）、测绘服务室、档案信息室。</w:t>
      </w:r>
    </w:p>
    <w:p w14:paraId="66C948A5">
      <w:pPr>
        <w:pStyle w:val="2"/>
        <w:keepNext w:val="0"/>
        <w:keepLines w:val="0"/>
        <w:pageBreakBefore w:val="0"/>
        <w:widowControl w:val="0"/>
        <w:kinsoku/>
        <w:wordWrap/>
        <w:overflowPunct/>
        <w:topLinePunct w:val="0"/>
        <w:autoSpaceDE/>
        <w:autoSpaceDN/>
        <w:bidi w:val="0"/>
        <w:adjustRightInd/>
        <w:spacing w:beforeLines="0" w:afterLines="0" w:line="520" w:lineRule="exact"/>
        <w:ind w:firstLine="640" w:firstLineChars="200"/>
        <w:textAlignment w:val="auto"/>
        <w:rPr>
          <w:rFonts w:hint="eastAsia" w:ascii="仿宋" w:hAnsi="仿宋" w:eastAsia="仿宋"/>
          <w:sz w:val="32"/>
          <w:szCs w:val="32"/>
          <w:highlight w:val="none"/>
        </w:rPr>
      </w:pPr>
      <w:r>
        <w:rPr>
          <w:rFonts w:hint="eastAsia" w:ascii="仿宋" w:hAnsi="仿宋" w:eastAsia="仿宋"/>
          <w:sz w:val="32"/>
          <w:szCs w:val="32"/>
        </w:rPr>
        <w:t>内设科室</w:t>
      </w: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w:t>
      </w:r>
      <w:r>
        <w:rPr>
          <w:rFonts w:hint="eastAsia" w:ascii="仿宋" w:hAnsi="仿宋" w:eastAsia="仿宋"/>
          <w:sz w:val="32"/>
          <w:szCs w:val="32"/>
        </w:rPr>
        <w:t>办公室负责组织协调中心的行政管理、日常内务、人事事务、承担综合文秘、宣传、接待、会务、后勤管理工作，完成中心领导和上级主管部门交办的其他工作。</w:t>
      </w:r>
      <w:r>
        <w:rPr>
          <w:rFonts w:hint="eastAsia" w:ascii="仿宋" w:hAnsi="仿宋" w:eastAsia="仿宋"/>
          <w:sz w:val="32"/>
          <w:szCs w:val="32"/>
          <w:lang w:eastAsia="zh-CN"/>
        </w:rPr>
        <w:t>（</w:t>
      </w:r>
      <w:r>
        <w:rPr>
          <w:rFonts w:hint="eastAsia" w:ascii="仿宋" w:hAnsi="仿宋" w:eastAsia="仿宋"/>
          <w:sz w:val="32"/>
          <w:szCs w:val="32"/>
          <w:lang w:val="en-US" w:eastAsia="zh-CN"/>
        </w:rPr>
        <w:t>2</w:t>
      </w:r>
      <w:r>
        <w:rPr>
          <w:rFonts w:hint="eastAsia" w:ascii="仿宋" w:hAnsi="仿宋" w:eastAsia="仿宋"/>
          <w:sz w:val="32"/>
          <w:szCs w:val="32"/>
          <w:lang w:eastAsia="zh-CN"/>
        </w:rPr>
        <w:t>）</w:t>
      </w:r>
      <w:r>
        <w:rPr>
          <w:rFonts w:hint="eastAsia" w:ascii="仿宋" w:hAnsi="仿宋" w:eastAsia="仿宋"/>
          <w:sz w:val="32"/>
          <w:szCs w:val="32"/>
        </w:rPr>
        <w:t>财务室负责中心财会管理工作，负责业务收费、票据管理、协助税务部门和财政部门收取房地产转让、交易过程中的税费、负责中心与银行、合作伙伴、外部其他单位的资金往来业务和资金结算业务，负责员工薪资的兑付和固定资产日常管理。</w:t>
      </w:r>
      <w:r>
        <w:rPr>
          <w:rFonts w:hint="eastAsia" w:ascii="仿宋" w:hAnsi="仿宋" w:eastAsia="仿宋"/>
          <w:sz w:val="32"/>
          <w:szCs w:val="32"/>
          <w:lang w:eastAsia="zh-CN"/>
        </w:rPr>
        <w:t>（</w:t>
      </w:r>
      <w:r>
        <w:rPr>
          <w:rFonts w:hint="eastAsia" w:ascii="仿宋" w:hAnsi="仿宋" w:eastAsia="仿宋"/>
          <w:sz w:val="32"/>
          <w:szCs w:val="32"/>
          <w:lang w:val="en-US" w:eastAsia="zh-CN"/>
        </w:rPr>
        <w:t>3</w:t>
      </w:r>
      <w:r>
        <w:rPr>
          <w:rFonts w:hint="eastAsia" w:ascii="仿宋" w:hAnsi="仿宋" w:eastAsia="仿宋"/>
          <w:sz w:val="32"/>
          <w:szCs w:val="32"/>
          <w:lang w:eastAsia="zh-CN"/>
        </w:rPr>
        <w:t>）</w:t>
      </w:r>
      <w:r>
        <w:rPr>
          <w:rFonts w:hint="eastAsia" w:ascii="仿宋" w:hAnsi="仿宋" w:eastAsia="仿宋"/>
          <w:sz w:val="32"/>
          <w:szCs w:val="32"/>
          <w:highlight w:val="none"/>
        </w:rPr>
        <w:t>法规室承担着规范指导中心贯彻落实国家、省、市有关不动产的法律、法规、政策工作，提供对不动产登记方面的法律法规政策咨询、解释、协调和处理产权纠纷；对公检法</w:t>
      </w:r>
    </w:p>
    <w:p w14:paraId="641477A8">
      <w:pPr>
        <w:pStyle w:val="2"/>
        <w:keepNext w:val="0"/>
        <w:keepLines w:val="0"/>
        <w:pageBreakBefore w:val="0"/>
        <w:widowControl w:val="0"/>
        <w:kinsoku/>
        <w:wordWrap/>
        <w:overflowPunct/>
        <w:topLinePunct w:val="0"/>
        <w:autoSpaceDE/>
        <w:autoSpaceDN/>
        <w:bidi w:val="0"/>
        <w:adjustRightInd/>
        <w:spacing w:beforeLines="0" w:afterLines="0" w:line="520" w:lineRule="exact"/>
        <w:ind w:left="0" w:leftChars="0" w:firstLine="0" w:firstLineChars="0"/>
        <w:textAlignment w:val="auto"/>
        <w:rPr>
          <w:rFonts w:hint="eastAsia"/>
          <w:lang w:val="en-US" w:eastAsia="zh-CN"/>
        </w:rPr>
      </w:pPr>
      <w:r>
        <w:rPr>
          <w:rFonts w:hint="eastAsia" w:ascii="仿宋" w:hAnsi="仿宋" w:eastAsia="仿宋"/>
          <w:sz w:val="32"/>
          <w:szCs w:val="32"/>
          <w:highlight w:val="none"/>
        </w:rPr>
        <w:t>等司法机构查解封、撤销登记和行政机构的限制（含解除限制）工作的受理审核</w:t>
      </w:r>
      <w:r>
        <w:rPr>
          <w:rFonts w:hint="eastAsia" w:ascii="仿宋" w:hAnsi="仿宋" w:eastAsia="仿宋"/>
          <w:sz w:val="32"/>
          <w:szCs w:val="32"/>
          <w:highlight w:val="none"/>
          <w:lang w:eastAsia="zh-CN"/>
        </w:rPr>
        <w:t>，</w:t>
      </w:r>
      <w:r>
        <w:rPr>
          <w:rFonts w:hint="eastAsia" w:ascii="仿宋" w:hAnsi="仿宋" w:eastAsia="仿宋"/>
          <w:sz w:val="32"/>
          <w:szCs w:val="32"/>
          <w:highlight w:val="none"/>
        </w:rPr>
        <w:t>不动产规范性文件的起草，不动产法律审查，不动产行政案件的复议和应诉和行政执法监管以及中心的法制宣传教育等工作。</w:t>
      </w:r>
      <w:r>
        <w:rPr>
          <w:rFonts w:hint="eastAsia" w:ascii="仿宋" w:hAnsi="仿宋" w:eastAsia="仿宋"/>
          <w:sz w:val="32"/>
          <w:szCs w:val="32"/>
          <w:lang w:eastAsia="zh-CN"/>
        </w:rPr>
        <w:t>（</w:t>
      </w:r>
      <w:r>
        <w:rPr>
          <w:rFonts w:hint="eastAsia" w:ascii="仿宋" w:hAnsi="仿宋" w:eastAsia="仿宋"/>
          <w:sz w:val="32"/>
          <w:szCs w:val="32"/>
          <w:lang w:val="en-US" w:eastAsia="zh-CN"/>
        </w:rPr>
        <w:t>4</w:t>
      </w:r>
      <w:r>
        <w:rPr>
          <w:rFonts w:hint="eastAsia" w:ascii="仿宋" w:hAnsi="仿宋" w:eastAsia="仿宋"/>
          <w:sz w:val="32"/>
          <w:szCs w:val="32"/>
          <w:lang w:eastAsia="zh-CN"/>
        </w:rPr>
        <w:t>）</w:t>
      </w:r>
      <w:r>
        <w:rPr>
          <w:rFonts w:hint="eastAsia" w:ascii="仿宋" w:hAnsi="仿宋" w:eastAsia="仿宋"/>
          <w:sz w:val="32"/>
          <w:szCs w:val="32"/>
        </w:rPr>
        <w:t>权籍调查室（纠纷调处室）负责不动产权籍调查工作；负责实地查看和不动产权籍调查成果数据入库前核查及更新入库工作；负责不动产统一登记权属纠纷调处登记工作；承担不动产登记信访有关工作，协助做好行政复议、行政应诉和行政执法监管等工作。</w:t>
      </w:r>
      <w:r>
        <w:rPr>
          <w:rFonts w:hint="eastAsia" w:ascii="仿宋" w:hAnsi="仿宋" w:eastAsia="仿宋"/>
          <w:sz w:val="32"/>
          <w:szCs w:val="32"/>
          <w:lang w:eastAsia="zh-CN"/>
        </w:rPr>
        <w:t>（</w:t>
      </w:r>
      <w:r>
        <w:rPr>
          <w:rFonts w:hint="eastAsia" w:ascii="仿宋" w:hAnsi="仿宋" w:eastAsia="仿宋"/>
          <w:sz w:val="32"/>
          <w:szCs w:val="32"/>
          <w:lang w:val="en-US" w:eastAsia="zh-CN"/>
        </w:rPr>
        <w:t>5</w:t>
      </w:r>
      <w:r>
        <w:rPr>
          <w:rFonts w:hint="eastAsia" w:ascii="仿宋" w:hAnsi="仿宋" w:eastAsia="仿宋"/>
          <w:sz w:val="32"/>
          <w:szCs w:val="32"/>
          <w:lang w:eastAsia="zh-CN"/>
        </w:rPr>
        <w:t>）</w:t>
      </w:r>
      <w:r>
        <w:rPr>
          <w:rFonts w:hint="eastAsia" w:ascii="仿宋" w:hAnsi="仿宋" w:eastAsia="仿宋"/>
          <w:sz w:val="32"/>
          <w:szCs w:val="32"/>
        </w:rPr>
        <w:t>测绘服务室负责委托测绘单位的房屋面积、商品房面积实测、预测测绘工作。编制测绘发展计划、规划，拟定测绘规范性文件并组织实施。负责新建商品房的楼盘建立与修改，及时导入测绘成果数据，对测绘成果数据信息进行核查。负责测绘资料的收集、整理、立卷、造册及管理工作，提高利用效率；执行各种测绘仪器专人专用及保管制度，经常检测、保养各种仪器设备。</w:t>
      </w:r>
      <w:r>
        <w:rPr>
          <w:rFonts w:hint="eastAsia" w:ascii="仿宋" w:hAnsi="仿宋" w:eastAsia="仿宋"/>
          <w:sz w:val="32"/>
          <w:szCs w:val="32"/>
          <w:lang w:eastAsia="zh-CN"/>
        </w:rPr>
        <w:t>（</w:t>
      </w:r>
      <w:r>
        <w:rPr>
          <w:rFonts w:hint="eastAsia" w:ascii="仿宋" w:hAnsi="仿宋" w:eastAsia="仿宋"/>
          <w:sz w:val="32"/>
          <w:szCs w:val="32"/>
          <w:lang w:val="en-US" w:eastAsia="zh-CN"/>
        </w:rPr>
        <w:t>6</w:t>
      </w:r>
      <w:r>
        <w:rPr>
          <w:rFonts w:hint="eastAsia" w:ascii="仿宋" w:hAnsi="仿宋" w:eastAsia="仿宋"/>
          <w:sz w:val="32"/>
          <w:szCs w:val="32"/>
          <w:lang w:eastAsia="zh-CN"/>
        </w:rPr>
        <w:t>）</w:t>
      </w:r>
      <w:r>
        <w:rPr>
          <w:rFonts w:hint="eastAsia" w:ascii="仿宋" w:hAnsi="仿宋" w:eastAsia="仿宋"/>
          <w:sz w:val="32"/>
          <w:szCs w:val="32"/>
        </w:rPr>
        <w:t>档案信息室负责中心的档案信息的收集、整理、归档等档案信息管理工作，协助做好不动产登记信息平台建设、管理、维护，承担不动产登记信息数据整合、统计分析、监测利用、汇交共享和不动产登记资料社会查询服务等工作，负责司法协助相关事宜。分支机构：</w:t>
      </w:r>
      <w:r>
        <w:rPr>
          <w:rFonts w:hint="eastAsia" w:ascii="仿宋" w:hAnsi="仿宋" w:eastAsia="仿宋"/>
          <w:sz w:val="32"/>
          <w:szCs w:val="32"/>
          <w:lang w:val="en-US" w:eastAsia="zh-CN"/>
        </w:rPr>
        <w:t>六</w:t>
      </w:r>
      <w:r>
        <w:rPr>
          <w:rFonts w:hint="eastAsia" w:ascii="仿宋" w:hAnsi="仿宋" w:eastAsia="仿宋"/>
          <w:sz w:val="32"/>
          <w:szCs w:val="32"/>
          <w:highlight w:val="none"/>
        </w:rPr>
        <w:t>个科</w:t>
      </w:r>
      <w:r>
        <w:rPr>
          <w:rFonts w:hint="eastAsia" w:ascii="仿宋" w:hAnsi="仿宋" w:eastAsia="仿宋"/>
          <w:sz w:val="32"/>
          <w:szCs w:val="32"/>
        </w:rPr>
        <w:t>室分别负责全市范围内不动产权利登记事务。</w:t>
      </w:r>
    </w:p>
    <w:p w14:paraId="28BB6C0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2.人员编制情况</w:t>
      </w:r>
    </w:p>
    <w:p w14:paraId="72D014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截止2024年12月31日，我中心人员编制数113名，实有在职人员105人。</w:t>
      </w:r>
    </w:p>
    <w:p w14:paraId="442C546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3.主要职能职责</w:t>
      </w:r>
    </w:p>
    <w:p w14:paraId="127EDFA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（1）依法统一受理和办理鹤城区行政区划范围内不动产权利登记事务。</w:t>
      </w:r>
    </w:p>
    <w:p w14:paraId="18C84FC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（2）承担有关不动产登记权籍调查、统计分析、监测利用工作；协助市自然资源和规划局做好不动产权籍管理和因不动产登记引起的不动产权属争议、纠纷调处工作。</w:t>
      </w:r>
    </w:p>
    <w:p w14:paraId="292C862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（3）负责有关不动产登记档案的归档、管理工作；依法提供不动产登记资料社会查询、咨询服务；协助市自然资源和规划局建立统一的不动产登记管理信息平台，推进不动产登记有关信息互通共享。</w:t>
      </w:r>
    </w:p>
    <w:p w14:paraId="3F045FF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lang w:val="en-US" w:eastAsia="zh-CN"/>
        </w:rPr>
      </w:pPr>
      <w:r>
        <w:rPr>
          <w:rFonts w:hint="eastAsia" w:ascii="仿宋" w:hAnsi="仿宋" w:eastAsia="仿宋" w:cs="仿宋"/>
          <w:color w:val="auto"/>
          <w:sz w:val="32"/>
          <w:szCs w:val="32"/>
          <w:highlight w:val="none"/>
          <w:lang w:val="en-US" w:eastAsia="zh-CN"/>
        </w:rPr>
        <w:t>（4）承担市自然资源和规划局交办的其他事项。</w:t>
      </w:r>
    </w:p>
    <w:p w14:paraId="26D029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4.绩效目标设定情况</w:t>
      </w:r>
    </w:p>
    <w:p w14:paraId="0AC89A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2024年我中心设定的总体绩效目标为：</w:t>
      </w:r>
    </w:p>
    <w:p w14:paraId="0AE59A3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目标1：保障全市土地登记、房屋登记、林地登记、草原登记、土地承包经营权工作。</w:t>
      </w:r>
    </w:p>
    <w:p w14:paraId="3B2A53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目标2：保障不动产登记档案管理工作。</w:t>
      </w:r>
    </w:p>
    <w:p w14:paraId="199BD92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（二）部门（单位）整体支出规模、使用方向和主要内容、涉及范围等</w:t>
      </w:r>
    </w:p>
    <w:p w14:paraId="4E1F16A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怀化市不动产登记中心2024年度总收入2060.78万元。其中：一般公共预算财政拨款收入1757.46万元；政府性基金预算财政拨款收入35.45万元；事业收入267.87万元。</w:t>
      </w:r>
    </w:p>
    <w:p w14:paraId="20C33C5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怀化市不动产登记中心2024年度总支出2060.78万元。其中：基本支出1887.07万元；项目支出173.71万元。</w:t>
      </w:r>
    </w:p>
    <w:p w14:paraId="7B2C54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部门整体支出具体使用方向如下：</w:t>
      </w:r>
    </w:p>
    <w:p w14:paraId="39413FD3">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2024年度部门整体支出使用方向统计表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3223"/>
        <w:gridCol w:w="1475"/>
        <w:gridCol w:w="1422"/>
        <w:gridCol w:w="1698"/>
      </w:tblGrid>
      <w:tr w14:paraId="5B31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5EFD6543">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序号</w:t>
            </w:r>
          </w:p>
        </w:tc>
        <w:tc>
          <w:tcPr>
            <w:tcW w:w="3223" w:type="dxa"/>
          </w:tcPr>
          <w:p w14:paraId="560AFB7D">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项目</w:t>
            </w:r>
          </w:p>
        </w:tc>
        <w:tc>
          <w:tcPr>
            <w:tcW w:w="4595" w:type="dxa"/>
            <w:gridSpan w:val="3"/>
          </w:tcPr>
          <w:p w14:paraId="42CCF1B9">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支出金额（万元）</w:t>
            </w:r>
          </w:p>
        </w:tc>
      </w:tr>
      <w:tr w14:paraId="5841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63A3D65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p>
        </w:tc>
        <w:tc>
          <w:tcPr>
            <w:tcW w:w="3223" w:type="dxa"/>
          </w:tcPr>
          <w:p w14:paraId="05165EA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p>
        </w:tc>
        <w:tc>
          <w:tcPr>
            <w:tcW w:w="1475" w:type="dxa"/>
          </w:tcPr>
          <w:p w14:paraId="7824D83F">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基本支出</w:t>
            </w:r>
          </w:p>
        </w:tc>
        <w:tc>
          <w:tcPr>
            <w:tcW w:w="1422" w:type="dxa"/>
          </w:tcPr>
          <w:p w14:paraId="1DAF44DD">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项目支出</w:t>
            </w:r>
          </w:p>
        </w:tc>
        <w:tc>
          <w:tcPr>
            <w:tcW w:w="1698" w:type="dxa"/>
          </w:tcPr>
          <w:p w14:paraId="263CB495">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小计</w:t>
            </w:r>
          </w:p>
        </w:tc>
      </w:tr>
      <w:tr w14:paraId="23A0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49E2FB1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w:t>
            </w:r>
          </w:p>
        </w:tc>
        <w:tc>
          <w:tcPr>
            <w:tcW w:w="3223" w:type="dxa"/>
          </w:tcPr>
          <w:p w14:paraId="70154D7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
                <w:color w:val="auto"/>
                <w:sz w:val="30"/>
                <w:szCs w:val="30"/>
                <w:highlight w:val="none"/>
                <w:vertAlign w:val="baseline"/>
                <w:lang w:val="en-US" w:eastAsia="zh-CN"/>
              </w:rPr>
            </w:pPr>
            <w:r>
              <w:rPr>
                <w:rFonts w:hint="default" w:ascii="仿宋" w:hAnsi="仿宋" w:eastAsia="仿宋" w:cs="仿宋"/>
                <w:color w:val="auto"/>
                <w:sz w:val="30"/>
                <w:szCs w:val="30"/>
                <w:highlight w:val="none"/>
                <w:vertAlign w:val="baseline"/>
                <w:lang w:val="en-US" w:eastAsia="zh-CN"/>
              </w:rPr>
              <w:t>工资福利支出</w:t>
            </w:r>
          </w:p>
        </w:tc>
        <w:tc>
          <w:tcPr>
            <w:tcW w:w="1475" w:type="dxa"/>
            <w:vAlign w:val="center"/>
          </w:tcPr>
          <w:p w14:paraId="3947A28F">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1597.46</w:t>
            </w:r>
          </w:p>
        </w:tc>
        <w:tc>
          <w:tcPr>
            <w:tcW w:w="1422" w:type="dxa"/>
            <w:vAlign w:val="center"/>
          </w:tcPr>
          <w:p w14:paraId="68475065">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698" w:type="dxa"/>
            <w:vAlign w:val="center"/>
          </w:tcPr>
          <w:p w14:paraId="431F2B78">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1597.46</w:t>
            </w:r>
          </w:p>
        </w:tc>
      </w:tr>
      <w:tr w14:paraId="4387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7803A4F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2</w:t>
            </w:r>
          </w:p>
        </w:tc>
        <w:tc>
          <w:tcPr>
            <w:tcW w:w="3223" w:type="dxa"/>
          </w:tcPr>
          <w:p w14:paraId="7C1DDEC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商品和服务支出</w:t>
            </w:r>
          </w:p>
        </w:tc>
        <w:tc>
          <w:tcPr>
            <w:tcW w:w="1475" w:type="dxa"/>
            <w:vAlign w:val="center"/>
          </w:tcPr>
          <w:p w14:paraId="2F572061">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247.30</w:t>
            </w:r>
          </w:p>
        </w:tc>
        <w:tc>
          <w:tcPr>
            <w:tcW w:w="1422" w:type="dxa"/>
            <w:vAlign w:val="center"/>
          </w:tcPr>
          <w:p w14:paraId="3C15416E">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128.71</w:t>
            </w:r>
          </w:p>
        </w:tc>
        <w:tc>
          <w:tcPr>
            <w:tcW w:w="1698" w:type="dxa"/>
            <w:vAlign w:val="center"/>
          </w:tcPr>
          <w:p w14:paraId="17C92944">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376.01</w:t>
            </w:r>
          </w:p>
        </w:tc>
      </w:tr>
      <w:tr w14:paraId="3EC3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4B6B216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p>
        </w:tc>
        <w:tc>
          <w:tcPr>
            <w:tcW w:w="3223" w:type="dxa"/>
          </w:tcPr>
          <w:p w14:paraId="02DF765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其中：因公出国（境）费</w:t>
            </w:r>
          </w:p>
        </w:tc>
        <w:tc>
          <w:tcPr>
            <w:tcW w:w="1475" w:type="dxa"/>
            <w:vAlign w:val="center"/>
          </w:tcPr>
          <w:p w14:paraId="02194EF4">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422" w:type="dxa"/>
            <w:vAlign w:val="center"/>
          </w:tcPr>
          <w:p w14:paraId="6D7BF69E">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698" w:type="dxa"/>
            <w:vAlign w:val="center"/>
          </w:tcPr>
          <w:p w14:paraId="60254212">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r>
      <w:tr w14:paraId="43B9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7A4C319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p>
        </w:tc>
        <w:tc>
          <w:tcPr>
            <w:tcW w:w="3223" w:type="dxa"/>
          </w:tcPr>
          <w:p w14:paraId="5EB6362D">
            <w:pPr>
              <w:keepNext w:val="0"/>
              <w:keepLines w:val="0"/>
              <w:pageBreakBefore w:val="0"/>
              <w:widowControl w:val="0"/>
              <w:kinsoku/>
              <w:wordWrap/>
              <w:overflowPunct/>
              <w:topLinePunct w:val="0"/>
              <w:autoSpaceDE/>
              <w:autoSpaceDN/>
              <w:bidi w:val="0"/>
              <w:adjustRightInd/>
              <w:snapToGrid w:val="0"/>
              <w:spacing w:line="520" w:lineRule="exact"/>
              <w:ind w:firstLine="720" w:firstLineChars="30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公务用车购置费</w:t>
            </w:r>
          </w:p>
        </w:tc>
        <w:tc>
          <w:tcPr>
            <w:tcW w:w="1475" w:type="dxa"/>
            <w:vAlign w:val="center"/>
          </w:tcPr>
          <w:p w14:paraId="60FFDE25">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422" w:type="dxa"/>
            <w:vAlign w:val="center"/>
          </w:tcPr>
          <w:p w14:paraId="0E3C4D01">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698" w:type="dxa"/>
            <w:vAlign w:val="center"/>
          </w:tcPr>
          <w:p w14:paraId="3C09FB81">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r>
      <w:tr w14:paraId="3196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111BABB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p>
        </w:tc>
        <w:tc>
          <w:tcPr>
            <w:tcW w:w="3223" w:type="dxa"/>
          </w:tcPr>
          <w:p w14:paraId="0FDC23D1">
            <w:pPr>
              <w:keepNext w:val="0"/>
              <w:keepLines w:val="0"/>
              <w:pageBreakBefore w:val="0"/>
              <w:widowControl w:val="0"/>
              <w:kinsoku/>
              <w:wordWrap/>
              <w:overflowPunct/>
              <w:topLinePunct w:val="0"/>
              <w:autoSpaceDE/>
              <w:autoSpaceDN/>
              <w:bidi w:val="0"/>
              <w:adjustRightInd/>
              <w:snapToGrid w:val="0"/>
              <w:spacing w:line="520" w:lineRule="exact"/>
              <w:ind w:firstLine="720" w:firstLineChars="30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公务用车运行维护费</w:t>
            </w:r>
          </w:p>
        </w:tc>
        <w:tc>
          <w:tcPr>
            <w:tcW w:w="1475" w:type="dxa"/>
            <w:vAlign w:val="center"/>
          </w:tcPr>
          <w:p w14:paraId="353F38DC">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3.30</w:t>
            </w:r>
          </w:p>
        </w:tc>
        <w:tc>
          <w:tcPr>
            <w:tcW w:w="1422" w:type="dxa"/>
            <w:vAlign w:val="center"/>
          </w:tcPr>
          <w:p w14:paraId="23576B0E">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698" w:type="dxa"/>
            <w:vAlign w:val="center"/>
          </w:tcPr>
          <w:p w14:paraId="2D703F0D">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3.30</w:t>
            </w:r>
          </w:p>
        </w:tc>
      </w:tr>
      <w:tr w14:paraId="6849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55C5060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p>
        </w:tc>
        <w:tc>
          <w:tcPr>
            <w:tcW w:w="3223" w:type="dxa"/>
          </w:tcPr>
          <w:p w14:paraId="5BCEE09B">
            <w:pPr>
              <w:keepNext w:val="0"/>
              <w:keepLines w:val="0"/>
              <w:pageBreakBefore w:val="0"/>
              <w:widowControl w:val="0"/>
              <w:kinsoku/>
              <w:wordWrap/>
              <w:overflowPunct/>
              <w:topLinePunct w:val="0"/>
              <w:autoSpaceDE/>
              <w:autoSpaceDN/>
              <w:bidi w:val="0"/>
              <w:adjustRightInd/>
              <w:snapToGrid w:val="0"/>
              <w:spacing w:line="520" w:lineRule="exact"/>
              <w:ind w:firstLine="720" w:firstLineChars="30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公务接待费</w:t>
            </w:r>
          </w:p>
        </w:tc>
        <w:tc>
          <w:tcPr>
            <w:tcW w:w="1475" w:type="dxa"/>
            <w:vAlign w:val="center"/>
          </w:tcPr>
          <w:p w14:paraId="5A036302">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422" w:type="dxa"/>
            <w:vAlign w:val="center"/>
          </w:tcPr>
          <w:p w14:paraId="10BB0175">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698" w:type="dxa"/>
            <w:vAlign w:val="center"/>
          </w:tcPr>
          <w:p w14:paraId="6F4C3E13">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r>
      <w:tr w14:paraId="60E3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24EB940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3</w:t>
            </w:r>
          </w:p>
        </w:tc>
        <w:tc>
          <w:tcPr>
            <w:tcW w:w="3223" w:type="dxa"/>
          </w:tcPr>
          <w:p w14:paraId="65E23FD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对个人和家庭的补助</w:t>
            </w:r>
          </w:p>
        </w:tc>
        <w:tc>
          <w:tcPr>
            <w:tcW w:w="1475" w:type="dxa"/>
            <w:vAlign w:val="center"/>
          </w:tcPr>
          <w:p w14:paraId="33D3BF5A">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39.53</w:t>
            </w:r>
          </w:p>
        </w:tc>
        <w:tc>
          <w:tcPr>
            <w:tcW w:w="1422" w:type="dxa"/>
            <w:vAlign w:val="center"/>
          </w:tcPr>
          <w:p w14:paraId="2CB903B3">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698" w:type="dxa"/>
            <w:vAlign w:val="center"/>
          </w:tcPr>
          <w:p w14:paraId="6CEB944E">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39.53</w:t>
            </w:r>
          </w:p>
        </w:tc>
      </w:tr>
      <w:tr w14:paraId="650F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76216BF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4</w:t>
            </w:r>
          </w:p>
        </w:tc>
        <w:tc>
          <w:tcPr>
            <w:tcW w:w="3223" w:type="dxa"/>
          </w:tcPr>
          <w:p w14:paraId="21B2A9E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资本性支出</w:t>
            </w:r>
          </w:p>
        </w:tc>
        <w:tc>
          <w:tcPr>
            <w:tcW w:w="1475" w:type="dxa"/>
            <w:vAlign w:val="center"/>
          </w:tcPr>
          <w:p w14:paraId="2CA84C36">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2.78</w:t>
            </w:r>
          </w:p>
        </w:tc>
        <w:tc>
          <w:tcPr>
            <w:tcW w:w="1422" w:type="dxa"/>
            <w:vAlign w:val="center"/>
          </w:tcPr>
          <w:p w14:paraId="6A914546">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45</w:t>
            </w:r>
          </w:p>
        </w:tc>
        <w:tc>
          <w:tcPr>
            <w:tcW w:w="1698" w:type="dxa"/>
            <w:vAlign w:val="center"/>
          </w:tcPr>
          <w:p w14:paraId="3E57F97F">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47.78</w:t>
            </w:r>
          </w:p>
        </w:tc>
      </w:tr>
      <w:tr w14:paraId="17352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215917D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p>
        </w:tc>
        <w:tc>
          <w:tcPr>
            <w:tcW w:w="3223" w:type="dxa"/>
          </w:tcPr>
          <w:p w14:paraId="48A03EC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合计</w:t>
            </w:r>
          </w:p>
        </w:tc>
        <w:tc>
          <w:tcPr>
            <w:tcW w:w="1475" w:type="dxa"/>
            <w:vAlign w:val="center"/>
          </w:tcPr>
          <w:p w14:paraId="3556499D">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1887.07</w:t>
            </w:r>
          </w:p>
        </w:tc>
        <w:tc>
          <w:tcPr>
            <w:tcW w:w="1422" w:type="dxa"/>
            <w:vAlign w:val="center"/>
          </w:tcPr>
          <w:p w14:paraId="44F4819D">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173.71</w:t>
            </w:r>
          </w:p>
        </w:tc>
        <w:tc>
          <w:tcPr>
            <w:tcW w:w="1698" w:type="dxa"/>
            <w:vAlign w:val="center"/>
          </w:tcPr>
          <w:p w14:paraId="02AB2316">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2060.78</w:t>
            </w:r>
          </w:p>
        </w:tc>
      </w:tr>
    </w:tbl>
    <w:p w14:paraId="32AADD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工资福利支出1887.07万元，主要用于支付在职人员工资、奖金、社会保障缴费、住房公积金及伙食补助费；商品和服务支出376.01万元，主要用于支付办公费、印刷费、邮电费、差旅费等日常办公费用以及开展项目工作所产生的劳务费、委托业务费等相关开支；对个人和家庭的补助开支39.53万元，主要用于支付退休人员春节一次性生活补助、独生子女费及节日慰问等；资本性支出47.78万元，用于办公设备购置。</w:t>
      </w:r>
    </w:p>
    <w:p w14:paraId="1F950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5B0D5BB">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rFonts w:hint="default" w:ascii="仿宋" w:hAnsi="仿宋" w:eastAsia="仿宋" w:cs="仿宋"/>
          <w:color w:val="auto"/>
          <w:spacing w:val="-2"/>
          <w:kern w:val="2"/>
          <w:sz w:val="32"/>
          <w:szCs w:val="32"/>
          <w:lang w:val="en-US" w:eastAsia="zh-CN" w:bidi="ar-SA"/>
        </w:rPr>
      </w:pPr>
      <w:r>
        <w:rPr>
          <w:rFonts w:ascii="仿宋" w:hAnsi="仿宋" w:eastAsia="仿宋" w:cs="仿宋"/>
          <w:color w:val="auto"/>
          <w:spacing w:val="-2"/>
          <w:kern w:val="2"/>
          <w:sz w:val="32"/>
          <w:szCs w:val="32"/>
          <w:lang w:val="en-US" w:eastAsia="zh-CN" w:bidi="ar-SA"/>
        </w:rPr>
        <w:t>2024年</w:t>
      </w:r>
      <w:r>
        <w:rPr>
          <w:rFonts w:hint="eastAsia" w:ascii="仿宋" w:hAnsi="仿宋" w:eastAsia="仿宋" w:cs="仿宋"/>
          <w:color w:val="auto"/>
          <w:spacing w:val="-2"/>
          <w:kern w:val="2"/>
          <w:sz w:val="32"/>
          <w:szCs w:val="32"/>
          <w:lang w:val="en-US" w:eastAsia="zh-CN" w:bidi="ar-SA"/>
        </w:rPr>
        <w:t>怀化市不动产登记中心</w:t>
      </w:r>
      <w:r>
        <w:rPr>
          <w:rFonts w:ascii="仿宋" w:hAnsi="仿宋" w:eastAsia="仿宋" w:cs="仿宋"/>
          <w:color w:val="auto"/>
          <w:spacing w:val="-2"/>
          <w:kern w:val="2"/>
          <w:sz w:val="32"/>
          <w:szCs w:val="32"/>
          <w:lang w:val="en-US" w:eastAsia="zh-CN" w:bidi="ar-SA"/>
        </w:rPr>
        <w:t>一般公共预算</w:t>
      </w:r>
      <w:r>
        <w:rPr>
          <w:rFonts w:hint="eastAsia" w:ascii="仿宋" w:hAnsi="仿宋" w:eastAsia="仿宋" w:cs="仿宋"/>
          <w:color w:val="auto"/>
          <w:spacing w:val="-2"/>
          <w:kern w:val="2"/>
          <w:sz w:val="32"/>
          <w:szCs w:val="32"/>
          <w:lang w:val="en-US" w:eastAsia="zh-CN" w:bidi="ar-SA"/>
        </w:rPr>
        <w:t>支出</w:t>
      </w:r>
      <w:r>
        <w:rPr>
          <w:rFonts w:hint="eastAsia" w:ascii="仿宋" w:hAnsi="仿宋" w:eastAsia="仿宋" w:cs="仿宋"/>
          <w:color w:val="auto"/>
          <w:sz w:val="32"/>
          <w:szCs w:val="32"/>
          <w:highlight w:val="none"/>
          <w:lang w:val="en-US" w:eastAsia="zh-CN"/>
        </w:rPr>
        <w:t>1757.46</w:t>
      </w:r>
      <w:r>
        <w:rPr>
          <w:rFonts w:ascii="仿宋" w:hAnsi="仿宋" w:eastAsia="仿宋" w:cs="仿宋"/>
          <w:color w:val="auto"/>
          <w:spacing w:val="-2"/>
          <w:kern w:val="2"/>
          <w:sz w:val="32"/>
          <w:szCs w:val="32"/>
          <w:lang w:val="en-US" w:eastAsia="zh-CN" w:bidi="ar-SA"/>
        </w:rPr>
        <w:t>万元，其中基本支出</w:t>
      </w:r>
      <w:r>
        <w:rPr>
          <w:rFonts w:hint="eastAsia" w:ascii="仿宋" w:hAnsi="仿宋" w:eastAsia="仿宋" w:cs="仿宋"/>
          <w:color w:val="auto"/>
          <w:spacing w:val="-2"/>
          <w:kern w:val="2"/>
          <w:sz w:val="32"/>
          <w:szCs w:val="32"/>
          <w:lang w:val="en-US" w:eastAsia="zh-CN" w:bidi="ar-SA"/>
        </w:rPr>
        <w:t>1583.75</w:t>
      </w:r>
      <w:r>
        <w:rPr>
          <w:rFonts w:hint="eastAsia" w:ascii="仿宋" w:hAnsi="仿宋" w:eastAsia="仿宋" w:cs="Times New Roman"/>
          <w:spacing w:val="-2"/>
          <w:sz w:val="32"/>
          <w:szCs w:val="32"/>
        </w:rPr>
        <w:t>万</w:t>
      </w:r>
      <w:r>
        <w:rPr>
          <w:rFonts w:ascii="仿宋" w:hAnsi="仿宋" w:eastAsia="仿宋" w:cs="仿宋"/>
          <w:color w:val="auto"/>
          <w:spacing w:val="-2"/>
          <w:kern w:val="2"/>
          <w:sz w:val="32"/>
          <w:szCs w:val="32"/>
          <w:lang w:val="en-US" w:eastAsia="zh-CN" w:bidi="ar-SA"/>
        </w:rPr>
        <w:t>元，项目支出</w:t>
      </w:r>
      <w:r>
        <w:rPr>
          <w:rFonts w:hint="eastAsia" w:ascii="仿宋" w:hAnsi="仿宋" w:eastAsia="仿宋" w:cs="仿宋"/>
          <w:color w:val="auto"/>
          <w:spacing w:val="-2"/>
          <w:kern w:val="2"/>
          <w:sz w:val="32"/>
          <w:szCs w:val="32"/>
          <w:lang w:val="en-US" w:eastAsia="zh-CN" w:bidi="ar-SA"/>
        </w:rPr>
        <w:t>173.71</w:t>
      </w:r>
      <w:r>
        <w:rPr>
          <w:rFonts w:ascii="仿宋" w:hAnsi="仿宋" w:eastAsia="仿宋" w:cs="仿宋"/>
          <w:color w:val="auto"/>
          <w:spacing w:val="-2"/>
          <w:kern w:val="2"/>
          <w:sz w:val="32"/>
          <w:szCs w:val="32"/>
          <w:lang w:val="en-US" w:eastAsia="zh-CN" w:bidi="ar-SA"/>
        </w:rPr>
        <w:t>万元</w:t>
      </w:r>
      <w:r>
        <w:rPr>
          <w:rFonts w:hint="eastAsia" w:ascii="仿宋" w:hAnsi="仿宋" w:eastAsia="仿宋" w:cs="仿宋"/>
          <w:color w:val="auto"/>
          <w:spacing w:val="-2"/>
          <w:kern w:val="2"/>
          <w:sz w:val="32"/>
          <w:szCs w:val="32"/>
          <w:lang w:val="en-US" w:eastAsia="zh-CN" w:bidi="ar-SA"/>
        </w:rPr>
        <w:t>，具体情况如下：</w:t>
      </w:r>
    </w:p>
    <w:p w14:paraId="6A0235D0">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rFonts w:hint="default" w:ascii="仿宋" w:hAnsi="仿宋" w:eastAsia="仿宋" w:cs="仿宋"/>
          <w:color w:val="auto"/>
          <w:spacing w:val="-2"/>
          <w:kern w:val="2"/>
          <w:sz w:val="32"/>
          <w:szCs w:val="32"/>
          <w:lang w:val="en-US" w:eastAsia="zh-CN" w:bidi="ar-SA"/>
        </w:rPr>
      </w:pPr>
      <w:r>
        <w:rPr>
          <w:rFonts w:hint="default" w:ascii="仿宋" w:hAnsi="仿宋" w:eastAsia="仿宋" w:cs="仿宋"/>
          <w:color w:val="auto"/>
          <w:spacing w:val="-2"/>
          <w:kern w:val="2"/>
          <w:sz w:val="32"/>
          <w:szCs w:val="32"/>
          <w:lang w:val="en-US" w:eastAsia="zh-CN" w:bidi="ar-SA"/>
        </w:rPr>
        <w:t>（一）基本支出</w:t>
      </w:r>
    </w:p>
    <w:p w14:paraId="691A8AC3">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pPr>
      <w:r>
        <w:rPr>
          <w:rFonts w:ascii="仿宋" w:hAnsi="仿宋" w:eastAsia="仿宋" w:cs="仿宋"/>
          <w:color w:val="auto"/>
          <w:spacing w:val="-2"/>
          <w:kern w:val="2"/>
          <w:sz w:val="32"/>
          <w:szCs w:val="32"/>
          <w:lang w:val="en-US" w:eastAsia="zh-CN" w:bidi="ar-SA"/>
        </w:rPr>
        <w:t>基本支出系保障</w:t>
      </w:r>
      <w:r>
        <w:rPr>
          <w:rFonts w:hint="eastAsia" w:ascii="仿宋" w:hAnsi="仿宋" w:eastAsia="仿宋" w:cs="仿宋"/>
          <w:color w:val="auto"/>
          <w:spacing w:val="-2"/>
          <w:kern w:val="2"/>
          <w:sz w:val="32"/>
          <w:szCs w:val="32"/>
          <w:lang w:val="en-US" w:eastAsia="zh-CN" w:bidi="ar-SA"/>
        </w:rPr>
        <w:t>我中心</w:t>
      </w:r>
      <w:r>
        <w:rPr>
          <w:rFonts w:ascii="仿宋" w:hAnsi="仿宋" w:eastAsia="仿宋" w:cs="仿宋"/>
          <w:color w:val="auto"/>
          <w:spacing w:val="-2"/>
          <w:kern w:val="2"/>
          <w:sz w:val="32"/>
          <w:szCs w:val="32"/>
          <w:lang w:val="en-US" w:eastAsia="zh-CN" w:bidi="ar-SA"/>
        </w:rPr>
        <w:t>正常运转、完成日常工作任务而发生的</w:t>
      </w:r>
      <w:r>
        <w:rPr>
          <w:rFonts w:hint="eastAsia" w:ascii="仿宋" w:hAnsi="仿宋" w:eastAsia="仿宋" w:cs="仿宋"/>
          <w:color w:val="auto"/>
          <w:spacing w:val="-2"/>
          <w:kern w:val="2"/>
          <w:sz w:val="32"/>
          <w:szCs w:val="21"/>
          <w:lang w:val="en-US" w:eastAsia="zh-CN" w:bidi="ar-SA"/>
        </w:rPr>
        <w:t>人员经费和日常公用经费。</w:t>
      </w:r>
      <w:r>
        <w:rPr>
          <w:rFonts w:hint="eastAsia" w:ascii="仿宋" w:hAnsi="仿宋" w:eastAsia="仿宋" w:cs="Times New Roman"/>
          <w:spacing w:val="-2"/>
          <w:sz w:val="32"/>
          <w:szCs w:val="32"/>
        </w:rPr>
        <w:t>20</w:t>
      </w:r>
      <w:r>
        <w:rPr>
          <w:rFonts w:hint="eastAsia" w:ascii="仿宋" w:hAnsi="仿宋" w:eastAsia="仿宋" w:cs="Times New Roman"/>
          <w:spacing w:val="-2"/>
          <w:sz w:val="32"/>
          <w:szCs w:val="32"/>
          <w:lang w:val="en-US" w:eastAsia="zh-CN"/>
        </w:rPr>
        <w:t>24</w:t>
      </w:r>
      <w:r>
        <w:rPr>
          <w:rFonts w:hint="eastAsia" w:ascii="仿宋" w:hAnsi="仿宋" w:eastAsia="仿宋" w:cs="Times New Roman"/>
          <w:spacing w:val="-2"/>
          <w:sz w:val="32"/>
          <w:szCs w:val="32"/>
        </w:rPr>
        <w:t>年基本支出</w:t>
      </w:r>
      <w:r>
        <w:rPr>
          <w:rFonts w:hint="eastAsia" w:ascii="仿宋" w:hAnsi="仿宋" w:eastAsia="仿宋" w:cs="仿宋"/>
          <w:color w:val="auto"/>
          <w:spacing w:val="-2"/>
          <w:kern w:val="2"/>
          <w:sz w:val="32"/>
          <w:szCs w:val="32"/>
          <w:lang w:val="en-US" w:eastAsia="zh-CN" w:bidi="ar-SA"/>
        </w:rPr>
        <w:t>1583.75</w:t>
      </w:r>
      <w:r>
        <w:rPr>
          <w:rFonts w:hint="eastAsia" w:ascii="仿宋" w:hAnsi="仿宋" w:eastAsia="仿宋" w:cs="Times New Roman"/>
          <w:spacing w:val="-2"/>
          <w:sz w:val="32"/>
          <w:szCs w:val="32"/>
        </w:rPr>
        <w:t>万元</w:t>
      </w:r>
      <w:r>
        <w:rPr>
          <w:rFonts w:hint="eastAsia" w:ascii="仿宋" w:hAnsi="仿宋" w:eastAsia="仿宋" w:cs="Times New Roman"/>
          <w:spacing w:val="-2"/>
          <w:sz w:val="32"/>
          <w:szCs w:val="32"/>
          <w:lang w:eastAsia="zh-CN"/>
        </w:rPr>
        <w:t>，</w:t>
      </w:r>
      <w:r>
        <w:rPr>
          <w:rFonts w:ascii="仿宋" w:hAnsi="仿宋" w:eastAsia="仿宋" w:cs="仿宋"/>
          <w:color w:val="auto"/>
          <w:spacing w:val="-2"/>
          <w:kern w:val="2"/>
          <w:sz w:val="32"/>
          <w:szCs w:val="32"/>
          <w:lang w:val="en-US" w:eastAsia="zh-CN" w:bidi="ar-SA"/>
        </w:rPr>
        <w:t>较上年</w:t>
      </w:r>
      <w:r>
        <w:rPr>
          <w:rFonts w:hint="eastAsia" w:ascii="仿宋" w:hAnsi="仿宋" w:eastAsia="仿宋" w:cs="仿宋"/>
          <w:color w:val="auto"/>
          <w:spacing w:val="-2"/>
          <w:kern w:val="2"/>
          <w:sz w:val="32"/>
          <w:szCs w:val="32"/>
          <w:lang w:val="en-US" w:eastAsia="zh-CN" w:bidi="ar-SA"/>
        </w:rPr>
        <w:t>增加229.78</w:t>
      </w:r>
      <w:r>
        <w:rPr>
          <w:rFonts w:ascii="仿宋" w:hAnsi="仿宋" w:eastAsia="仿宋" w:cs="仿宋"/>
          <w:color w:val="auto"/>
          <w:spacing w:val="-2"/>
          <w:kern w:val="2"/>
          <w:sz w:val="32"/>
          <w:szCs w:val="32"/>
          <w:lang w:val="en-US" w:eastAsia="zh-CN" w:bidi="ar-SA"/>
        </w:rPr>
        <w:t>万元，</w:t>
      </w:r>
      <w:r>
        <w:rPr>
          <w:rFonts w:hint="eastAsia" w:ascii="仿宋" w:hAnsi="仿宋" w:eastAsia="仿宋" w:cs="仿宋"/>
          <w:color w:val="auto"/>
          <w:spacing w:val="-2"/>
          <w:kern w:val="2"/>
          <w:sz w:val="32"/>
          <w:szCs w:val="32"/>
          <w:lang w:val="en-US" w:eastAsia="zh-CN" w:bidi="ar-SA"/>
        </w:rPr>
        <w:t>增长16.97</w:t>
      </w:r>
      <w:r>
        <w:rPr>
          <w:rFonts w:ascii="仿宋" w:hAnsi="仿宋" w:eastAsia="仿宋" w:cs="仿宋"/>
          <w:color w:val="auto"/>
          <w:spacing w:val="-2"/>
          <w:kern w:val="2"/>
          <w:sz w:val="32"/>
          <w:szCs w:val="32"/>
          <w:lang w:val="en-US" w:eastAsia="zh-CN" w:bidi="ar-SA"/>
        </w:rPr>
        <w:t>%</w:t>
      </w:r>
      <w:r>
        <w:rPr>
          <w:rFonts w:hint="eastAsia" w:ascii="仿宋" w:hAnsi="仿宋" w:eastAsia="仿宋" w:cs="仿宋"/>
          <w:color w:val="auto"/>
          <w:spacing w:val="-2"/>
          <w:kern w:val="2"/>
          <w:sz w:val="32"/>
          <w:szCs w:val="32"/>
          <w:lang w:val="en-US" w:eastAsia="zh-CN" w:bidi="ar-SA"/>
        </w:rPr>
        <w:t>，主要</w:t>
      </w:r>
      <w:r>
        <w:rPr>
          <w:rFonts w:hint="eastAsia" w:ascii="仿宋" w:hAnsi="仿宋" w:eastAsia="仿宋" w:cs="仿宋"/>
          <w:spacing w:val="-2"/>
          <w:sz w:val="32"/>
          <w:szCs w:val="32"/>
        </w:rPr>
        <w:t>是</w:t>
      </w:r>
      <w:r>
        <w:rPr>
          <w:rFonts w:hint="eastAsia" w:ascii="仿宋" w:hAnsi="仿宋" w:eastAsia="仿宋" w:cs="仿宋"/>
          <w:spacing w:val="-2"/>
          <w:sz w:val="32"/>
          <w:szCs w:val="32"/>
          <w:lang w:val="en-US" w:eastAsia="zh-CN"/>
        </w:rPr>
        <w:t>因为上年度部分基本支出在政府性基金预算资金中列支</w:t>
      </w:r>
      <w:r>
        <w:rPr>
          <w:rFonts w:ascii="仿宋" w:hAnsi="仿宋" w:eastAsia="仿宋" w:cs="仿宋"/>
          <w:color w:val="auto"/>
          <w:spacing w:val="-2"/>
          <w:kern w:val="2"/>
          <w:sz w:val="32"/>
          <w:szCs w:val="32"/>
          <w:lang w:val="en-US" w:eastAsia="zh-CN" w:bidi="ar-SA"/>
        </w:rPr>
        <w:t>。</w:t>
      </w:r>
    </w:p>
    <w:p w14:paraId="0EB4F154">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pP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rPr>
        <w:t>人员经费。人员经费</w:t>
      </w:r>
      <w:r>
        <w:rPr>
          <w:rFonts w:hint="eastAsia" w:ascii="仿宋" w:hAnsi="仿宋" w:eastAsia="仿宋" w:cs="仿宋"/>
          <w:spacing w:val="-2"/>
          <w:sz w:val="32"/>
          <w:szCs w:val="32"/>
          <w:lang w:val="en-US" w:eastAsia="zh-CN"/>
        </w:rPr>
        <w:t>1370.32</w:t>
      </w:r>
      <w:r>
        <w:rPr>
          <w:rFonts w:hint="eastAsia" w:ascii="仿宋" w:hAnsi="仿宋" w:eastAsia="仿宋" w:cs="仿宋"/>
          <w:color w:val="auto"/>
          <w:spacing w:val="-2"/>
          <w:kern w:val="2"/>
          <w:sz w:val="32"/>
          <w:szCs w:val="32"/>
          <w:lang w:val="en-US" w:eastAsia="zh-CN" w:bidi="ar-SA"/>
        </w:rPr>
        <w:t>万</w:t>
      </w:r>
      <w:r>
        <w:rPr>
          <w:rFonts w:hint="eastAsia" w:ascii="仿宋" w:hAnsi="仿宋" w:eastAsia="仿宋" w:cs="仿宋"/>
          <w:spacing w:val="-2"/>
          <w:sz w:val="32"/>
          <w:szCs w:val="32"/>
        </w:rPr>
        <w:t>元，占基本支出的</w:t>
      </w:r>
      <w:r>
        <w:rPr>
          <w:rFonts w:hint="eastAsia" w:ascii="仿宋" w:hAnsi="仿宋" w:eastAsia="仿宋" w:cs="仿宋"/>
          <w:spacing w:val="-2"/>
          <w:sz w:val="32"/>
          <w:szCs w:val="32"/>
          <w:lang w:val="en-US" w:eastAsia="zh-CN"/>
        </w:rPr>
        <w:t>86.52</w:t>
      </w:r>
      <w:r>
        <w:rPr>
          <w:rFonts w:hint="eastAsia" w:ascii="仿宋" w:hAnsi="仿宋" w:eastAsia="仿宋" w:cs="仿宋"/>
          <w:spacing w:val="-2"/>
          <w:sz w:val="32"/>
          <w:szCs w:val="32"/>
        </w:rPr>
        <w:t>%，较上年</w:t>
      </w:r>
      <w:r>
        <w:rPr>
          <w:rFonts w:hint="eastAsia" w:ascii="仿宋" w:hAnsi="仿宋" w:eastAsia="仿宋" w:cs="仿宋"/>
          <w:spacing w:val="-2"/>
          <w:sz w:val="32"/>
          <w:szCs w:val="32"/>
          <w:lang w:val="en-US" w:eastAsia="zh-CN"/>
        </w:rPr>
        <w:t>增加118.76万元，增长9.49</w:t>
      </w:r>
      <w:r>
        <w:rPr>
          <w:rFonts w:hint="eastAsia" w:ascii="仿宋" w:hAnsi="仿宋" w:eastAsia="仿宋" w:cs="仿宋"/>
          <w:spacing w:val="-2"/>
          <w:sz w:val="32"/>
          <w:szCs w:val="32"/>
        </w:rPr>
        <w:t>%，主要是</w:t>
      </w:r>
      <w:r>
        <w:rPr>
          <w:rFonts w:hint="eastAsia" w:ascii="仿宋" w:hAnsi="仿宋" w:eastAsia="仿宋" w:cs="仿宋"/>
          <w:spacing w:val="-2"/>
          <w:sz w:val="32"/>
          <w:szCs w:val="32"/>
          <w:lang w:val="en-US" w:eastAsia="zh-CN"/>
        </w:rPr>
        <w:t>因为上年度部分人员经费支出在政府性基金预算资金中列支</w:t>
      </w:r>
      <w:r>
        <w:rPr>
          <w:rFonts w:hint="eastAsia" w:ascii="仿宋" w:hAnsi="仿宋" w:eastAsia="仿宋" w:cs="仿宋"/>
          <w:spacing w:val="-2"/>
          <w:sz w:val="32"/>
          <w:szCs w:val="32"/>
        </w:rPr>
        <w:t>。</w:t>
      </w:r>
    </w:p>
    <w:p w14:paraId="7DC37E4B">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rFonts w:hint="eastAsia" w:hAnsi="仿宋" w:eastAsia="仿宋"/>
          <w:spacing w:val="-2"/>
          <w:sz w:val="32"/>
          <w:szCs w:val="32"/>
          <w:lang w:eastAsia="zh-CN"/>
        </w:rPr>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工资福利支出</w:t>
      </w:r>
      <w:r>
        <w:rPr>
          <w:rFonts w:hint="eastAsia" w:ascii="仿宋" w:hAnsi="仿宋" w:eastAsia="仿宋" w:cs="仿宋"/>
          <w:spacing w:val="-2"/>
          <w:sz w:val="32"/>
          <w:szCs w:val="32"/>
          <w:lang w:val="en-US" w:eastAsia="zh-CN"/>
        </w:rPr>
        <w:t>1335.08</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主要包括在职人员</w:t>
      </w:r>
      <w:r>
        <w:rPr>
          <w:rFonts w:hAnsi="仿宋" w:eastAsia="仿宋"/>
          <w:spacing w:val="-2"/>
          <w:sz w:val="32"/>
          <w:szCs w:val="32"/>
        </w:rPr>
        <w:t>基本工资、津贴补贴、奖金、</w:t>
      </w:r>
      <w:r>
        <w:rPr>
          <w:rFonts w:hint="eastAsia" w:hAnsi="仿宋" w:eastAsia="仿宋"/>
          <w:spacing w:val="-2"/>
          <w:sz w:val="32"/>
          <w:szCs w:val="32"/>
        </w:rPr>
        <w:t>绩效工资</w:t>
      </w:r>
      <w:r>
        <w:rPr>
          <w:rFonts w:hint="eastAsia" w:hAnsi="仿宋" w:eastAsia="仿宋"/>
          <w:spacing w:val="-2"/>
          <w:sz w:val="32"/>
          <w:szCs w:val="32"/>
          <w:lang w:eastAsia="zh-CN"/>
        </w:rPr>
        <w:t>、</w:t>
      </w:r>
      <w:r>
        <w:rPr>
          <w:rFonts w:hint="eastAsia" w:hAnsi="仿宋" w:eastAsia="仿宋"/>
          <w:spacing w:val="-2"/>
          <w:sz w:val="32"/>
          <w:szCs w:val="32"/>
          <w:lang w:val="en-US" w:eastAsia="zh-CN"/>
        </w:rPr>
        <w:t>伙食补助费、</w:t>
      </w:r>
      <w:r>
        <w:rPr>
          <w:rFonts w:hAnsi="仿宋" w:eastAsia="仿宋"/>
          <w:spacing w:val="-2"/>
          <w:sz w:val="32"/>
          <w:szCs w:val="32"/>
        </w:rPr>
        <w:t>机关事业单位基本养老保险缴费、</w:t>
      </w:r>
      <w:r>
        <w:rPr>
          <w:rFonts w:hint="eastAsia" w:hAnsi="仿宋" w:eastAsia="仿宋"/>
          <w:spacing w:val="-2"/>
          <w:sz w:val="32"/>
          <w:szCs w:val="32"/>
          <w:lang w:val="en-US" w:eastAsia="zh-CN"/>
        </w:rPr>
        <w:t>职业年金缴费、</w:t>
      </w:r>
      <w:r>
        <w:rPr>
          <w:rFonts w:hAnsi="仿宋" w:eastAsia="仿宋"/>
          <w:spacing w:val="-2"/>
          <w:sz w:val="32"/>
          <w:szCs w:val="32"/>
        </w:rPr>
        <w:t>职工基本医疗保险缴费、其他社会保障缴费</w:t>
      </w:r>
      <w:r>
        <w:rPr>
          <w:rFonts w:hint="eastAsia" w:hAnsi="仿宋" w:eastAsia="仿宋"/>
          <w:spacing w:val="-2"/>
          <w:sz w:val="32"/>
          <w:szCs w:val="32"/>
          <w:lang w:eastAsia="zh-CN"/>
        </w:rPr>
        <w:t>、</w:t>
      </w:r>
      <w:r>
        <w:rPr>
          <w:rFonts w:hint="eastAsia" w:hAnsi="仿宋" w:eastAsia="仿宋"/>
          <w:spacing w:val="-2"/>
          <w:sz w:val="32"/>
          <w:szCs w:val="32"/>
          <w:lang w:val="en-US" w:eastAsia="zh-CN"/>
        </w:rPr>
        <w:t>住房公积金等支出</w:t>
      </w:r>
      <w:r>
        <w:rPr>
          <w:rFonts w:hint="eastAsia" w:hAnsi="仿宋" w:eastAsia="仿宋"/>
          <w:spacing w:val="-2"/>
          <w:sz w:val="32"/>
          <w:szCs w:val="32"/>
          <w:lang w:eastAsia="zh-CN"/>
        </w:rPr>
        <w:t>。</w:t>
      </w:r>
    </w:p>
    <w:p w14:paraId="749532C6">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对个人和家庭补助支出</w:t>
      </w:r>
      <w:r>
        <w:rPr>
          <w:rFonts w:hint="eastAsia" w:ascii="仿宋" w:hAnsi="仿宋" w:eastAsia="仿宋" w:cs="仿宋"/>
          <w:spacing w:val="-2"/>
          <w:sz w:val="32"/>
          <w:szCs w:val="32"/>
          <w:lang w:val="en-US" w:eastAsia="zh-CN"/>
        </w:rPr>
        <w:t>35.24</w:t>
      </w:r>
      <w:r>
        <w:rPr>
          <w:rFonts w:hint="eastAsia" w:ascii="仿宋" w:hAnsi="仿宋" w:eastAsia="仿宋" w:cs="仿宋"/>
          <w:spacing w:val="-2"/>
          <w:sz w:val="32"/>
          <w:szCs w:val="32"/>
        </w:rPr>
        <w:t>万元。主要包括生活补助、</w:t>
      </w:r>
      <w:r>
        <w:rPr>
          <w:rFonts w:hint="eastAsia" w:ascii="仿宋" w:hAnsi="仿宋" w:eastAsia="仿宋" w:cs="仿宋"/>
          <w:spacing w:val="-2"/>
          <w:sz w:val="32"/>
          <w:szCs w:val="32"/>
          <w:lang w:val="en-US" w:eastAsia="zh-CN"/>
        </w:rPr>
        <w:t>医疗费补助、</w:t>
      </w:r>
      <w:r>
        <w:rPr>
          <w:rFonts w:hint="eastAsia" w:ascii="仿宋" w:hAnsi="仿宋" w:eastAsia="仿宋" w:cs="仿宋"/>
          <w:spacing w:val="-2"/>
          <w:sz w:val="32"/>
          <w:szCs w:val="32"/>
          <w:lang w:eastAsia="zh-CN"/>
        </w:rPr>
        <w:t>奖励金、</w:t>
      </w:r>
      <w:r>
        <w:rPr>
          <w:rFonts w:hint="eastAsia" w:ascii="仿宋" w:hAnsi="仿宋" w:eastAsia="仿宋" w:cs="仿宋"/>
          <w:spacing w:val="-2"/>
          <w:sz w:val="32"/>
          <w:szCs w:val="32"/>
        </w:rPr>
        <w:t>其他对个人和家庭的补助等支出。</w:t>
      </w:r>
    </w:p>
    <w:p w14:paraId="41DA01F9">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rPr>
        <w:t>日常公用经费。日常公用经费</w:t>
      </w:r>
      <w:r>
        <w:rPr>
          <w:rFonts w:hint="eastAsia" w:ascii="仿宋" w:hAnsi="仿宋" w:eastAsia="仿宋" w:cs="仿宋"/>
          <w:spacing w:val="-2"/>
          <w:sz w:val="32"/>
          <w:szCs w:val="32"/>
          <w:lang w:val="en-US" w:eastAsia="zh-CN"/>
        </w:rPr>
        <w:t>213.43</w:t>
      </w:r>
      <w:r>
        <w:rPr>
          <w:rFonts w:hint="eastAsia" w:ascii="仿宋" w:hAnsi="仿宋" w:eastAsia="仿宋" w:cs="仿宋"/>
          <w:spacing w:val="-2"/>
          <w:sz w:val="32"/>
          <w:szCs w:val="32"/>
        </w:rPr>
        <w:t>万元，占基本支出的</w:t>
      </w:r>
      <w:r>
        <w:rPr>
          <w:rFonts w:hint="eastAsia" w:ascii="仿宋" w:hAnsi="仿宋" w:eastAsia="仿宋" w:cs="仿宋"/>
          <w:spacing w:val="-2"/>
          <w:sz w:val="32"/>
          <w:szCs w:val="32"/>
          <w:lang w:val="en-US" w:eastAsia="zh-CN"/>
        </w:rPr>
        <w:t>13.48</w:t>
      </w:r>
      <w:r>
        <w:rPr>
          <w:rFonts w:hint="eastAsia" w:ascii="仿宋" w:hAnsi="仿宋" w:eastAsia="仿宋" w:cs="仿宋"/>
          <w:spacing w:val="-2"/>
          <w:sz w:val="32"/>
          <w:szCs w:val="32"/>
        </w:rPr>
        <w:t>%，</w:t>
      </w:r>
      <w:r>
        <w:rPr>
          <w:rFonts w:hint="eastAsia" w:ascii="仿宋" w:hAnsi="仿宋" w:eastAsia="仿宋" w:cs="仿宋"/>
          <w:color w:val="auto"/>
          <w:spacing w:val="-2"/>
          <w:kern w:val="2"/>
          <w:sz w:val="32"/>
          <w:szCs w:val="32"/>
          <w:lang w:val="en-US" w:eastAsia="zh-CN" w:bidi="ar-SA"/>
        </w:rPr>
        <w:t>较上年增加111.02万元，增长108.41%，</w:t>
      </w:r>
      <w:r>
        <w:rPr>
          <w:rFonts w:hint="eastAsia" w:ascii="仿宋" w:hAnsi="仿宋" w:eastAsia="仿宋" w:cs="仿宋"/>
          <w:spacing w:val="-2"/>
          <w:sz w:val="32"/>
          <w:szCs w:val="32"/>
        </w:rPr>
        <w:t>主要是</w:t>
      </w:r>
      <w:r>
        <w:rPr>
          <w:rFonts w:hint="eastAsia" w:ascii="仿宋" w:hAnsi="仿宋" w:eastAsia="仿宋" w:cs="仿宋"/>
          <w:spacing w:val="-2"/>
          <w:sz w:val="32"/>
          <w:szCs w:val="32"/>
          <w:lang w:val="en-US" w:eastAsia="zh-CN"/>
        </w:rPr>
        <w:t>因为上年度部分公用经费支出在政府性基金预算资金中列支。</w:t>
      </w:r>
    </w:p>
    <w:p w14:paraId="3A24DE83">
      <w:pPr>
        <w:keepNext w:val="0"/>
        <w:keepLines w:val="0"/>
        <w:pageBreakBefore w:val="0"/>
        <w:widowControl/>
        <w:numPr>
          <w:ilvl w:val="0"/>
          <w:numId w:val="0"/>
        </w:numPr>
        <w:shd w:val="clear" w:color="auto" w:fill="FFFFFF"/>
        <w:kinsoku/>
        <w:wordWrap/>
        <w:overflowPunct/>
        <w:topLinePunct w:val="0"/>
        <w:autoSpaceDE/>
        <w:autoSpaceDN/>
        <w:bidi w:val="0"/>
        <w:adjustRightInd/>
        <w:spacing w:line="520" w:lineRule="exact"/>
        <w:ind w:right="0" w:rightChars="0" w:firstLine="632" w:firstLineChars="200"/>
        <w:textAlignment w:val="auto"/>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商品和服务支出</w:t>
      </w:r>
      <w:r>
        <w:rPr>
          <w:rFonts w:hint="eastAsia" w:ascii="仿宋" w:hAnsi="仿宋" w:eastAsia="仿宋" w:cs="仿宋"/>
          <w:spacing w:val="-2"/>
          <w:sz w:val="32"/>
          <w:szCs w:val="32"/>
          <w:lang w:val="en-US" w:eastAsia="zh-CN"/>
        </w:rPr>
        <w:t>211.18</w:t>
      </w:r>
      <w:r>
        <w:rPr>
          <w:rFonts w:hint="eastAsia" w:ascii="仿宋" w:hAnsi="仿宋" w:eastAsia="仿宋" w:cs="仿宋"/>
          <w:spacing w:val="-2"/>
          <w:sz w:val="32"/>
          <w:szCs w:val="32"/>
        </w:rPr>
        <w:t>万元。主要包括日常运行正常</w:t>
      </w:r>
      <w:r>
        <w:rPr>
          <w:rFonts w:hint="eastAsia" w:ascii="仿宋" w:hAnsi="仿宋" w:eastAsia="仿宋" w:cs="仿宋"/>
          <w:spacing w:val="-2"/>
          <w:sz w:val="32"/>
          <w:szCs w:val="32"/>
          <w:lang w:eastAsia="zh-CN"/>
        </w:rPr>
        <w:t>的</w:t>
      </w:r>
      <w:r>
        <w:rPr>
          <w:rFonts w:hint="eastAsia" w:ascii="仿宋" w:hAnsi="仿宋" w:eastAsia="仿宋" w:cs="仿宋"/>
          <w:spacing w:val="-2"/>
          <w:sz w:val="32"/>
          <w:szCs w:val="32"/>
        </w:rPr>
        <w:t>办公费</w:t>
      </w:r>
      <w:r>
        <w:rPr>
          <w:rFonts w:hint="eastAsia" w:ascii="仿宋" w:hAnsi="仿宋" w:eastAsia="仿宋" w:cs="仿宋"/>
          <w:spacing w:val="-2"/>
          <w:sz w:val="32"/>
          <w:szCs w:val="32"/>
          <w:lang w:val="en-US" w:eastAsia="zh-CN"/>
        </w:rPr>
        <w:t>、印刷费、差旅费、</w:t>
      </w:r>
      <w:r>
        <w:rPr>
          <w:rFonts w:hint="eastAsia" w:ascii="仿宋" w:hAnsi="仿宋" w:eastAsia="仿宋" w:cs="仿宋"/>
          <w:spacing w:val="-2"/>
          <w:sz w:val="32"/>
          <w:szCs w:val="32"/>
        </w:rPr>
        <w:t>其他商品服务支出等。</w:t>
      </w:r>
    </w:p>
    <w:p w14:paraId="512A7C5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资本性支出</w:t>
      </w:r>
      <w:r>
        <w:rPr>
          <w:rFonts w:hint="eastAsia" w:ascii="仿宋" w:hAnsi="仿宋" w:eastAsia="仿宋" w:cs="仿宋"/>
          <w:spacing w:val="-2"/>
          <w:sz w:val="32"/>
          <w:szCs w:val="32"/>
          <w:lang w:val="en-US" w:eastAsia="zh-CN"/>
        </w:rPr>
        <w:t>2.25万元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w:t>
      </w:r>
      <w:r>
        <w:rPr>
          <w:rFonts w:hint="eastAsia" w:ascii="仿宋" w:hAnsi="仿宋" w:eastAsia="仿宋" w:cs="仿宋"/>
          <w:spacing w:val="-2"/>
          <w:sz w:val="32"/>
          <w:szCs w:val="32"/>
          <w:lang w:val="en-US" w:eastAsia="zh-CN"/>
        </w:rPr>
        <w:t>办公设备购置。</w:t>
      </w:r>
    </w:p>
    <w:p w14:paraId="2620C474">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default" w:ascii="仿宋" w:hAnsi="仿宋" w:eastAsia="仿宋" w:cs="仿宋"/>
          <w:spacing w:val="-2"/>
          <w:sz w:val="32"/>
          <w:szCs w:val="32"/>
        </w:rPr>
      </w:pPr>
      <w:r>
        <w:rPr>
          <w:rFonts w:hint="eastAsia" w:ascii="仿宋" w:hAnsi="仿宋" w:eastAsia="仿宋" w:cs="仿宋"/>
          <w:spacing w:val="-2"/>
          <w:sz w:val="32"/>
          <w:szCs w:val="32"/>
          <w:lang w:val="en-US" w:eastAsia="zh-CN"/>
        </w:rPr>
        <w:t>3.“</w:t>
      </w:r>
      <w:r>
        <w:rPr>
          <w:rFonts w:hint="default" w:ascii="仿宋" w:hAnsi="仿宋" w:eastAsia="仿宋" w:cs="仿宋"/>
          <w:spacing w:val="-2"/>
          <w:sz w:val="32"/>
          <w:szCs w:val="32"/>
        </w:rPr>
        <w:t>三公</w:t>
      </w:r>
      <w:r>
        <w:rPr>
          <w:rFonts w:hint="eastAsia" w:ascii="仿宋" w:hAnsi="仿宋" w:eastAsia="仿宋" w:cs="仿宋"/>
          <w:spacing w:val="-2"/>
          <w:sz w:val="32"/>
          <w:szCs w:val="32"/>
          <w:lang w:val="en-US" w:eastAsia="zh-CN"/>
        </w:rPr>
        <w:t>”</w:t>
      </w:r>
      <w:r>
        <w:rPr>
          <w:rFonts w:hint="default" w:ascii="仿宋" w:hAnsi="仿宋" w:eastAsia="仿宋" w:cs="仿宋"/>
          <w:spacing w:val="-2"/>
          <w:sz w:val="32"/>
          <w:szCs w:val="32"/>
        </w:rPr>
        <w:t>经费使用和管理情况</w:t>
      </w:r>
    </w:p>
    <w:p w14:paraId="603D3AD5">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default" w:ascii="仿宋" w:hAnsi="仿宋" w:eastAsia="仿宋" w:cs="仿宋"/>
          <w:spacing w:val="-2"/>
          <w:sz w:val="32"/>
          <w:szCs w:val="32"/>
          <w:highlight w:val="yellow"/>
          <w:lang w:val="en-US" w:eastAsia="zh-CN"/>
        </w:rPr>
      </w:pPr>
      <w:r>
        <w:rPr>
          <w:rFonts w:hint="eastAsia" w:ascii="仿宋" w:hAnsi="仿宋" w:eastAsia="仿宋" w:cs="仿宋"/>
          <w:spacing w:val="-2"/>
          <w:sz w:val="32"/>
          <w:szCs w:val="32"/>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年“三公”经费预算为</w:t>
      </w:r>
      <w:r>
        <w:rPr>
          <w:rFonts w:hint="eastAsia" w:ascii="仿宋" w:hAnsi="仿宋" w:eastAsia="仿宋" w:cs="仿宋"/>
          <w:spacing w:val="-2"/>
          <w:sz w:val="32"/>
          <w:szCs w:val="32"/>
          <w:lang w:val="en-US" w:eastAsia="zh-CN"/>
        </w:rPr>
        <w:t>3.38</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其中</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因公出国(境)费预算0万元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公务用车购置费</w:t>
      </w:r>
      <w:r>
        <w:rPr>
          <w:rFonts w:hint="eastAsia" w:ascii="仿宋" w:hAnsi="仿宋" w:eastAsia="仿宋" w:cs="仿宋"/>
          <w:spacing w:val="-2"/>
          <w:sz w:val="32"/>
          <w:szCs w:val="32"/>
          <w:lang w:val="en-US" w:eastAsia="zh-CN"/>
        </w:rPr>
        <w:t>0万元，</w:t>
      </w:r>
      <w:r>
        <w:rPr>
          <w:rFonts w:hint="eastAsia" w:ascii="仿宋" w:hAnsi="仿宋" w:eastAsia="仿宋" w:cs="仿宋"/>
          <w:spacing w:val="-2"/>
          <w:sz w:val="32"/>
          <w:szCs w:val="32"/>
        </w:rPr>
        <w:t>公务用车运行维护费</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万元，公务接待费</w:t>
      </w:r>
      <w:r>
        <w:rPr>
          <w:rFonts w:hint="eastAsia" w:ascii="仿宋" w:hAnsi="仿宋" w:eastAsia="仿宋" w:cs="仿宋"/>
          <w:spacing w:val="-2"/>
          <w:sz w:val="32"/>
          <w:szCs w:val="32"/>
          <w:lang w:val="en-US" w:eastAsia="zh-CN"/>
        </w:rPr>
        <w:t>0.08</w:t>
      </w:r>
      <w:r>
        <w:rPr>
          <w:rFonts w:hint="eastAsia" w:ascii="仿宋" w:hAnsi="仿宋" w:eastAsia="仿宋" w:cs="仿宋"/>
          <w:spacing w:val="-2"/>
          <w:sz w:val="32"/>
          <w:szCs w:val="32"/>
        </w:rPr>
        <w:t>万元。本年</w:t>
      </w:r>
      <w:r>
        <w:rPr>
          <w:rFonts w:hint="eastAsia" w:ascii="仿宋" w:hAnsi="仿宋" w:eastAsia="仿宋" w:cs="仿宋"/>
          <w:spacing w:val="-2"/>
          <w:sz w:val="32"/>
          <w:szCs w:val="32"/>
          <w:lang w:val="en-US" w:eastAsia="zh-CN"/>
        </w:rPr>
        <w:t>度</w:t>
      </w:r>
      <w:r>
        <w:rPr>
          <w:rFonts w:hint="eastAsia" w:ascii="仿宋" w:hAnsi="仿宋" w:eastAsia="仿宋" w:cs="仿宋"/>
          <w:spacing w:val="-2"/>
          <w:sz w:val="32"/>
          <w:szCs w:val="32"/>
        </w:rPr>
        <w:t>“三公”经费总支出</w:t>
      </w:r>
      <w:r>
        <w:rPr>
          <w:rFonts w:hint="eastAsia" w:ascii="仿宋" w:hAnsi="仿宋" w:eastAsia="仿宋" w:cs="仿宋"/>
          <w:spacing w:val="-2"/>
          <w:sz w:val="32"/>
          <w:szCs w:val="32"/>
          <w:lang w:val="en-US" w:eastAsia="zh-CN"/>
        </w:rPr>
        <w:t>3.30</w:t>
      </w:r>
      <w:r>
        <w:rPr>
          <w:rFonts w:hint="eastAsia" w:ascii="仿宋" w:hAnsi="仿宋" w:eastAsia="仿宋" w:cs="仿宋"/>
          <w:spacing w:val="-2"/>
          <w:sz w:val="32"/>
          <w:szCs w:val="32"/>
        </w:rPr>
        <w:t>万元，其中</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因公出国(境)费0万元，公务用车购置费</w:t>
      </w:r>
      <w:r>
        <w:rPr>
          <w:rFonts w:hint="eastAsia" w:ascii="仿宋" w:hAnsi="仿宋" w:eastAsia="仿宋" w:cs="仿宋"/>
          <w:spacing w:val="-2"/>
          <w:sz w:val="32"/>
          <w:szCs w:val="32"/>
          <w:lang w:val="en-US" w:eastAsia="zh-CN"/>
        </w:rPr>
        <w:t>0万元，</w:t>
      </w:r>
      <w:r>
        <w:rPr>
          <w:rFonts w:hint="eastAsia" w:ascii="仿宋" w:hAnsi="仿宋" w:eastAsia="仿宋" w:cs="仿宋"/>
          <w:spacing w:val="-2"/>
          <w:sz w:val="32"/>
          <w:szCs w:val="32"/>
        </w:rPr>
        <w:t>公务用车运行维护费</w:t>
      </w:r>
      <w:r>
        <w:rPr>
          <w:rFonts w:hint="eastAsia" w:ascii="仿宋" w:hAnsi="仿宋" w:eastAsia="仿宋" w:cs="仿宋"/>
          <w:spacing w:val="-2"/>
          <w:sz w:val="32"/>
          <w:szCs w:val="32"/>
          <w:lang w:val="en-US" w:eastAsia="zh-CN"/>
        </w:rPr>
        <w:t>3.30</w:t>
      </w:r>
      <w:r>
        <w:rPr>
          <w:rFonts w:hint="eastAsia" w:ascii="仿宋" w:hAnsi="仿宋" w:eastAsia="仿宋" w:cs="仿宋"/>
          <w:spacing w:val="-2"/>
          <w:sz w:val="32"/>
          <w:szCs w:val="32"/>
        </w:rPr>
        <w:t>万元，公务接待费</w:t>
      </w:r>
      <w:r>
        <w:rPr>
          <w:rFonts w:hint="eastAsia" w:ascii="仿宋" w:hAnsi="仿宋" w:eastAsia="仿宋" w:cs="仿宋"/>
          <w:spacing w:val="-2"/>
          <w:sz w:val="32"/>
          <w:szCs w:val="32"/>
          <w:lang w:val="en-US" w:eastAsia="zh-CN"/>
        </w:rPr>
        <w:t>0</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完成预算的100%，决算数等于预算数的主要原因是严格控制安排“三公”经费，确保“三公”经费不超预算。</w:t>
      </w:r>
      <w:r>
        <w:rPr>
          <w:rFonts w:hint="eastAsia" w:ascii="仿宋" w:hAnsi="仿宋" w:eastAsia="仿宋" w:cs="仿宋"/>
          <w:spacing w:val="-2"/>
          <w:sz w:val="32"/>
          <w:szCs w:val="32"/>
        </w:rPr>
        <w:t>本年</w:t>
      </w:r>
      <w:r>
        <w:rPr>
          <w:rFonts w:hint="eastAsia" w:ascii="仿宋" w:hAnsi="仿宋" w:eastAsia="仿宋" w:cs="仿宋"/>
          <w:spacing w:val="-2"/>
          <w:sz w:val="32"/>
          <w:szCs w:val="32"/>
          <w:lang w:val="en-US" w:eastAsia="zh-CN"/>
        </w:rPr>
        <w:t>度</w:t>
      </w:r>
      <w:r>
        <w:rPr>
          <w:rFonts w:hint="eastAsia" w:ascii="仿宋" w:hAnsi="仿宋" w:eastAsia="仿宋" w:cs="仿宋"/>
          <w:spacing w:val="-2"/>
          <w:sz w:val="32"/>
          <w:szCs w:val="32"/>
        </w:rPr>
        <w:t>“三公”经费总支出较上年</w:t>
      </w:r>
      <w:r>
        <w:rPr>
          <w:rFonts w:hint="eastAsia" w:ascii="仿宋" w:hAnsi="仿宋" w:eastAsia="仿宋" w:cs="仿宋"/>
          <w:spacing w:val="-2"/>
          <w:sz w:val="32"/>
          <w:szCs w:val="32"/>
          <w:lang w:val="en-US" w:eastAsia="zh-CN"/>
        </w:rPr>
        <w:t>增加0.09</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增长2.80</w:t>
      </w:r>
      <w:r>
        <w:rPr>
          <w:rFonts w:hint="eastAsia" w:ascii="仿宋" w:hAnsi="仿宋" w:eastAsia="仿宋" w:cs="仿宋"/>
          <w:spacing w:val="-2"/>
          <w:sz w:val="32"/>
          <w:szCs w:val="32"/>
        </w:rPr>
        <w:t>%</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其中公务用车运行费比上年</w:t>
      </w:r>
      <w:r>
        <w:rPr>
          <w:rFonts w:hint="eastAsia" w:ascii="仿宋" w:hAnsi="仿宋" w:eastAsia="仿宋" w:cs="仿宋"/>
          <w:spacing w:val="-2"/>
          <w:sz w:val="32"/>
          <w:szCs w:val="32"/>
          <w:lang w:val="en-US" w:eastAsia="zh-CN"/>
        </w:rPr>
        <w:t>增加0.09</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主要原因是本年度公务用车维修费增加。</w:t>
      </w:r>
    </w:p>
    <w:p w14:paraId="7780127E">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default" w:ascii="仿宋" w:hAnsi="仿宋" w:eastAsia="仿宋" w:cs="仿宋"/>
          <w:spacing w:val="-2"/>
          <w:sz w:val="32"/>
          <w:szCs w:val="32"/>
          <w:highlight w:val="none"/>
          <w:lang w:val="en-US" w:eastAsia="zh-CN"/>
        </w:rPr>
      </w:pPr>
      <w:r>
        <w:rPr>
          <w:rFonts w:hint="default" w:ascii="仿宋" w:hAnsi="仿宋" w:eastAsia="仿宋" w:cs="仿宋"/>
          <w:spacing w:val="-2"/>
          <w:sz w:val="32"/>
          <w:szCs w:val="32"/>
          <w:highlight w:val="none"/>
          <w:lang w:val="en-US" w:eastAsia="zh-CN"/>
        </w:rPr>
        <w:t>我</w:t>
      </w:r>
      <w:r>
        <w:rPr>
          <w:rFonts w:hint="eastAsia" w:ascii="仿宋" w:hAnsi="仿宋" w:eastAsia="仿宋" w:cs="仿宋"/>
          <w:spacing w:val="-2"/>
          <w:sz w:val="32"/>
          <w:szCs w:val="32"/>
          <w:highlight w:val="none"/>
          <w:lang w:val="en-US" w:eastAsia="zh-CN"/>
        </w:rPr>
        <w:t>中心</w:t>
      </w:r>
      <w:r>
        <w:rPr>
          <w:rFonts w:hint="default" w:ascii="仿宋" w:hAnsi="仿宋" w:eastAsia="仿宋" w:cs="仿宋"/>
          <w:spacing w:val="-2"/>
          <w:sz w:val="32"/>
          <w:szCs w:val="32"/>
          <w:highlight w:val="none"/>
          <w:lang w:val="en-US" w:eastAsia="zh-CN"/>
        </w:rPr>
        <w:t>认真贯彻落实中央八项规定和厉行节约要求</w:t>
      </w:r>
      <w:r>
        <w:rPr>
          <w:rFonts w:hint="eastAsia" w:ascii="仿宋" w:hAnsi="仿宋" w:eastAsia="仿宋" w:cs="仿宋"/>
          <w:spacing w:val="-2"/>
          <w:sz w:val="32"/>
          <w:szCs w:val="32"/>
          <w:highlight w:val="none"/>
          <w:lang w:val="en-US" w:eastAsia="zh-CN"/>
        </w:rPr>
        <w:t>，</w:t>
      </w:r>
      <w:r>
        <w:rPr>
          <w:rFonts w:hint="default" w:ascii="仿宋" w:hAnsi="仿宋" w:eastAsia="仿宋" w:cs="仿宋"/>
          <w:spacing w:val="-2"/>
          <w:sz w:val="32"/>
          <w:szCs w:val="32"/>
          <w:highlight w:val="none"/>
          <w:lang w:val="en-US" w:eastAsia="zh-CN"/>
        </w:rPr>
        <w:t>严格控制“三公”经费开支</w:t>
      </w:r>
      <w:r>
        <w:rPr>
          <w:rFonts w:hint="eastAsia" w:ascii="仿宋" w:hAnsi="仿宋" w:eastAsia="仿宋" w:cs="仿宋"/>
          <w:spacing w:val="-2"/>
          <w:sz w:val="32"/>
          <w:szCs w:val="32"/>
          <w:highlight w:val="none"/>
          <w:lang w:val="en-US" w:eastAsia="zh-CN"/>
        </w:rPr>
        <w:t>，一</w:t>
      </w:r>
      <w:r>
        <w:rPr>
          <w:rFonts w:hint="default" w:ascii="仿宋" w:hAnsi="仿宋" w:eastAsia="仿宋" w:cs="仿宋"/>
          <w:spacing w:val="-2"/>
          <w:sz w:val="32"/>
          <w:szCs w:val="32"/>
          <w:highlight w:val="none"/>
          <w:lang w:val="en-US" w:eastAsia="zh-CN"/>
        </w:rPr>
        <w:t>是加强对公务车辆的管理。规范用车程序，从严安排出车，控制用车成本，提高车辆使用效率</w:t>
      </w:r>
      <w:r>
        <w:rPr>
          <w:rFonts w:hint="eastAsia" w:ascii="仿宋" w:hAnsi="仿宋" w:eastAsia="仿宋" w:cs="仿宋"/>
          <w:spacing w:val="-2"/>
          <w:sz w:val="32"/>
          <w:szCs w:val="32"/>
          <w:highlight w:val="none"/>
          <w:lang w:val="en-US" w:eastAsia="zh-CN"/>
        </w:rPr>
        <w:t>；</w:t>
      </w:r>
      <w:r>
        <w:rPr>
          <w:rFonts w:hint="default" w:ascii="仿宋" w:hAnsi="仿宋" w:eastAsia="仿宋" w:cs="仿宋"/>
          <w:spacing w:val="-2"/>
          <w:sz w:val="32"/>
          <w:szCs w:val="32"/>
          <w:highlight w:val="none"/>
          <w:lang w:val="en-US" w:eastAsia="zh-CN"/>
        </w:rPr>
        <w:t>规范部门(单位)因公用车管理，从严控制用车费用</w:t>
      </w:r>
      <w:r>
        <w:rPr>
          <w:rFonts w:hint="eastAsia" w:ascii="仿宋" w:hAnsi="仿宋" w:eastAsia="仿宋" w:cs="仿宋"/>
          <w:spacing w:val="-2"/>
          <w:sz w:val="32"/>
          <w:szCs w:val="32"/>
          <w:highlight w:val="none"/>
          <w:lang w:val="en-US" w:eastAsia="zh-CN"/>
        </w:rPr>
        <w:t>；</w:t>
      </w:r>
      <w:r>
        <w:rPr>
          <w:rFonts w:hint="default" w:ascii="仿宋" w:hAnsi="仿宋" w:eastAsia="仿宋" w:cs="仿宋"/>
          <w:spacing w:val="-2"/>
          <w:sz w:val="32"/>
          <w:szCs w:val="32"/>
          <w:highlight w:val="none"/>
          <w:lang w:val="en-US" w:eastAsia="zh-CN"/>
        </w:rPr>
        <w:t>严禁公车私用</w:t>
      </w:r>
      <w:r>
        <w:rPr>
          <w:rFonts w:hint="eastAsia" w:ascii="仿宋" w:hAnsi="仿宋" w:eastAsia="仿宋" w:cs="仿宋"/>
          <w:spacing w:val="-2"/>
          <w:sz w:val="32"/>
          <w:szCs w:val="32"/>
          <w:highlight w:val="none"/>
          <w:lang w:val="en-US" w:eastAsia="zh-CN"/>
        </w:rPr>
        <w:t>；</w:t>
      </w:r>
      <w:r>
        <w:rPr>
          <w:rFonts w:hint="default" w:ascii="仿宋" w:hAnsi="仿宋" w:eastAsia="仿宋" w:cs="仿宋"/>
          <w:spacing w:val="-2"/>
          <w:sz w:val="32"/>
          <w:szCs w:val="32"/>
          <w:highlight w:val="none"/>
          <w:lang w:val="en-US" w:eastAsia="zh-CN"/>
        </w:rPr>
        <w:t>严禁酒后驾车</w:t>
      </w:r>
      <w:r>
        <w:rPr>
          <w:rFonts w:hint="eastAsia" w:ascii="仿宋" w:hAnsi="仿宋" w:eastAsia="仿宋" w:cs="仿宋"/>
          <w:spacing w:val="-2"/>
          <w:sz w:val="32"/>
          <w:szCs w:val="32"/>
          <w:highlight w:val="none"/>
          <w:lang w:val="en-US" w:eastAsia="zh-CN"/>
        </w:rPr>
        <w:t>；</w:t>
      </w:r>
      <w:r>
        <w:rPr>
          <w:rFonts w:hint="default" w:ascii="仿宋" w:hAnsi="仿宋" w:eastAsia="仿宋" w:cs="仿宋"/>
          <w:spacing w:val="-2"/>
          <w:sz w:val="32"/>
          <w:szCs w:val="32"/>
          <w:highlight w:val="none"/>
          <w:lang w:val="en-US" w:eastAsia="zh-CN"/>
        </w:rPr>
        <w:t>严禁非专业司机驾驶公车。</w:t>
      </w:r>
      <w:r>
        <w:rPr>
          <w:rFonts w:hint="eastAsia" w:ascii="仿宋" w:hAnsi="仿宋" w:eastAsia="仿宋" w:cs="仿宋"/>
          <w:spacing w:val="-2"/>
          <w:sz w:val="32"/>
          <w:szCs w:val="32"/>
          <w:highlight w:val="none"/>
          <w:lang w:val="en-US" w:eastAsia="zh-CN"/>
        </w:rPr>
        <w:t>二是</w:t>
      </w:r>
      <w:r>
        <w:rPr>
          <w:rFonts w:hint="default" w:ascii="仿宋" w:hAnsi="仿宋" w:eastAsia="仿宋" w:cs="仿宋"/>
          <w:spacing w:val="-2"/>
          <w:sz w:val="32"/>
          <w:szCs w:val="32"/>
          <w:highlight w:val="none"/>
          <w:lang w:val="en-US" w:eastAsia="zh-CN"/>
        </w:rPr>
        <w:t>控制公务接待费用。简化公务接待，严格控制宴请、接待规模和规格</w:t>
      </w:r>
      <w:r>
        <w:rPr>
          <w:rFonts w:hint="eastAsia" w:ascii="仿宋" w:hAnsi="仿宋" w:eastAsia="仿宋" w:cs="仿宋"/>
          <w:spacing w:val="-2"/>
          <w:sz w:val="32"/>
          <w:szCs w:val="32"/>
          <w:highlight w:val="none"/>
          <w:lang w:val="en-US" w:eastAsia="zh-CN"/>
        </w:rPr>
        <w:t>；</w:t>
      </w:r>
      <w:r>
        <w:rPr>
          <w:rFonts w:hint="default" w:ascii="仿宋" w:hAnsi="仿宋" w:eastAsia="仿宋" w:cs="仿宋"/>
          <w:spacing w:val="-2"/>
          <w:sz w:val="32"/>
          <w:szCs w:val="32"/>
          <w:highlight w:val="none"/>
          <w:lang w:val="en-US" w:eastAsia="zh-CN"/>
        </w:rPr>
        <w:t>严禁用公款大吃大喝</w:t>
      </w:r>
      <w:r>
        <w:rPr>
          <w:rFonts w:hint="eastAsia" w:ascii="仿宋" w:hAnsi="仿宋" w:eastAsia="仿宋" w:cs="仿宋"/>
          <w:spacing w:val="-2"/>
          <w:sz w:val="32"/>
          <w:szCs w:val="32"/>
          <w:highlight w:val="none"/>
          <w:lang w:val="en-US" w:eastAsia="zh-CN"/>
        </w:rPr>
        <w:t>；</w:t>
      </w:r>
      <w:r>
        <w:rPr>
          <w:rFonts w:hint="default" w:ascii="仿宋" w:hAnsi="仿宋" w:eastAsia="仿宋" w:cs="仿宋"/>
          <w:spacing w:val="-2"/>
          <w:sz w:val="32"/>
          <w:szCs w:val="32"/>
          <w:highlight w:val="none"/>
          <w:lang w:val="en-US" w:eastAsia="zh-CN"/>
        </w:rPr>
        <w:t>公务消费严格按照市政府要求接待，且做到三不，即不上高档菜，不上烟，不上酒</w:t>
      </w:r>
      <w:r>
        <w:rPr>
          <w:rFonts w:hint="eastAsia" w:ascii="仿宋" w:hAnsi="仿宋" w:eastAsia="仿宋" w:cs="仿宋"/>
          <w:spacing w:val="-2"/>
          <w:sz w:val="32"/>
          <w:szCs w:val="32"/>
          <w:highlight w:val="none"/>
          <w:lang w:val="en-US" w:eastAsia="zh-CN"/>
        </w:rPr>
        <w:t>；</w:t>
      </w:r>
      <w:r>
        <w:rPr>
          <w:rFonts w:hint="default" w:ascii="仿宋" w:hAnsi="仿宋" w:eastAsia="仿宋" w:cs="仿宋"/>
          <w:spacing w:val="-2"/>
          <w:sz w:val="32"/>
          <w:szCs w:val="32"/>
          <w:highlight w:val="none"/>
          <w:lang w:val="en-US" w:eastAsia="zh-CN"/>
        </w:rPr>
        <w:t>严禁公款私请。</w:t>
      </w:r>
    </w:p>
    <w:p w14:paraId="676386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（二）项目支出</w:t>
      </w:r>
    </w:p>
    <w:p w14:paraId="1324F4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1.项目资金（包括财政资金、自筹资金等）安排落实、总投入等情况分析</w:t>
      </w:r>
    </w:p>
    <w:p w14:paraId="2E19ACB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根据《怀化市财政局关于批复下达2024年市直部门预算的通知》（怀财预〔2024〕5号），2024年项目支出预算安排227.25万元，预算资金来源为非税收入，其中不动产登记责任保险10万元、档案整理服务费33.95万元、聘任法律顾问经费14万元、三级等保复评项目和安全防护10.50万元、市本级信息系统维护费19.80万元、土地承包经营权确权发证工作经费30万元、优化营商环境工作经费109万元。本年度一般公共预算项目支出年初预算数227.25万元，全年预算数173.71万元，实际到位</w:t>
      </w:r>
      <w:r>
        <w:rPr>
          <w:rFonts w:hint="eastAsia" w:ascii="仿宋" w:hAnsi="仿宋" w:eastAsia="仿宋" w:cs="仿宋"/>
          <w:color w:val="auto"/>
          <w:spacing w:val="-2"/>
          <w:kern w:val="2"/>
          <w:sz w:val="32"/>
          <w:szCs w:val="32"/>
          <w:lang w:val="en-US" w:eastAsia="zh-CN" w:bidi="ar-SA"/>
        </w:rPr>
        <w:t>173.71</w:t>
      </w:r>
      <w:r>
        <w:rPr>
          <w:rFonts w:hint="eastAsia" w:ascii="仿宋" w:hAnsi="仿宋" w:eastAsia="仿宋" w:cs="仿宋"/>
          <w:color w:val="auto"/>
          <w:sz w:val="32"/>
          <w:szCs w:val="32"/>
          <w:highlight w:val="none"/>
          <w:lang w:val="en-US" w:eastAsia="zh-CN"/>
        </w:rPr>
        <w:t>万元，到位率100%。</w:t>
      </w:r>
    </w:p>
    <w:p w14:paraId="1F94C08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2.项目资金（主要指财政资金）实际使用情况分析</w:t>
      </w:r>
    </w:p>
    <w:p w14:paraId="75043314">
      <w:pPr>
        <w:keepNext w:val="0"/>
        <w:keepLines w:val="0"/>
        <w:pageBreakBefore w:val="0"/>
        <w:widowControl/>
        <w:shd w:val="clear" w:color="auto" w:fill="FFFFFF"/>
        <w:kinsoku/>
        <w:wordWrap/>
        <w:overflowPunct/>
        <w:topLinePunct w:val="0"/>
        <w:autoSpaceDE/>
        <w:autoSpaceDN/>
        <w:bidi w:val="0"/>
        <w:adjustRightInd/>
        <w:spacing w:line="520" w:lineRule="exact"/>
        <w:ind w:firstLine="632"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spacing w:val="-2"/>
          <w:sz w:val="32"/>
          <w:szCs w:val="32"/>
        </w:rPr>
        <w:t>项目支出系我</w:t>
      </w:r>
      <w:r>
        <w:rPr>
          <w:rFonts w:hint="eastAsia" w:ascii="仿宋" w:hAnsi="仿宋" w:eastAsia="仿宋" w:cs="仿宋"/>
          <w:spacing w:val="-2"/>
          <w:sz w:val="32"/>
          <w:szCs w:val="32"/>
          <w:lang w:val="en-US" w:eastAsia="zh-CN"/>
        </w:rPr>
        <w:t>中心</w:t>
      </w:r>
      <w:r>
        <w:rPr>
          <w:rFonts w:hint="eastAsia" w:ascii="仿宋" w:hAnsi="仿宋" w:eastAsia="仿宋" w:cs="仿宋"/>
          <w:spacing w:val="-2"/>
          <w:sz w:val="32"/>
          <w:szCs w:val="32"/>
        </w:rPr>
        <w:t>为完成事业发展目标而发生的支出，</w:t>
      </w:r>
      <w:r>
        <w:rPr>
          <w:rFonts w:hint="eastAsia" w:ascii="仿宋" w:hAnsi="仿宋" w:eastAsia="仿宋" w:cs="仿宋"/>
          <w:spacing w:val="-2"/>
          <w:sz w:val="32"/>
          <w:szCs w:val="32"/>
          <w:lang w:val="en-US" w:eastAsia="zh-CN"/>
        </w:rPr>
        <w:t>主要为</w:t>
      </w:r>
      <w:r>
        <w:rPr>
          <w:rFonts w:hint="eastAsia" w:ascii="仿宋" w:hAnsi="仿宋" w:eastAsia="仿宋" w:cs="仿宋"/>
          <w:spacing w:val="-2"/>
          <w:sz w:val="32"/>
          <w:szCs w:val="32"/>
          <w:highlight w:val="none"/>
          <w:lang w:val="en-US" w:eastAsia="zh-CN"/>
        </w:rPr>
        <w:t>专项资金</w:t>
      </w:r>
      <w:r>
        <w:rPr>
          <w:rFonts w:hint="eastAsia" w:ascii="仿宋" w:hAnsi="仿宋" w:eastAsia="仿宋" w:cs="仿宋"/>
          <w:spacing w:val="-2"/>
          <w:sz w:val="32"/>
          <w:szCs w:val="32"/>
          <w:highlight w:val="none"/>
        </w:rPr>
        <w:t>。20</w:t>
      </w:r>
      <w:r>
        <w:rPr>
          <w:rFonts w:hint="eastAsia" w:ascii="仿宋" w:hAnsi="仿宋" w:eastAsia="仿宋" w:cs="仿宋"/>
          <w:spacing w:val="-2"/>
          <w:sz w:val="32"/>
          <w:szCs w:val="32"/>
          <w:highlight w:val="none"/>
          <w:lang w:val="en-US" w:eastAsia="zh-CN"/>
        </w:rPr>
        <w:t>24</w:t>
      </w:r>
      <w:r>
        <w:rPr>
          <w:rFonts w:hint="eastAsia" w:ascii="仿宋" w:hAnsi="仿宋" w:eastAsia="仿宋" w:cs="仿宋"/>
          <w:spacing w:val="-2"/>
          <w:sz w:val="32"/>
          <w:szCs w:val="32"/>
          <w:highlight w:val="none"/>
        </w:rPr>
        <w:t>年</w:t>
      </w:r>
      <w:r>
        <w:rPr>
          <w:rFonts w:hint="eastAsia" w:ascii="仿宋" w:hAnsi="仿宋" w:eastAsia="仿宋" w:cs="仿宋"/>
          <w:spacing w:val="-2"/>
          <w:sz w:val="32"/>
          <w:szCs w:val="32"/>
          <w:highlight w:val="none"/>
          <w:lang w:val="en-US" w:eastAsia="zh-CN"/>
        </w:rPr>
        <w:t>一般公共预算</w:t>
      </w:r>
      <w:r>
        <w:rPr>
          <w:rFonts w:hint="eastAsia" w:ascii="仿宋" w:hAnsi="仿宋" w:eastAsia="仿宋" w:cs="仿宋"/>
          <w:spacing w:val="-2"/>
          <w:sz w:val="32"/>
          <w:szCs w:val="32"/>
          <w:highlight w:val="none"/>
        </w:rPr>
        <w:t>项目支出</w:t>
      </w:r>
      <w:r>
        <w:rPr>
          <w:rFonts w:hint="eastAsia" w:ascii="仿宋" w:hAnsi="仿宋" w:eastAsia="仿宋" w:cs="仿宋"/>
          <w:spacing w:val="-2"/>
          <w:sz w:val="32"/>
          <w:szCs w:val="32"/>
          <w:highlight w:val="none"/>
          <w:lang w:val="en-US" w:eastAsia="zh-CN"/>
        </w:rPr>
        <w:t>决算数</w:t>
      </w:r>
      <w:r>
        <w:rPr>
          <w:rFonts w:hint="eastAsia" w:ascii="仿宋" w:hAnsi="仿宋" w:eastAsia="仿宋" w:cs="仿宋"/>
          <w:color w:val="auto"/>
          <w:spacing w:val="-2"/>
          <w:kern w:val="2"/>
          <w:sz w:val="32"/>
          <w:szCs w:val="32"/>
          <w:lang w:val="en-US" w:eastAsia="zh-CN" w:bidi="ar-SA"/>
        </w:rPr>
        <w:t>173.71</w:t>
      </w:r>
      <w:r>
        <w:rPr>
          <w:rFonts w:hint="eastAsia" w:ascii="仿宋" w:hAnsi="仿宋" w:eastAsia="仿宋" w:cs="仿宋"/>
          <w:spacing w:val="-2"/>
          <w:sz w:val="32"/>
          <w:szCs w:val="32"/>
          <w:highlight w:val="none"/>
        </w:rPr>
        <w:t>万元，</w:t>
      </w:r>
      <w:r>
        <w:rPr>
          <w:rFonts w:hint="eastAsia" w:ascii="仿宋" w:hAnsi="仿宋" w:eastAsia="仿宋" w:cs="仿宋"/>
          <w:spacing w:val="-2"/>
          <w:sz w:val="32"/>
          <w:szCs w:val="32"/>
          <w:highlight w:val="none"/>
          <w:lang w:val="en-US" w:eastAsia="zh-CN"/>
        </w:rPr>
        <w:t>其中不动产登记责任保险10万元、档案整理服务费8.58万元、三级等保复评项目和安全防护8万元、市本级信息系统维护费14.28万元、优化营商环境工作经费87.85万元、办公设备采购经费45万元。2024年一般公共预算项目支出</w:t>
      </w:r>
      <w:r>
        <w:rPr>
          <w:rFonts w:hint="eastAsia" w:ascii="仿宋" w:hAnsi="仿宋" w:eastAsia="仿宋" w:cs="仿宋"/>
          <w:spacing w:val="-2"/>
          <w:sz w:val="32"/>
          <w:szCs w:val="32"/>
          <w:highlight w:val="none"/>
          <w:lang w:eastAsia="zh-CN"/>
        </w:rPr>
        <w:t>较</w:t>
      </w:r>
      <w:r>
        <w:rPr>
          <w:rFonts w:hint="eastAsia" w:ascii="仿宋" w:hAnsi="仿宋" w:eastAsia="仿宋" w:cs="仿宋"/>
          <w:spacing w:val="-2"/>
          <w:sz w:val="32"/>
          <w:szCs w:val="32"/>
          <w:highlight w:val="none"/>
        </w:rPr>
        <w:t>上年</w:t>
      </w:r>
      <w:r>
        <w:rPr>
          <w:rFonts w:hint="eastAsia" w:ascii="仿宋" w:hAnsi="仿宋" w:eastAsia="仿宋" w:cs="仿宋"/>
          <w:spacing w:val="-2"/>
          <w:sz w:val="32"/>
          <w:szCs w:val="32"/>
          <w:highlight w:val="none"/>
          <w:lang w:val="en-US" w:eastAsia="zh-CN"/>
        </w:rPr>
        <w:t>数减少29.73万元</w:t>
      </w:r>
      <w:r>
        <w:rPr>
          <w:rFonts w:hint="eastAsia" w:ascii="仿宋" w:hAnsi="仿宋" w:eastAsia="仿宋" w:cs="仿宋"/>
          <w:spacing w:val="-2"/>
          <w:sz w:val="32"/>
          <w:szCs w:val="32"/>
          <w:highlight w:val="none"/>
          <w:lang w:eastAsia="zh-CN"/>
        </w:rPr>
        <w:t>，</w:t>
      </w:r>
      <w:r>
        <w:rPr>
          <w:rFonts w:hint="eastAsia" w:ascii="仿宋" w:hAnsi="仿宋" w:eastAsia="仿宋" w:cs="仿宋"/>
          <w:spacing w:val="-2"/>
          <w:sz w:val="32"/>
          <w:szCs w:val="32"/>
          <w:highlight w:val="none"/>
          <w:lang w:val="en-US" w:eastAsia="zh-CN"/>
        </w:rPr>
        <w:t>降低14.61%</w:t>
      </w:r>
      <w:r>
        <w:rPr>
          <w:rFonts w:hint="eastAsia" w:ascii="仿宋" w:hAnsi="仿宋" w:eastAsia="仿宋" w:cs="仿宋"/>
          <w:spacing w:val="-2"/>
          <w:sz w:val="32"/>
          <w:szCs w:val="32"/>
          <w:highlight w:val="none"/>
        </w:rPr>
        <w:t>，</w:t>
      </w:r>
      <w:r>
        <w:rPr>
          <w:rFonts w:hint="eastAsia" w:ascii="仿宋" w:hAnsi="仿宋" w:eastAsia="仿宋" w:cs="仿宋"/>
          <w:spacing w:val="-2"/>
          <w:sz w:val="32"/>
          <w:szCs w:val="32"/>
          <w:highlight w:val="none"/>
          <w:lang w:val="en-US" w:eastAsia="zh-CN"/>
        </w:rPr>
        <w:t>主要是</w:t>
      </w:r>
      <w:r>
        <w:rPr>
          <w:rFonts w:hint="eastAsia" w:ascii="仿宋" w:hAnsi="仿宋" w:eastAsia="仿宋" w:cs="仿宋"/>
          <w:color w:val="auto"/>
          <w:sz w:val="32"/>
          <w:szCs w:val="32"/>
          <w:highlight w:val="none"/>
          <w:lang w:val="en-US" w:eastAsia="zh-CN"/>
        </w:rPr>
        <w:t>优化营商环境工作经费</w:t>
      </w:r>
      <w:r>
        <w:rPr>
          <w:rFonts w:hint="eastAsia" w:ascii="仿宋" w:hAnsi="仿宋" w:eastAsia="仿宋" w:cs="仿宋"/>
          <w:spacing w:val="-2"/>
          <w:sz w:val="32"/>
          <w:szCs w:val="32"/>
          <w:highlight w:val="none"/>
          <w:lang w:val="en-US" w:eastAsia="zh-CN"/>
        </w:rPr>
        <w:t>支出较上年有所减少。</w:t>
      </w:r>
    </w:p>
    <w:p w14:paraId="064BB092">
      <w:pPr>
        <w:keepNext w:val="0"/>
        <w:keepLines w:val="0"/>
        <w:pageBreakBefore w:val="0"/>
        <w:widowControl/>
        <w:shd w:val="clear" w:color="auto" w:fill="FFFFFF"/>
        <w:kinsoku/>
        <w:wordWrap/>
        <w:overflowPunct/>
        <w:topLinePunct w:val="0"/>
        <w:autoSpaceDE/>
        <w:autoSpaceDN/>
        <w:bidi w:val="0"/>
        <w:adjustRightInd/>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3.项目资金管理情况分析</w:t>
      </w:r>
    </w:p>
    <w:p w14:paraId="6E6F65A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规范项目资金的使用，提高资金使用效益，加强资金管理，根据国家政府采购法和怀化市政府采购目录及标准，严格按照政府采购规定签订合同。依照财务管理制度和项目实施进度实行收支，做到项目资金专款专用。</w:t>
      </w:r>
    </w:p>
    <w:p w14:paraId="47AF94B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09674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（一）项目组织情况分析</w:t>
      </w:r>
    </w:p>
    <w:p w14:paraId="5FB0395D">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根据政府采购内部控制管理制度规定我中心成立政府采购领导小组，主任汤燕丽任组长，副主任李俊为纪检监察员，副主任杨向华、陈静，各科室科长为成员。采购小组集体决议会议是政府采购的决策机构，采购管理我中心采购预算编制、采购组织形式及采购方式、采购执行、验收、备案、监督检查等环节的全面管控。负责项目实施过程中的重大事件的决策；根据项目的进度、质量、技术、资源、风险等实行宏观监控；负责组建验收小组，主持验收工作。</w:t>
      </w:r>
    </w:p>
    <w:p w14:paraId="502C98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（二）项目管理情况分析</w:t>
      </w:r>
    </w:p>
    <w:p w14:paraId="5988CD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在实施项目过程中，我中心严格按照项目管理制度及相关文件要求开展工作，建立健全管理制度，严格履行审批手续，</w:t>
      </w:r>
      <w:r>
        <w:rPr>
          <w:rFonts w:hint="eastAsia" w:ascii="仿宋" w:hAnsi="仿宋" w:eastAsia="仿宋" w:cs="仿宋"/>
          <w:bCs w:val="0"/>
          <w:i w:val="0"/>
          <w:iCs w:val="0"/>
          <w:caps w:val="0"/>
          <w:snapToGrid w:val="0"/>
          <w:color w:val="000000"/>
          <w:spacing w:val="0"/>
          <w:kern w:val="0"/>
          <w:sz w:val="32"/>
          <w:szCs w:val="32"/>
          <w:shd w:val="clear" w:fill="FFFFFF"/>
          <w:lang w:val="en-US" w:eastAsia="zh-CN" w:bidi="ar"/>
        </w:rPr>
        <w:t>保障项目顺利实施</w:t>
      </w:r>
      <w:r>
        <w:rPr>
          <w:rFonts w:hint="eastAsia" w:ascii="仿宋" w:hAnsi="仿宋" w:eastAsia="仿宋" w:cs="仿宋"/>
          <w:color w:val="auto"/>
          <w:sz w:val="32"/>
          <w:szCs w:val="32"/>
          <w:highlight w:val="none"/>
          <w:lang w:val="en-US" w:eastAsia="zh-CN"/>
        </w:rPr>
        <w:t>。项目实施遵守相关法律法规和相关管理规定，合同书、验收资料齐全并及时归档。</w:t>
      </w:r>
    </w:p>
    <w:p w14:paraId="6681E1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1D62010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强化国有资产管理的责任意识，明确在申购、采购、使用、处置等环节的权责。</w:t>
      </w:r>
    </w:p>
    <w:p w14:paraId="7E8FC5B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严格执行《怀化市财政局 怀化市机关事务管理局关于印发&lt;怀化市市直行政事业单位国有资产配置管理暂行办法&gt;&lt;怀化市市直行政事业单位国有资产处置管理暂行办法&gt;的通知》（怀财资〔2022〕136号）有关规定，规范资产配置和处置管理，一是严格按照预算管理规定和市财政局批复的预算配置资产，资产配置符合履行工作职能的需求。二是严格执行资产处置管理的有关规定，履行审批手续，未经批准，不得自行处置。</w:t>
      </w:r>
    </w:p>
    <w:p w14:paraId="74C1129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扎实开展资产清查、盘点等日常资产管理工作，确保账实相符、账账相符。</w:t>
      </w:r>
    </w:p>
    <w:p w14:paraId="7C2AACF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5CD672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2024年度政府性基金预算财政拨款收入35.45万元；年初结转和结余0万元；支出35.45万元，其中基本支出35.45万元，项目支出0万元；年末结转和结余0万元。</w:t>
      </w:r>
    </w:p>
    <w:p w14:paraId="3488626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14:paraId="0FABDDEB">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 w:hAnsi="仿宋" w:eastAsia="仿宋" w:cs="Times New Roman"/>
          <w:spacing w:val="-2"/>
          <w:kern w:val="2"/>
          <w:sz w:val="32"/>
          <w:szCs w:val="32"/>
          <w:lang w:val="en-US" w:eastAsia="zh-CN" w:bidi="ar-SA"/>
        </w:rPr>
        <w:t>202</w:t>
      </w:r>
      <w:r>
        <w:rPr>
          <w:rFonts w:hint="eastAsia" w:ascii="仿宋" w:hAnsi="仿宋" w:eastAsia="仿宋" w:cs="Times New Roman"/>
          <w:spacing w:val="-2"/>
          <w:kern w:val="2"/>
          <w:sz w:val="32"/>
          <w:szCs w:val="32"/>
          <w:lang w:val="en-US" w:eastAsia="zh-CN" w:bidi="ar-SA"/>
        </w:rPr>
        <w:t>4年我中心无国有资本经营预算支出。</w:t>
      </w:r>
    </w:p>
    <w:p w14:paraId="3844A89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14:paraId="5E933EB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 w:hAnsi="仿宋" w:eastAsia="仿宋" w:cs="Times New Roman"/>
          <w:spacing w:val="-2"/>
          <w:kern w:val="2"/>
          <w:sz w:val="32"/>
          <w:szCs w:val="32"/>
          <w:lang w:val="en-US" w:eastAsia="zh-CN" w:bidi="ar-SA"/>
        </w:rPr>
        <w:t>202</w:t>
      </w:r>
      <w:r>
        <w:rPr>
          <w:rFonts w:hint="eastAsia" w:ascii="仿宋" w:hAnsi="仿宋" w:eastAsia="仿宋" w:cs="Times New Roman"/>
          <w:spacing w:val="-2"/>
          <w:kern w:val="2"/>
          <w:sz w:val="32"/>
          <w:szCs w:val="32"/>
          <w:lang w:val="en-US" w:eastAsia="zh-CN" w:bidi="ar-SA"/>
        </w:rPr>
        <w:t>4年我中心无社会保险基金预算支出。</w:t>
      </w:r>
    </w:p>
    <w:p w14:paraId="387ACBF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4233E8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（一）综合评价结论</w:t>
      </w:r>
    </w:p>
    <w:p w14:paraId="2FDB59B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按照怀财绩〔2025〕32号要求，我中心从部门整体运行成本、管理效率和履职效能三个维度进行自评，通过对本部门在预算编制、预算执行、信息公开、绩效管理、政府采购、资产管理等方面以及工作任务完成情况进行分析，2024年整体支出绩效自评得分97.90分。</w:t>
      </w:r>
    </w:p>
    <w:p w14:paraId="010AAB5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从自评情况看，怀化市不动产登记中心2024年度部门履职整体完成情况良好，部门总体预算绩效目标任务与部门履职、年度工作任务相符；年度绩效目标设置合理、明确，绩效指标清晰、细化、可衡量；预算编制较为完整规范；年度工作计划安排合理，人员合理控制，“三公经费”得以压减控制，政府采购合法合规，预算管理制度健全，资金使用合规，预决算信息按规定进行公开。</w:t>
      </w:r>
    </w:p>
    <w:p w14:paraId="56D27D3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（二）</w:t>
      </w:r>
      <w:r>
        <w:rPr>
          <w:rFonts w:hint="default" w:ascii="仿宋" w:hAnsi="仿宋" w:eastAsia="仿宋" w:cs="仿宋"/>
          <w:color w:val="auto"/>
          <w:kern w:val="2"/>
          <w:sz w:val="32"/>
          <w:szCs w:val="32"/>
          <w:highlight w:val="none"/>
          <w:lang w:val="en-US" w:eastAsia="zh-CN" w:bidi="ar-SA"/>
        </w:rPr>
        <w:t>运行成本</w:t>
      </w:r>
    </w:p>
    <w:p w14:paraId="2163045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从运行成本来看，我中心2024年在职人员、公用经费及“</w:t>
      </w:r>
      <w:r>
        <w:rPr>
          <w:rFonts w:hint="default" w:ascii="仿宋" w:hAnsi="仿宋" w:eastAsia="仿宋" w:cs="仿宋"/>
          <w:color w:val="auto"/>
          <w:kern w:val="2"/>
          <w:sz w:val="32"/>
          <w:szCs w:val="32"/>
          <w:highlight w:val="none"/>
          <w:lang w:val="en-US" w:eastAsia="zh-CN" w:bidi="ar-SA"/>
        </w:rPr>
        <w:t>三公经费</w:t>
      </w:r>
      <w:r>
        <w:rPr>
          <w:rFonts w:hint="eastAsia" w:ascii="仿宋" w:hAnsi="仿宋" w:eastAsia="仿宋" w:cs="仿宋"/>
          <w:color w:val="auto"/>
          <w:kern w:val="2"/>
          <w:sz w:val="32"/>
          <w:szCs w:val="32"/>
          <w:highlight w:val="none"/>
          <w:lang w:val="en-US" w:eastAsia="zh-CN" w:bidi="ar-SA"/>
        </w:rPr>
        <w:t>”控制情况较好，具体情况如下：</w:t>
      </w:r>
    </w:p>
    <w:p w14:paraId="3238FEE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1.财政供养人员控制率。2024年我中心编制数113人，实际在职人员数105人，在职人员控制率为92.92%。</w:t>
      </w:r>
    </w:p>
    <w:p w14:paraId="2E13DD7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w:t>
      </w:r>
      <w:r>
        <w:rPr>
          <w:rFonts w:hint="default" w:ascii="仿宋" w:hAnsi="仿宋" w:eastAsia="仿宋" w:cs="仿宋"/>
          <w:color w:val="auto"/>
          <w:kern w:val="2"/>
          <w:sz w:val="32"/>
          <w:szCs w:val="32"/>
          <w:highlight w:val="none"/>
          <w:lang w:val="en-US" w:eastAsia="zh-CN" w:bidi="ar-SA"/>
        </w:rPr>
        <w:t>公用经费控制率。202</w:t>
      </w:r>
      <w:r>
        <w:rPr>
          <w:rFonts w:hint="eastAsia" w:ascii="仿宋" w:hAnsi="仿宋" w:eastAsia="仿宋" w:cs="仿宋"/>
          <w:color w:val="auto"/>
          <w:kern w:val="2"/>
          <w:sz w:val="32"/>
          <w:szCs w:val="32"/>
          <w:highlight w:val="none"/>
          <w:lang w:val="en-US" w:eastAsia="zh-CN" w:bidi="ar-SA"/>
        </w:rPr>
        <w:t>4</w:t>
      </w:r>
      <w:r>
        <w:rPr>
          <w:rFonts w:hint="default" w:ascii="仿宋" w:hAnsi="仿宋" w:eastAsia="仿宋" w:cs="仿宋"/>
          <w:color w:val="auto"/>
          <w:kern w:val="2"/>
          <w:sz w:val="32"/>
          <w:szCs w:val="32"/>
          <w:highlight w:val="none"/>
          <w:lang w:val="en-US" w:eastAsia="zh-CN" w:bidi="ar-SA"/>
        </w:rPr>
        <w:t>年实际支出公用经费总额247.30万元，预算安排公用经费总额254.40万元，公用经费控制率</w:t>
      </w:r>
      <w:r>
        <w:rPr>
          <w:rFonts w:hint="eastAsia" w:ascii="仿宋" w:hAnsi="仿宋" w:eastAsia="仿宋" w:cs="仿宋"/>
          <w:color w:val="auto"/>
          <w:kern w:val="2"/>
          <w:sz w:val="32"/>
          <w:szCs w:val="32"/>
          <w:highlight w:val="none"/>
          <w:lang w:val="en-US" w:eastAsia="zh-CN" w:bidi="ar-SA"/>
        </w:rPr>
        <w:t>97.21</w:t>
      </w:r>
      <w:r>
        <w:rPr>
          <w:rFonts w:hint="default" w:ascii="仿宋" w:hAnsi="仿宋" w:eastAsia="仿宋" w:cs="仿宋"/>
          <w:color w:val="auto"/>
          <w:kern w:val="2"/>
          <w:sz w:val="32"/>
          <w:szCs w:val="32"/>
          <w:highlight w:val="none"/>
          <w:lang w:val="en-US" w:eastAsia="zh-CN" w:bidi="ar-SA"/>
        </w:rPr>
        <w:t>%。</w:t>
      </w:r>
      <w:r>
        <w:rPr>
          <w:rFonts w:hint="default" w:ascii="仿宋" w:hAnsi="仿宋" w:eastAsia="仿宋" w:cs="仿宋"/>
          <w:color w:val="auto"/>
          <w:kern w:val="2"/>
          <w:sz w:val="32"/>
          <w:szCs w:val="32"/>
          <w:highlight w:val="none"/>
          <w:lang w:val="en-US" w:eastAsia="zh-CN" w:bidi="ar-SA"/>
        </w:rPr>
        <w:tab/>
      </w:r>
      <w:r>
        <w:rPr>
          <w:rFonts w:hint="default" w:ascii="仿宋" w:hAnsi="仿宋" w:eastAsia="仿宋" w:cs="仿宋"/>
          <w:color w:val="auto"/>
          <w:kern w:val="2"/>
          <w:sz w:val="32"/>
          <w:szCs w:val="32"/>
          <w:highlight w:val="none"/>
          <w:lang w:val="en-US" w:eastAsia="zh-CN" w:bidi="ar-SA"/>
        </w:rPr>
        <w:t>　</w:t>
      </w:r>
    </w:p>
    <w:p w14:paraId="3FD5646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3.</w:t>
      </w:r>
      <w:r>
        <w:rPr>
          <w:rFonts w:hint="default" w:ascii="仿宋" w:hAnsi="仿宋" w:eastAsia="仿宋" w:cs="仿宋"/>
          <w:color w:val="auto"/>
          <w:kern w:val="2"/>
          <w:sz w:val="32"/>
          <w:szCs w:val="32"/>
          <w:highlight w:val="none"/>
          <w:lang w:val="en-US" w:eastAsia="zh-CN" w:bidi="ar-SA"/>
        </w:rPr>
        <w:t>“三公经费”控制率。</w:t>
      </w:r>
      <w:r>
        <w:rPr>
          <w:rFonts w:hint="eastAsia" w:ascii="仿宋" w:hAnsi="仿宋" w:eastAsia="仿宋" w:cs="仿宋"/>
          <w:color w:val="auto"/>
          <w:kern w:val="2"/>
          <w:sz w:val="32"/>
          <w:szCs w:val="32"/>
          <w:highlight w:val="none"/>
          <w:lang w:val="en-US" w:eastAsia="zh-CN" w:bidi="ar-SA"/>
        </w:rPr>
        <w:t>本年度</w:t>
      </w:r>
      <w:r>
        <w:rPr>
          <w:rFonts w:hint="default" w:ascii="仿宋" w:hAnsi="仿宋" w:eastAsia="仿宋" w:cs="仿宋"/>
          <w:color w:val="auto"/>
          <w:kern w:val="2"/>
          <w:sz w:val="32"/>
          <w:szCs w:val="32"/>
          <w:highlight w:val="none"/>
          <w:lang w:val="en-US" w:eastAsia="zh-CN" w:bidi="ar-SA"/>
        </w:rPr>
        <w:t>“三公经费”实际支出数为</w:t>
      </w:r>
      <w:r>
        <w:rPr>
          <w:rFonts w:hint="eastAsia" w:ascii="仿宋" w:hAnsi="仿宋" w:eastAsia="仿宋" w:cs="仿宋"/>
          <w:color w:val="auto"/>
          <w:kern w:val="2"/>
          <w:sz w:val="32"/>
          <w:szCs w:val="32"/>
          <w:highlight w:val="none"/>
          <w:lang w:val="en-US" w:eastAsia="zh-CN" w:bidi="ar-SA"/>
        </w:rPr>
        <w:t>3.30</w:t>
      </w:r>
      <w:r>
        <w:rPr>
          <w:rFonts w:hint="default" w:ascii="仿宋" w:hAnsi="仿宋" w:eastAsia="仿宋" w:cs="仿宋"/>
          <w:color w:val="auto"/>
          <w:kern w:val="2"/>
          <w:sz w:val="32"/>
          <w:szCs w:val="32"/>
          <w:highlight w:val="none"/>
          <w:lang w:val="en-US" w:eastAsia="zh-CN" w:bidi="ar-SA"/>
        </w:rPr>
        <w:t>万元，“三公经费”预算控制数为</w:t>
      </w:r>
      <w:r>
        <w:rPr>
          <w:rFonts w:hint="eastAsia" w:ascii="仿宋" w:hAnsi="仿宋" w:eastAsia="仿宋" w:cs="仿宋"/>
          <w:color w:val="auto"/>
          <w:kern w:val="2"/>
          <w:sz w:val="32"/>
          <w:szCs w:val="32"/>
          <w:highlight w:val="none"/>
          <w:lang w:val="en-US" w:eastAsia="zh-CN" w:bidi="ar-SA"/>
        </w:rPr>
        <w:t>3.30</w:t>
      </w:r>
      <w:r>
        <w:rPr>
          <w:rFonts w:hint="default" w:ascii="仿宋" w:hAnsi="仿宋" w:eastAsia="仿宋" w:cs="仿宋"/>
          <w:color w:val="auto"/>
          <w:kern w:val="2"/>
          <w:sz w:val="32"/>
          <w:szCs w:val="32"/>
          <w:highlight w:val="none"/>
          <w:lang w:val="en-US" w:eastAsia="zh-CN" w:bidi="ar-SA"/>
        </w:rPr>
        <w:t>万元，“三公经费”控制率为</w:t>
      </w:r>
      <w:r>
        <w:rPr>
          <w:rFonts w:hint="eastAsia" w:ascii="仿宋" w:hAnsi="仿宋" w:eastAsia="仿宋" w:cs="仿宋"/>
          <w:color w:val="auto"/>
          <w:kern w:val="2"/>
          <w:sz w:val="32"/>
          <w:szCs w:val="32"/>
          <w:highlight w:val="none"/>
          <w:lang w:val="en-US" w:eastAsia="zh-CN" w:bidi="ar-SA"/>
        </w:rPr>
        <w:t>100</w:t>
      </w:r>
      <w:r>
        <w:rPr>
          <w:rFonts w:hint="default" w:ascii="仿宋" w:hAnsi="仿宋" w:eastAsia="仿宋" w:cs="仿宋"/>
          <w:color w:val="auto"/>
          <w:kern w:val="2"/>
          <w:sz w:val="32"/>
          <w:szCs w:val="32"/>
          <w:highlight w:val="none"/>
          <w:lang w:val="en-US" w:eastAsia="zh-CN" w:bidi="ar-SA"/>
        </w:rPr>
        <w:t>%。</w:t>
      </w:r>
    </w:p>
    <w:p w14:paraId="280BC2D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4.“三公经费”变动率。本年度“三公经费”预算数3.30万元，上年度“三公经费”预算数9.15万元，“三公经费”变动率为-63.93%。</w:t>
      </w:r>
    </w:p>
    <w:p w14:paraId="7CFD2E1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（三）</w:t>
      </w:r>
      <w:r>
        <w:rPr>
          <w:rFonts w:hint="default" w:ascii="仿宋" w:hAnsi="仿宋" w:eastAsia="仿宋" w:cs="仿宋"/>
          <w:color w:val="auto"/>
          <w:kern w:val="2"/>
          <w:sz w:val="32"/>
          <w:szCs w:val="32"/>
          <w:highlight w:val="none"/>
          <w:lang w:val="en-US" w:eastAsia="zh-CN" w:bidi="ar-SA"/>
        </w:rPr>
        <w:t>管理效率</w:t>
      </w:r>
    </w:p>
    <w:p w14:paraId="3EDDFE1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1.预算编制</w:t>
      </w:r>
    </w:p>
    <w:p w14:paraId="290FF21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我中心坚持围绕部门职责和管理需要，科学谋划预算资金安排，依据规定程序和要求，及时完成部门预算编制申报，同时合理设定入库项目绩效指标、年度目标值，科学构建部门整体支出绩效指标体系，提高财政资金配置效益。</w:t>
      </w:r>
    </w:p>
    <w:p w14:paraId="402C460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p>
    <w:p w14:paraId="6A7D815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2.预算执行</w:t>
      </w:r>
    </w:p>
    <w:p w14:paraId="3EF1AB2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部门预算经批复后，跟踪预算执行进度，及时组织收入，科学合理安排支出；严格执行项目支出预算，积极组织项目实施；加强对预算执行过程的控制和结果的反馈，对预算执行差异及时分析成因和影响，并及时向领导和相关科室进行反馈，以采取措施纠正执行偏差，促进预算目标的全面完成。2024年年初预算数2270.35万元，调整后全年预算数2608.08万元，实际支出2060.78万元，预算执行率79.02%。</w:t>
      </w:r>
    </w:p>
    <w:p w14:paraId="7632EE4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3.预决算信息公开性</w:t>
      </w:r>
    </w:p>
    <w:p w14:paraId="00B3319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严格按照市财政局对预算和决算公开的有关要求，认真做好财政预决算信息公开工作，进一步提升部门预算执行透明度。我</w:t>
      </w:r>
      <w:r>
        <w:rPr>
          <w:rFonts w:hint="eastAsia" w:ascii="仿宋" w:hAnsi="仿宋" w:eastAsia="仿宋" w:cs="仿宋"/>
          <w:color w:val="auto"/>
          <w:kern w:val="2"/>
          <w:sz w:val="32"/>
          <w:szCs w:val="32"/>
          <w:highlight w:val="none"/>
          <w:lang w:val="en-US" w:eastAsia="zh-CN" w:bidi="ar-SA"/>
        </w:rPr>
        <w:t>中心</w:t>
      </w:r>
      <w:r>
        <w:rPr>
          <w:rFonts w:hint="default" w:ascii="仿宋" w:hAnsi="仿宋" w:eastAsia="仿宋" w:cs="仿宋"/>
          <w:color w:val="auto"/>
          <w:kern w:val="2"/>
          <w:sz w:val="32"/>
          <w:szCs w:val="32"/>
          <w:highlight w:val="none"/>
          <w:lang w:val="en-US" w:eastAsia="zh-CN" w:bidi="ar-SA"/>
        </w:rPr>
        <w:t>已按要求于202</w:t>
      </w:r>
      <w:r>
        <w:rPr>
          <w:rFonts w:hint="eastAsia" w:ascii="仿宋" w:hAnsi="仿宋" w:eastAsia="仿宋" w:cs="仿宋"/>
          <w:color w:val="auto"/>
          <w:kern w:val="2"/>
          <w:sz w:val="32"/>
          <w:szCs w:val="32"/>
          <w:highlight w:val="none"/>
          <w:lang w:val="en-US" w:eastAsia="zh-CN" w:bidi="ar-SA"/>
        </w:rPr>
        <w:t>4</w:t>
      </w:r>
      <w:r>
        <w:rPr>
          <w:rFonts w:hint="default" w:ascii="仿宋" w:hAnsi="仿宋" w:eastAsia="仿宋" w:cs="仿宋"/>
          <w:color w:val="auto"/>
          <w:kern w:val="2"/>
          <w:sz w:val="32"/>
          <w:szCs w:val="32"/>
          <w:highlight w:val="none"/>
          <w:lang w:val="en-US" w:eastAsia="zh-CN" w:bidi="ar-SA"/>
        </w:rPr>
        <w:t>年</w:t>
      </w:r>
      <w:r>
        <w:rPr>
          <w:rFonts w:hint="eastAsia" w:ascii="仿宋" w:hAnsi="仿宋" w:eastAsia="仿宋" w:cs="仿宋"/>
          <w:color w:val="auto"/>
          <w:kern w:val="2"/>
          <w:sz w:val="32"/>
          <w:szCs w:val="32"/>
          <w:highlight w:val="none"/>
          <w:lang w:val="en-US" w:eastAsia="zh-CN" w:bidi="ar-SA"/>
        </w:rPr>
        <w:t>1</w:t>
      </w:r>
      <w:r>
        <w:rPr>
          <w:rFonts w:hint="default" w:ascii="仿宋" w:hAnsi="仿宋" w:eastAsia="仿宋" w:cs="仿宋"/>
          <w:color w:val="auto"/>
          <w:kern w:val="2"/>
          <w:sz w:val="32"/>
          <w:szCs w:val="32"/>
          <w:highlight w:val="none"/>
          <w:lang w:val="en-US" w:eastAsia="zh-CN" w:bidi="ar-SA"/>
        </w:rPr>
        <w:t>月</w:t>
      </w:r>
      <w:r>
        <w:rPr>
          <w:rFonts w:hint="eastAsia" w:ascii="仿宋" w:hAnsi="仿宋" w:eastAsia="仿宋" w:cs="仿宋"/>
          <w:color w:val="auto"/>
          <w:kern w:val="2"/>
          <w:sz w:val="32"/>
          <w:szCs w:val="32"/>
          <w:highlight w:val="none"/>
          <w:lang w:val="en-US" w:eastAsia="zh-CN" w:bidi="ar-SA"/>
        </w:rPr>
        <w:t>25</w:t>
      </w:r>
      <w:r>
        <w:rPr>
          <w:rFonts w:hint="default" w:ascii="仿宋" w:hAnsi="仿宋" w:eastAsia="仿宋" w:cs="仿宋"/>
          <w:color w:val="auto"/>
          <w:kern w:val="2"/>
          <w:sz w:val="32"/>
          <w:szCs w:val="32"/>
          <w:highlight w:val="none"/>
          <w:lang w:val="en-US" w:eastAsia="zh-CN" w:bidi="ar-SA"/>
        </w:rPr>
        <w:t>日在</w:t>
      </w:r>
      <w:r>
        <w:rPr>
          <w:rFonts w:hint="eastAsia" w:ascii="仿宋" w:hAnsi="仿宋" w:eastAsia="仿宋" w:cs="仿宋"/>
          <w:color w:val="auto"/>
          <w:kern w:val="2"/>
          <w:sz w:val="32"/>
          <w:szCs w:val="32"/>
          <w:highlight w:val="none"/>
          <w:lang w:val="en-US" w:eastAsia="zh-CN" w:bidi="ar-SA"/>
        </w:rPr>
        <w:t>财政</w:t>
      </w:r>
      <w:r>
        <w:rPr>
          <w:rFonts w:hint="default" w:ascii="仿宋" w:hAnsi="仿宋" w:eastAsia="仿宋" w:cs="仿宋"/>
          <w:color w:val="auto"/>
          <w:kern w:val="2"/>
          <w:sz w:val="32"/>
          <w:szCs w:val="32"/>
          <w:highlight w:val="none"/>
          <w:lang w:val="en-US" w:eastAsia="zh-CN" w:bidi="ar-SA"/>
        </w:rPr>
        <w:t>网站公开部门预算信息</w:t>
      </w:r>
      <w:r>
        <w:rPr>
          <w:rFonts w:hint="eastAsia" w:ascii="仿宋" w:hAnsi="仿宋" w:eastAsia="仿宋" w:cs="仿宋"/>
          <w:color w:val="auto"/>
          <w:kern w:val="2"/>
          <w:sz w:val="32"/>
          <w:szCs w:val="32"/>
          <w:highlight w:val="none"/>
          <w:lang w:val="en-US" w:eastAsia="zh-CN" w:bidi="ar-SA"/>
        </w:rPr>
        <w:t>，于</w:t>
      </w:r>
      <w:r>
        <w:rPr>
          <w:rFonts w:hint="default" w:ascii="仿宋" w:hAnsi="仿宋" w:eastAsia="仿宋" w:cs="仿宋"/>
          <w:color w:val="auto"/>
          <w:kern w:val="2"/>
          <w:sz w:val="32"/>
          <w:szCs w:val="32"/>
          <w:highlight w:val="none"/>
          <w:lang w:val="en-US" w:eastAsia="zh-CN" w:bidi="ar-SA"/>
        </w:rPr>
        <w:t>202</w:t>
      </w:r>
      <w:r>
        <w:rPr>
          <w:rFonts w:hint="eastAsia" w:ascii="仿宋" w:hAnsi="仿宋" w:eastAsia="仿宋" w:cs="仿宋"/>
          <w:color w:val="auto"/>
          <w:kern w:val="2"/>
          <w:sz w:val="32"/>
          <w:szCs w:val="32"/>
          <w:highlight w:val="none"/>
          <w:lang w:val="en-US" w:eastAsia="zh-CN" w:bidi="ar-SA"/>
        </w:rPr>
        <w:t>4</w:t>
      </w:r>
      <w:r>
        <w:rPr>
          <w:rFonts w:hint="default" w:ascii="仿宋" w:hAnsi="仿宋" w:eastAsia="仿宋" w:cs="仿宋"/>
          <w:color w:val="auto"/>
          <w:kern w:val="2"/>
          <w:sz w:val="32"/>
          <w:szCs w:val="32"/>
          <w:highlight w:val="none"/>
          <w:lang w:val="en-US" w:eastAsia="zh-CN" w:bidi="ar-SA"/>
        </w:rPr>
        <w:t>年</w:t>
      </w:r>
      <w:r>
        <w:rPr>
          <w:rFonts w:hint="eastAsia" w:ascii="仿宋" w:hAnsi="仿宋" w:eastAsia="仿宋" w:cs="仿宋"/>
          <w:color w:val="auto"/>
          <w:kern w:val="2"/>
          <w:sz w:val="32"/>
          <w:szCs w:val="32"/>
          <w:highlight w:val="none"/>
          <w:lang w:val="en-US" w:eastAsia="zh-CN" w:bidi="ar-SA"/>
        </w:rPr>
        <w:t>9</w:t>
      </w:r>
      <w:r>
        <w:rPr>
          <w:rFonts w:hint="default" w:ascii="仿宋" w:hAnsi="仿宋" w:eastAsia="仿宋" w:cs="仿宋"/>
          <w:color w:val="auto"/>
          <w:kern w:val="2"/>
          <w:sz w:val="32"/>
          <w:szCs w:val="32"/>
          <w:highlight w:val="none"/>
          <w:lang w:val="en-US" w:eastAsia="zh-CN" w:bidi="ar-SA"/>
        </w:rPr>
        <w:t>月</w:t>
      </w:r>
      <w:r>
        <w:rPr>
          <w:rFonts w:hint="eastAsia" w:ascii="仿宋" w:hAnsi="仿宋" w:eastAsia="仿宋" w:cs="仿宋"/>
          <w:color w:val="auto"/>
          <w:kern w:val="2"/>
          <w:sz w:val="32"/>
          <w:szCs w:val="32"/>
          <w:highlight w:val="none"/>
          <w:lang w:val="en-US" w:eastAsia="zh-CN" w:bidi="ar-SA"/>
        </w:rPr>
        <w:t>29</w:t>
      </w:r>
      <w:r>
        <w:rPr>
          <w:rFonts w:hint="default" w:ascii="仿宋" w:hAnsi="仿宋" w:eastAsia="仿宋" w:cs="仿宋"/>
          <w:color w:val="auto"/>
          <w:kern w:val="2"/>
          <w:sz w:val="32"/>
          <w:szCs w:val="32"/>
          <w:highlight w:val="none"/>
          <w:lang w:val="en-US" w:eastAsia="zh-CN" w:bidi="ar-SA"/>
        </w:rPr>
        <w:t>日在</w:t>
      </w:r>
      <w:r>
        <w:rPr>
          <w:rFonts w:hint="eastAsia" w:ascii="仿宋" w:hAnsi="仿宋" w:eastAsia="仿宋" w:cs="仿宋"/>
          <w:color w:val="auto"/>
          <w:kern w:val="2"/>
          <w:sz w:val="32"/>
          <w:szCs w:val="32"/>
          <w:highlight w:val="none"/>
          <w:lang w:val="en-US" w:eastAsia="zh-CN" w:bidi="ar-SA"/>
        </w:rPr>
        <w:t>财政</w:t>
      </w:r>
      <w:r>
        <w:rPr>
          <w:rFonts w:hint="default" w:ascii="仿宋" w:hAnsi="仿宋" w:eastAsia="仿宋" w:cs="仿宋"/>
          <w:color w:val="auto"/>
          <w:kern w:val="2"/>
          <w:sz w:val="32"/>
          <w:szCs w:val="32"/>
          <w:highlight w:val="none"/>
          <w:lang w:val="en-US" w:eastAsia="zh-CN" w:bidi="ar-SA"/>
        </w:rPr>
        <w:t>网站公开部门决算信息。</w:t>
      </w:r>
    </w:p>
    <w:p w14:paraId="59A6EBA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4.绩效管理</w:t>
      </w:r>
    </w:p>
    <w:p w14:paraId="778AC04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2024年年初，我中心认真梳理2024年部门整体绩效目标和项目入库绩效目标、绩效指标，按照要求完成了怀化市财政局2024年度预算绩效目标审核工作。</w:t>
      </w:r>
    </w:p>
    <w:p w14:paraId="29CAB93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9月，根据《怀化市财政局关于开展2024年度市级财政资金绩效运行监控工作的通知》（怀财绩〔2024〕90号）有关规定，我中心高度重视，组织开展了2024年1-7月份部门整体支出和项目支出绩效运行监控工作，及时反馈项目支出实施情况，提高资金使用绩效。</w:t>
      </w:r>
    </w:p>
    <w:p w14:paraId="1EC6143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2025年6月，按照</w:t>
      </w:r>
      <w:r>
        <w:rPr>
          <w:rFonts w:hint="eastAsia" w:ascii="仿宋" w:hAnsi="仿宋" w:eastAsia="仿宋" w:cs="仿宋"/>
          <w:color w:val="auto"/>
          <w:sz w:val="32"/>
          <w:szCs w:val="32"/>
          <w:highlight w:val="none"/>
          <w:lang w:val="en-US" w:eastAsia="zh-CN"/>
        </w:rPr>
        <w:t>怀财绩〔2025〕32号文件要求，我中心认真开展绩效自评工作，对2024年整体支出和项目支出实施了预算绩效自评，从自评情况看，年初制定的绩效目标基本完成，实施过程规范，效果良好。</w:t>
      </w:r>
    </w:p>
    <w:p w14:paraId="7B9A5EB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5.</w:t>
      </w:r>
      <w:r>
        <w:rPr>
          <w:rFonts w:hint="default" w:ascii="仿宋" w:hAnsi="仿宋" w:eastAsia="仿宋" w:cs="仿宋"/>
          <w:color w:val="auto"/>
          <w:kern w:val="2"/>
          <w:sz w:val="32"/>
          <w:szCs w:val="32"/>
          <w:highlight w:val="none"/>
          <w:lang w:val="en-US" w:eastAsia="zh-CN" w:bidi="ar-SA"/>
        </w:rPr>
        <w:t>管理制度健全性</w:t>
      </w:r>
    </w:p>
    <w:p w14:paraId="66B0828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我中心严格执行怀化市直单位有关差旅费、会议费、培训费、公务接待管理有关规定的要求，规范各项支出。做好内控体系建设，对预算管理、收支业务、政府采购、资产管理和合同管理五大方面经济业务的业务流程、风险点、管理制度进行了全面梳理，构建了较为规范的内部控制体系。</w:t>
      </w:r>
    </w:p>
    <w:p w14:paraId="26AB8C0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6.</w:t>
      </w:r>
      <w:r>
        <w:rPr>
          <w:rFonts w:hint="default" w:ascii="仿宋" w:hAnsi="仿宋" w:eastAsia="仿宋" w:cs="仿宋"/>
          <w:color w:val="auto"/>
          <w:kern w:val="2"/>
          <w:sz w:val="32"/>
          <w:szCs w:val="32"/>
          <w:highlight w:val="none"/>
          <w:lang w:val="en-US" w:eastAsia="zh-CN" w:bidi="ar-SA"/>
        </w:rPr>
        <w:t>资金使用合规性</w:t>
      </w:r>
    </w:p>
    <w:p w14:paraId="32004F1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严格按照国家财经法规和财务管理制度及有关专项资金管理办法的规定进行支出。加强经费合法合规性审核和预算控制，资金使用合规</w:t>
      </w:r>
      <w:r>
        <w:rPr>
          <w:rFonts w:hint="eastAsia" w:ascii="仿宋" w:hAnsi="仿宋" w:eastAsia="仿宋" w:cs="仿宋"/>
          <w:color w:val="auto"/>
          <w:kern w:val="2"/>
          <w:sz w:val="32"/>
          <w:szCs w:val="32"/>
          <w:highlight w:val="none"/>
          <w:lang w:val="en-US" w:eastAsia="zh-CN" w:bidi="ar-SA"/>
        </w:rPr>
        <w:t>性较好</w:t>
      </w:r>
      <w:r>
        <w:rPr>
          <w:rFonts w:hint="default" w:ascii="仿宋" w:hAnsi="仿宋" w:eastAsia="仿宋" w:cs="仿宋"/>
          <w:color w:val="auto"/>
          <w:kern w:val="2"/>
          <w:sz w:val="32"/>
          <w:szCs w:val="32"/>
          <w:highlight w:val="none"/>
          <w:lang w:val="en-US" w:eastAsia="zh-CN" w:bidi="ar-SA"/>
        </w:rPr>
        <w:t>，支出手续齐全，程序到位。</w:t>
      </w:r>
    </w:p>
    <w:p w14:paraId="7893F38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7.政府采购管理</w:t>
      </w:r>
    </w:p>
    <w:p w14:paraId="0F07F20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202</w:t>
      </w:r>
      <w:r>
        <w:rPr>
          <w:rFonts w:hint="eastAsia" w:ascii="仿宋" w:hAnsi="仿宋" w:eastAsia="仿宋" w:cs="仿宋"/>
          <w:color w:val="auto"/>
          <w:kern w:val="2"/>
          <w:sz w:val="32"/>
          <w:szCs w:val="32"/>
          <w:highlight w:val="none"/>
          <w:lang w:val="en-US" w:eastAsia="zh-CN" w:bidi="ar-SA"/>
        </w:rPr>
        <w:t>4</w:t>
      </w:r>
      <w:r>
        <w:rPr>
          <w:rFonts w:hint="default" w:ascii="仿宋" w:hAnsi="仿宋" w:eastAsia="仿宋" w:cs="仿宋"/>
          <w:color w:val="auto"/>
          <w:kern w:val="2"/>
          <w:sz w:val="32"/>
          <w:szCs w:val="32"/>
          <w:highlight w:val="none"/>
          <w:lang w:val="en-US" w:eastAsia="zh-CN" w:bidi="ar-SA"/>
        </w:rPr>
        <w:t>年我</w:t>
      </w:r>
      <w:r>
        <w:rPr>
          <w:rFonts w:hint="eastAsia" w:ascii="仿宋" w:hAnsi="仿宋" w:eastAsia="仿宋" w:cs="仿宋"/>
          <w:color w:val="auto"/>
          <w:kern w:val="2"/>
          <w:sz w:val="32"/>
          <w:szCs w:val="32"/>
          <w:highlight w:val="none"/>
          <w:lang w:val="en-US" w:eastAsia="zh-CN" w:bidi="ar-SA"/>
        </w:rPr>
        <w:t>中心按工作实际需求、配置标准编制采购预算，严格按照政府采购程序和相关政策要求进行政府采购</w:t>
      </w:r>
      <w:r>
        <w:rPr>
          <w:rFonts w:hint="default" w:ascii="仿宋" w:hAnsi="仿宋" w:eastAsia="仿宋" w:cs="仿宋"/>
          <w:color w:val="auto"/>
          <w:kern w:val="2"/>
          <w:sz w:val="32"/>
          <w:szCs w:val="32"/>
          <w:highlight w:val="none"/>
          <w:lang w:val="en-US" w:eastAsia="zh-CN" w:bidi="ar-SA"/>
        </w:rPr>
        <w:t>，及时公开项目采购意向，做好合同备案及信息公开工作</w:t>
      </w:r>
      <w:r>
        <w:rPr>
          <w:rFonts w:hint="eastAsia" w:ascii="仿宋" w:hAnsi="仿宋" w:eastAsia="仿宋" w:cs="仿宋"/>
          <w:color w:val="auto"/>
          <w:kern w:val="2"/>
          <w:sz w:val="32"/>
          <w:szCs w:val="32"/>
          <w:highlight w:val="none"/>
          <w:lang w:val="en-US" w:eastAsia="zh-CN" w:bidi="ar-SA"/>
        </w:rPr>
        <w:t>。</w:t>
      </w:r>
    </w:p>
    <w:p w14:paraId="5CFB02A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8.</w:t>
      </w:r>
      <w:r>
        <w:rPr>
          <w:rFonts w:hint="default" w:ascii="仿宋" w:hAnsi="仿宋" w:eastAsia="仿宋" w:cs="仿宋"/>
          <w:color w:val="auto"/>
          <w:kern w:val="2"/>
          <w:sz w:val="32"/>
          <w:szCs w:val="32"/>
          <w:highlight w:val="none"/>
          <w:lang w:val="en-US" w:eastAsia="zh-CN" w:bidi="ar-SA"/>
        </w:rPr>
        <w:t>资产管理</w:t>
      </w:r>
    </w:p>
    <w:p w14:paraId="17379F39">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合理配置资产。严格按照市财政局、市机关事务管理局相关文件规定，坚持科学合理、优化资产，勤俭节约，从严控制的原则，根据履行工作职能的需求合理配置资产。</w:t>
      </w:r>
    </w:p>
    <w:p w14:paraId="65124655">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加强日常维护。固定资产使用人负责资产的日常维护保养，保证资产安全完整，提高资产使用效率。</w:t>
      </w:r>
    </w:p>
    <w:p w14:paraId="75BA8DD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按程序处置资产。按要求填写《怀化市行政事业单位国有资产处置审批表》及附表，资产处置金额5万元以下由市机关事务管理局审批，5万元（含）以上由市机关事务管理局审核，市财政局审批。</w:t>
      </w:r>
    </w:p>
    <w:p w14:paraId="71C08BA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每年定期组织资产清查，对资产进行账实核对，做到账实相符、账账相符。</w:t>
      </w:r>
    </w:p>
    <w:p w14:paraId="60A0C66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（四）</w:t>
      </w:r>
      <w:r>
        <w:rPr>
          <w:rFonts w:hint="default" w:ascii="仿宋" w:hAnsi="仿宋" w:eastAsia="仿宋" w:cs="仿宋"/>
          <w:color w:val="auto"/>
          <w:kern w:val="2"/>
          <w:sz w:val="32"/>
          <w:szCs w:val="32"/>
          <w:highlight w:val="none"/>
          <w:lang w:val="en-US" w:eastAsia="zh-CN" w:bidi="ar-SA"/>
        </w:rPr>
        <w:t>履职效能</w:t>
      </w:r>
    </w:p>
    <w:p w14:paraId="1305226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1.年度总体目标完成情况</w:t>
      </w:r>
    </w:p>
    <w:p w14:paraId="2EE49B8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在省厅、市政府以及局党组的正确领导下，我市不动产登记工作严格对照年初提出的目标任务及要求，加强党建与业务融合、持续优化财产登记营商环境、加大房地产处遗力度、加快权证办理和资产处置、稳步推进房“交房即交证”、“交地即交证”“竣工即交证”改革，大力推进清廉大厅建设，不断提升登记服务水平。截止目前，市本级受理各类不动产登记95961件，发放不动产登记证书68543本；证明27418本，共处理回复各类信访件336件，收取登记费1039万元。</w:t>
      </w:r>
    </w:p>
    <w:p w14:paraId="52DF623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求真务实，促使财产登记领域营商环境更优化。</w:t>
      </w:r>
      <w:r>
        <w:rPr>
          <w:rFonts w:hint="eastAsia" w:ascii="仿宋" w:hAnsi="仿宋" w:eastAsia="仿宋" w:cs="仿宋"/>
          <w:color w:val="auto"/>
          <w:kern w:val="2"/>
          <w:sz w:val="32"/>
          <w:szCs w:val="32"/>
          <w:highlight w:val="none"/>
          <w:lang w:val="en-US" w:eastAsia="zh-CN" w:bidi="ar-SA"/>
        </w:rPr>
        <w:t>按照市委市政府关于营商环境指标要求，我中心主要领导高度重视，率先垂范，组织专班，指派专人，坚持“以人民为中心”的出发点，切实解决“急、需、盼、难”的问题，坚持高位推动，抽调专人，成立专班，严格按照指标要求结合实际推行落实营商环境工作四条措施即“推行优质服务”“提升作风建设”、“整治窗口腐败”，“树立清廉典型”，打通便民利企服务“快车道”。优化流程、精简提速，营商环境更加优化，群众满意度明显上升，学廉崇廉守廉氛围更加浓厚。</w:t>
      </w:r>
    </w:p>
    <w:p w14:paraId="67AF3CD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主动服务，助力中小微企业登记更便民。</w:t>
      </w:r>
      <w:r>
        <w:rPr>
          <w:rFonts w:hint="eastAsia" w:ascii="仿宋" w:hAnsi="仿宋" w:eastAsia="仿宋" w:cs="仿宋"/>
          <w:color w:val="auto"/>
          <w:kern w:val="2"/>
          <w:sz w:val="32"/>
          <w:szCs w:val="32"/>
          <w:highlight w:val="none"/>
          <w:lang w:val="en-US" w:eastAsia="zh-CN" w:bidi="ar-SA"/>
        </w:rPr>
        <w:t>为贯彻“放管服”改革精神，落实免收小微企业不动产登记费政策，优化营商环境工作，我中心通过实地走访的方式先后到刘霖房地产开发公司、怀化黔锦置业有限公司、怀化华盛麓峰房地产开发公司登3家企业召开现场座谈会面对面与企业代表进行沟通、互动。并就我中心下一步围绕惠企、助企，如何全力践行助企纾困为企业提供优质高效服务进行了深入交流。通过听取建议，结合自身，我中心决定以此次活动为载体，设身处地地为企业排忧解难，行之有效地去帮助企业化解难题。要坚持问题导向，把服务企业发展成效作为检验工作能力和水平的重要标尺，一站式梳理问题清单一站式抓好落实整改。要秉承依法依规、实事求是的原则，妥善处理历史遗留问题，做到“发现一个解决一个的实际效果。切实转变工作作风，强化优质服务力度以企业需求为导向持续优化营商环境，不断提升我市不动产登记服务效能。截至目前，共为我市小微企业减免登记费约218万元。</w:t>
      </w:r>
    </w:p>
    <w:p w14:paraId="5C158EB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房地一体确权登记工作更加深入民心。</w:t>
      </w:r>
      <w:r>
        <w:rPr>
          <w:rFonts w:hint="eastAsia" w:ascii="仿宋" w:hAnsi="仿宋" w:eastAsia="仿宋" w:cs="仿宋"/>
          <w:color w:val="auto"/>
          <w:kern w:val="2"/>
          <w:sz w:val="32"/>
          <w:szCs w:val="32"/>
          <w:highlight w:val="none"/>
          <w:lang w:val="en-US" w:eastAsia="zh-CN" w:bidi="ar-SA"/>
        </w:rPr>
        <w:t>我市农村宅基地和集体建设用地确权登记发证工作在市政府统一领导下进行，市政府各有关部门和各级乡、镇人民政府通力协作、密切配合。（1）今年市本级鹤城区集体所有权登记发证总数5802宗，5月完成登簿任务。6月完成集体土地所有权确权登记汇交成果纳入省级不动产登记数据库管理。目前，已登记5802宗，尚有部分不具备登记发证条件，已纳入遗留问题台账管理。已登记宗地现正在组织缮证颁证工作。（2）农村宅基地确权登记发证情况今年11月份，省厅来我中心调研“农村不动产登记重点工作”。目前，怀化市鹤城区农村房地一体确权登记调查涉及8个乡镇（街道办事处），46个村。总调查数为24705宗地，应发证14133宗，已发证13482宗，发证率达95%。</w:t>
      </w:r>
    </w:p>
    <w:p w14:paraId="7B2058C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创新举措、化解“登记难”问题，让群众收获满满幸福感。</w:t>
      </w:r>
      <w:r>
        <w:rPr>
          <w:rFonts w:hint="eastAsia" w:ascii="仿宋" w:hAnsi="仿宋" w:eastAsia="仿宋" w:cs="仿宋"/>
          <w:color w:val="auto"/>
          <w:kern w:val="2"/>
          <w:sz w:val="32"/>
          <w:szCs w:val="32"/>
          <w:highlight w:val="none"/>
          <w:lang w:val="en-US" w:eastAsia="zh-CN" w:bidi="ar-SA"/>
        </w:rPr>
        <w:t>解决我市房地产办证历史遗留问题，事关广大群众切身利益，我中心充分认识到做好该项工作的重要性，在不突破法律底线前提下，大胆改革创新，优先为群众办好证。为了解决遗留问题项目中购房业主在无过错并实际入住情况下因房地产企业或有关单位拒不配合履行办证义务造成的登记难情况，我中心报经局领导同意后，坚持以保障人民群众合法权益为己任，开阔思路，在确保权属清晰的情况下为“锦绣山河”三期245户购房业主以单方申请的方式顺利办理了新建商品房转移登记分户证，获得了广大群众一致好评。与此同时我中心还将继续聚焦“历史遗留问题”项目的“急、难、愁、盼”问题，开放性地创新思路，针对性地借鉴经验，在坚守政策法规的前提下，以灵活的“政策身法”，多变的“服务走位”、优质的“便民举措”为化解我市历史遗留问题再出新招。截止目前，市本级遗留问题项目共启动办证210个项目。累计办总证84713本，已发证68511本。</w:t>
      </w:r>
    </w:p>
    <w:p w14:paraId="5621E9C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2.绩效目标指标完成情况</w:t>
      </w:r>
    </w:p>
    <w:p w14:paraId="09F8C71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2024年度我中心设置了三级成本指标2个、产出指标7个、效益指标3个、满意度指标1个，指标完成情况如下：</w:t>
      </w:r>
    </w:p>
    <w:p w14:paraId="5AAD8A1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（1）成本指标分析</w:t>
      </w:r>
    </w:p>
    <w:p w14:paraId="7F95B99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部门整体支出成本2060.78万元</w:t>
      </w:r>
      <w:r>
        <w:rPr>
          <w:rFonts w:hint="eastAsia" w:ascii="仿宋" w:hAnsi="仿宋" w:eastAsia="仿宋" w:cs="仿宋"/>
          <w:color w:val="auto"/>
          <w:kern w:val="2"/>
          <w:sz w:val="32"/>
          <w:szCs w:val="32"/>
          <w:highlight w:val="none"/>
          <w:lang w:val="en-US" w:eastAsia="zh-CN" w:bidi="ar-SA"/>
        </w:rPr>
        <w:t>，社会成本节约率20.98%，完成年初目标。</w:t>
      </w:r>
    </w:p>
    <w:p w14:paraId="27D66A6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（2）产出指标分析</w:t>
      </w:r>
    </w:p>
    <w:p w14:paraId="3A2530E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数量指标：受理不动产权登记95961件，发放不动产登记证书68543本，发放不动产登记证明27418本，不动产登记资料整理、归档完成率90%，完成年初目标。</w:t>
      </w:r>
    </w:p>
    <w:p w14:paraId="5DFB2D4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质量指标：不动产登记平台维护率100%，整理归档合规率100%，完成年初目标。</w:t>
      </w:r>
    </w:p>
    <w:p w14:paraId="5D76135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时效指标：2024年12月31日前完成。</w:t>
      </w:r>
    </w:p>
    <w:p w14:paraId="0292B50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（3）效益指标分析</w:t>
      </w:r>
    </w:p>
    <w:p w14:paraId="06814F0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发挥专项资金使用效益，服务当地经济发展；完善办事效率，提高群众满意度；持续促进企业健康发展，解决办事群众困难。完成年初目标。</w:t>
      </w:r>
    </w:p>
    <w:p w14:paraId="7938E91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（4）</w:t>
      </w:r>
      <w:r>
        <w:rPr>
          <w:rFonts w:hint="default" w:ascii="仿宋" w:hAnsi="仿宋" w:eastAsia="仿宋" w:cs="仿宋"/>
          <w:color w:val="auto"/>
          <w:kern w:val="2"/>
          <w:sz w:val="32"/>
          <w:szCs w:val="32"/>
          <w:highlight w:val="none"/>
          <w:lang w:val="en-US" w:eastAsia="zh-CN" w:bidi="ar-SA"/>
        </w:rPr>
        <w:t>满意度</w:t>
      </w:r>
      <w:r>
        <w:rPr>
          <w:rFonts w:hint="eastAsia" w:ascii="仿宋" w:hAnsi="仿宋" w:eastAsia="仿宋" w:cs="仿宋"/>
          <w:color w:val="auto"/>
          <w:kern w:val="2"/>
          <w:sz w:val="32"/>
          <w:szCs w:val="32"/>
          <w:highlight w:val="none"/>
          <w:lang w:val="en-US" w:eastAsia="zh-CN" w:bidi="ar-SA"/>
        </w:rPr>
        <w:t>指标分析</w:t>
      </w:r>
    </w:p>
    <w:p w14:paraId="4059CDC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社会公众满意度达95%，完成年初目标。</w:t>
      </w:r>
    </w:p>
    <w:p w14:paraId="7943E2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43F2A1C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（一）预算编制工作还有待细化，预算编制还不够明确和细化。</w:t>
      </w:r>
    </w:p>
    <w:p w14:paraId="33D733B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（二）中心全额编制人员少，主要是差额拨款，收入少导致经费不足，日常公用经费不足、与实际支出相差甚远，目前收入维持运转较困难。</w:t>
      </w:r>
    </w:p>
    <w:p w14:paraId="155B9B3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（三）中心项目经费没有保障，由于经费形式是差额拨款，收入不足导致部门预算资金有缺口。</w:t>
      </w:r>
    </w:p>
    <w:p w14:paraId="4F0F780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257F8A1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针对存在的问题，拟实施改进的措施如下：</w:t>
      </w:r>
    </w:p>
    <w:p w14:paraId="45520E5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一）加强预算编制工作，严格按照预算编制的相关制度和要求进行预算编制，优先保障固定性的、相对刚性的费用支出项目，尽量压缩变动性的，有控制空间的费用项目，进一步提高预算编制的科学性、严谨性和可控性。</w:t>
      </w:r>
    </w:p>
    <w:p w14:paraId="36854D0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二）加强财务管理，严格财务审核，健全中心财务管理制度体系，规范中心财务行为，抓好“三公”经费控制。在费用报账支付时，按照预算规定的费用项目和用途进行资金使用审核、列支支付、财务核算，杜绝超支现象发生。加强收入执行力度，减少资金缺口。</w:t>
      </w:r>
    </w:p>
    <w:p w14:paraId="6A2EBD7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26FC548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绩效自评结果可以进一步规范财政资金管理，强化部门绩效和责任意识，切实提高财政资金使用效益，同时编制下一年的部门预算可以参考绩效自评结果，以提高预算编制的精准性。</w:t>
      </w:r>
      <w:r>
        <w:rPr>
          <w:rFonts w:hint="eastAsia" w:ascii="仿宋" w:hAnsi="仿宋" w:eastAsia="仿宋" w:cs="仿宋"/>
          <w:color w:val="auto"/>
          <w:kern w:val="2"/>
          <w:sz w:val="32"/>
          <w:szCs w:val="32"/>
          <w:highlight w:val="none"/>
          <w:lang w:val="en-US" w:eastAsia="zh-CN" w:bidi="ar-SA"/>
        </w:rPr>
        <w:t>绩效自评</w:t>
      </w:r>
      <w:r>
        <w:rPr>
          <w:rFonts w:hint="default" w:ascii="仿宋" w:hAnsi="仿宋" w:eastAsia="仿宋" w:cs="仿宋"/>
          <w:color w:val="auto"/>
          <w:kern w:val="2"/>
          <w:sz w:val="32"/>
          <w:szCs w:val="32"/>
          <w:highlight w:val="none"/>
          <w:lang w:val="en-US" w:eastAsia="zh-CN" w:bidi="ar-SA"/>
        </w:rPr>
        <w:t>结果</w:t>
      </w:r>
      <w:r>
        <w:rPr>
          <w:rFonts w:hint="eastAsia" w:ascii="仿宋" w:hAnsi="仿宋" w:eastAsia="仿宋" w:cs="仿宋"/>
          <w:color w:val="auto"/>
          <w:kern w:val="2"/>
          <w:sz w:val="32"/>
          <w:szCs w:val="32"/>
          <w:highlight w:val="none"/>
          <w:lang w:val="en-US" w:eastAsia="zh-CN" w:bidi="ar-SA"/>
        </w:rPr>
        <w:t>按照</w:t>
      </w:r>
      <w:r>
        <w:rPr>
          <w:rFonts w:hint="default" w:ascii="仿宋" w:hAnsi="仿宋" w:eastAsia="仿宋" w:cs="仿宋"/>
          <w:color w:val="auto"/>
          <w:kern w:val="2"/>
          <w:sz w:val="32"/>
          <w:szCs w:val="32"/>
          <w:highlight w:val="none"/>
          <w:lang w:val="en-US" w:eastAsia="zh-CN" w:bidi="ar-SA"/>
        </w:rPr>
        <w:t>财政要求及时公开。</w:t>
      </w:r>
    </w:p>
    <w:p w14:paraId="0D944C4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68E802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仿宋"/>
          <w:color w:val="auto"/>
          <w:kern w:val="2"/>
          <w:sz w:val="32"/>
          <w:szCs w:val="32"/>
          <w:highlight w:val="none"/>
          <w:lang w:val="en-US" w:eastAsia="zh-CN" w:bidi="ar-SA"/>
        </w:rPr>
        <w:t>账务数据和决算数据按支出性质分类（基本支出、项目支出）存在差异，主要原因是政府性基金预算财政拨款支出35.45万元部门决算报表列支项目支出，账务列支基本支出。本次绩效评价以账务数据为准。</w:t>
      </w:r>
    </w:p>
    <w:p w14:paraId="79F362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001D1ADA">
      <w:pPr>
        <w:pStyle w:val="15"/>
        <w:spacing w:line="600" w:lineRule="exact"/>
        <w:ind w:firstLine="640" w:firstLineChars="200"/>
        <w:rPr>
          <w:rFonts w:ascii="Times New Roman" w:hAnsi="Times New Roman" w:eastAsia="仿宋_GB2312" w:cs="Times New Roman"/>
          <w:sz w:val="32"/>
          <w:szCs w:val="32"/>
        </w:rPr>
      </w:pPr>
    </w:p>
    <w:p w14:paraId="540ADFFC">
      <w:pPr>
        <w:pStyle w:val="15"/>
        <w:jc w:val="center"/>
        <w:rPr>
          <w:rFonts w:ascii="Times New Roman" w:hAnsi="Times New Roman" w:cs="Times New Roman"/>
          <w:sz w:val="72"/>
          <w:szCs w:val="72"/>
        </w:rPr>
      </w:pPr>
    </w:p>
    <w:p w14:paraId="330AE1BA">
      <w:pPr>
        <w:pStyle w:val="15"/>
        <w:jc w:val="center"/>
        <w:rPr>
          <w:rFonts w:ascii="Times New Roman" w:hAnsi="Times New Roman" w:cs="Times New Roman"/>
          <w:sz w:val="72"/>
          <w:szCs w:val="72"/>
        </w:rPr>
      </w:pPr>
    </w:p>
    <w:p w14:paraId="6AA6FCAB">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altName w:val="Arial Unicode MS"/>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4170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BF47F">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403E3">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203A3">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55F4D">
    <w:pPr>
      <w:pStyle w:val="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35D03">
    <w:pPr>
      <w:pStyle w:val="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64C2E">
    <w:pPr>
      <w:pStyle w:val="5"/>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0188084D">
                <w:pPr>
                  <w:pStyle w:val="5"/>
                </w:pPr>
                <w:r>
                  <w:fldChar w:fldCharType="begin"/>
                </w:r>
                <w:r>
                  <w:instrText xml:space="preserve"> PAGE  \* MERGEFORMAT </w:instrText>
                </w:r>
                <w:r>
                  <w:fldChar w:fldCharType="separate"/>
                </w:r>
                <w:r>
                  <w:t>17</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32087">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E919F">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29CAB">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4C0025"/>
    <w:multiLevelType w:val="singleLevel"/>
    <w:tmpl w:val="BC4C0025"/>
    <w:lvl w:ilvl="0" w:tentative="0">
      <w:start w:val="3"/>
      <w:numFmt w:val="chineseCounting"/>
      <w:suff w:val="nothing"/>
      <w:lvlText w:val="（%1）"/>
      <w:lvlJc w:val="left"/>
      <w:rPr>
        <w:rFonts w:hint="eastAsia"/>
      </w:rPr>
    </w:lvl>
  </w:abstractNum>
  <w:abstractNum w:abstractNumId="1">
    <w:nsid w:val="E87BE624"/>
    <w:multiLevelType w:val="singleLevel"/>
    <w:tmpl w:val="E87BE624"/>
    <w:lvl w:ilvl="0" w:tentative="0">
      <w:start w:val="1"/>
      <w:numFmt w:val="chineseCounting"/>
      <w:suff w:val="nothing"/>
      <w:lvlText w:val="%1、"/>
      <w:lvlJc w:val="left"/>
      <w:rPr>
        <w:rFonts w:hint="eastAsia"/>
      </w:rPr>
    </w:lvl>
  </w:abstractNum>
  <w:abstractNum w:abstractNumId="2">
    <w:nsid w:val="3B09EBC6"/>
    <w:multiLevelType w:val="singleLevel"/>
    <w:tmpl w:val="3B09EBC6"/>
    <w:lvl w:ilvl="0" w:tentative="0">
      <w:start w:val="3"/>
      <w:numFmt w:val="decimal"/>
      <w:suff w:val="nothing"/>
      <w:lvlText w:val="%1、"/>
      <w:lvlJc w:val="left"/>
    </w:lvl>
  </w:abstractNum>
  <w:abstractNum w:abstractNumId="3">
    <w:nsid w:val="43EC21E5"/>
    <w:multiLevelType w:val="singleLevel"/>
    <w:tmpl w:val="43EC21E5"/>
    <w:lvl w:ilvl="0" w:tentative="0">
      <w:start w:val="7"/>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17B2"/>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71B68"/>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2384B"/>
    <w:rsid w:val="00F74360"/>
    <w:rsid w:val="00FB462F"/>
    <w:rsid w:val="00FE16FA"/>
    <w:rsid w:val="00FE328A"/>
    <w:rsid w:val="00FE6269"/>
    <w:rsid w:val="00FF5CD6"/>
    <w:rsid w:val="012375FA"/>
    <w:rsid w:val="016A2367"/>
    <w:rsid w:val="01EE19B6"/>
    <w:rsid w:val="021C173A"/>
    <w:rsid w:val="039E565E"/>
    <w:rsid w:val="04185410"/>
    <w:rsid w:val="044C0C16"/>
    <w:rsid w:val="05074713"/>
    <w:rsid w:val="08377523"/>
    <w:rsid w:val="08AF1FED"/>
    <w:rsid w:val="09975210"/>
    <w:rsid w:val="0A0D0E47"/>
    <w:rsid w:val="0B482817"/>
    <w:rsid w:val="0E9D4E90"/>
    <w:rsid w:val="0FAB0EE6"/>
    <w:rsid w:val="10947BCD"/>
    <w:rsid w:val="12155452"/>
    <w:rsid w:val="12505520"/>
    <w:rsid w:val="12856791"/>
    <w:rsid w:val="14074AC7"/>
    <w:rsid w:val="14A11B5B"/>
    <w:rsid w:val="156E30E2"/>
    <w:rsid w:val="16465E0D"/>
    <w:rsid w:val="177F5474"/>
    <w:rsid w:val="18186F93"/>
    <w:rsid w:val="187A7FF0"/>
    <w:rsid w:val="18D21BDA"/>
    <w:rsid w:val="1B473270"/>
    <w:rsid w:val="1B7C5E2D"/>
    <w:rsid w:val="1CAE3ABF"/>
    <w:rsid w:val="1D4D5CD3"/>
    <w:rsid w:val="1D97DEFF"/>
    <w:rsid w:val="1DDC0E05"/>
    <w:rsid w:val="1DFF72E5"/>
    <w:rsid w:val="1EEB57A3"/>
    <w:rsid w:val="1EFC6F07"/>
    <w:rsid w:val="20F75665"/>
    <w:rsid w:val="211C60E8"/>
    <w:rsid w:val="21303941"/>
    <w:rsid w:val="2131458E"/>
    <w:rsid w:val="22B20386"/>
    <w:rsid w:val="262A1DB0"/>
    <w:rsid w:val="27014B68"/>
    <w:rsid w:val="27027B2E"/>
    <w:rsid w:val="27E02F29"/>
    <w:rsid w:val="27EB411E"/>
    <w:rsid w:val="2A094D30"/>
    <w:rsid w:val="2CF63C91"/>
    <w:rsid w:val="2D1C4D7A"/>
    <w:rsid w:val="2D915768"/>
    <w:rsid w:val="2FDF85B8"/>
    <w:rsid w:val="2FFFEE04"/>
    <w:rsid w:val="305C0ED1"/>
    <w:rsid w:val="31DD3D92"/>
    <w:rsid w:val="3220255F"/>
    <w:rsid w:val="32560059"/>
    <w:rsid w:val="325925CC"/>
    <w:rsid w:val="32CB5278"/>
    <w:rsid w:val="338A2E61"/>
    <w:rsid w:val="33A763AC"/>
    <w:rsid w:val="33E34843"/>
    <w:rsid w:val="34DF85B0"/>
    <w:rsid w:val="35E008FF"/>
    <w:rsid w:val="376E6341"/>
    <w:rsid w:val="38545D10"/>
    <w:rsid w:val="393A417B"/>
    <w:rsid w:val="3B051DE4"/>
    <w:rsid w:val="3B3172EC"/>
    <w:rsid w:val="3B8F36BC"/>
    <w:rsid w:val="3DD6516E"/>
    <w:rsid w:val="3FE00192"/>
    <w:rsid w:val="4040061F"/>
    <w:rsid w:val="416B7C26"/>
    <w:rsid w:val="43664B49"/>
    <w:rsid w:val="44250560"/>
    <w:rsid w:val="475E2707"/>
    <w:rsid w:val="482F5E51"/>
    <w:rsid w:val="491FF225"/>
    <w:rsid w:val="4B372C9C"/>
    <w:rsid w:val="4B754C4F"/>
    <w:rsid w:val="4C7836CE"/>
    <w:rsid w:val="4EFE3710"/>
    <w:rsid w:val="4FFD214C"/>
    <w:rsid w:val="51E36FBD"/>
    <w:rsid w:val="52FC4B82"/>
    <w:rsid w:val="5330233F"/>
    <w:rsid w:val="56E147BB"/>
    <w:rsid w:val="5777D4F5"/>
    <w:rsid w:val="59D108B7"/>
    <w:rsid w:val="59DD8326"/>
    <w:rsid w:val="5ABD109B"/>
    <w:rsid w:val="5DA16A52"/>
    <w:rsid w:val="5DEF592A"/>
    <w:rsid w:val="5E7A0D30"/>
    <w:rsid w:val="5FC6BB1E"/>
    <w:rsid w:val="5FF720F1"/>
    <w:rsid w:val="628C5F22"/>
    <w:rsid w:val="63632EB3"/>
    <w:rsid w:val="65AB2B63"/>
    <w:rsid w:val="67973525"/>
    <w:rsid w:val="67FF5C0B"/>
    <w:rsid w:val="68550B65"/>
    <w:rsid w:val="698C740A"/>
    <w:rsid w:val="6AB04778"/>
    <w:rsid w:val="6B596BBE"/>
    <w:rsid w:val="6BD10CDE"/>
    <w:rsid w:val="6CEB1A97"/>
    <w:rsid w:val="6D371181"/>
    <w:rsid w:val="6D602485"/>
    <w:rsid w:val="6D6B7AC0"/>
    <w:rsid w:val="6EA03C18"/>
    <w:rsid w:val="6EFC0924"/>
    <w:rsid w:val="6F4638FD"/>
    <w:rsid w:val="6FB74722"/>
    <w:rsid w:val="6FEF8B7E"/>
    <w:rsid w:val="70EB650A"/>
    <w:rsid w:val="71A6591B"/>
    <w:rsid w:val="72536115"/>
    <w:rsid w:val="737D59BA"/>
    <w:rsid w:val="7440702B"/>
    <w:rsid w:val="759E4C56"/>
    <w:rsid w:val="7758332B"/>
    <w:rsid w:val="77C37683"/>
    <w:rsid w:val="78905330"/>
    <w:rsid w:val="79D19834"/>
    <w:rsid w:val="79FF515B"/>
    <w:rsid w:val="7A896A46"/>
    <w:rsid w:val="7B7F0098"/>
    <w:rsid w:val="7DD81BC4"/>
    <w:rsid w:val="7E9E1962"/>
    <w:rsid w:val="7E9F11B4"/>
    <w:rsid w:val="7F37EC1E"/>
    <w:rsid w:val="7F5F07EF"/>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Body Text First Indent 21"/>
    <w:basedOn w:val="3"/>
    <w:qFormat/>
    <w:uiPriority w:val="0"/>
    <w:pPr>
      <w:ind w:firstLine="420"/>
    </w:pPr>
  </w:style>
  <w:style w:type="paragraph" w:styleId="3">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8"/>
    <w:semiHidden/>
    <w:qFormat/>
    <w:uiPriority w:val="0"/>
    <w:pPr>
      <w:snapToGrid w:val="0"/>
      <w:jc w:val="left"/>
    </w:pPr>
    <w:rPr>
      <w:sz w:val="18"/>
      <w:szCs w:val="18"/>
    </w:rPr>
  </w:style>
  <w:style w:type="paragraph" w:styleId="8">
    <w:name w:val="Body Text First Indent 2"/>
    <w:basedOn w:val="3"/>
    <w:next w:val="1"/>
    <w:unhideWhenUsed/>
    <w:qFormat/>
    <w:uiPriority w:val="99"/>
    <w:pPr>
      <w:ind w:firstLine="420" w:firstLineChars="200"/>
    </w:p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眉 Char"/>
    <w:basedOn w:val="12"/>
    <w:link w:val="6"/>
    <w:qFormat/>
    <w:uiPriority w:val="99"/>
    <w:rPr>
      <w:sz w:val="18"/>
      <w:szCs w:val="18"/>
    </w:rPr>
  </w:style>
  <w:style w:type="character" w:customStyle="1" w:styleId="14">
    <w:name w:val="页脚 Char"/>
    <w:basedOn w:val="12"/>
    <w:link w:val="5"/>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4"/>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36</Pages>
  <Words>3756</Words>
  <Characters>4263</Characters>
  <Lines>69</Lines>
  <Paragraphs>19</Paragraphs>
  <TotalTime>32</TotalTime>
  <ScaleCrop>false</ScaleCrop>
  <LinksUpToDate>false</LinksUpToDate>
  <CharactersWithSpaces>4276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2025-09-15T01:32:00Z</dcterms:created>
  <dc:creator>李航 null</dc:creator>
  <cp:lastModifiedBy>Administrator</cp:lastModifiedBy>
  <cp:lastPrinted>2024-08-08T18:20:00Z</cp:lastPrinted>
  <dcterms:modified xsi:type="dcterms:W3CDTF">2025-09-17T02:15:07Z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BB7B6AA21D207914D6FDA268992A22D6</vt:lpwstr>
  </property>
  <property fmtid="{D5CDD505-2E9C-101B-9397-08002B2CF9AE}" pid="4" name="KSOTemplateDocerSaveRecord">
    <vt:lpwstr>eyJoZGlkIjoiMmY2MmM0MjRmNTgyNjVhNTgwMWRlZWQ0YmI0NjAxZjIifQ==</vt:lpwstr>
  </property>
</Properties>
</file>