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4FD64">
      <w:pPr>
        <w:widowControl/>
        <w:jc w:val="left"/>
        <w:rPr>
          <w:rFonts w:hint="eastAsia" w:ascii="黑体" w:hAnsi="黑体" w:eastAsia="黑体" w:cs="黑体"/>
          <w:bCs/>
          <w:kern w:val="0"/>
          <w:sz w:val="32"/>
          <w:szCs w:val="32"/>
          <w:lang w:val="en-US" w:eastAsia="zh-CN"/>
        </w:rPr>
      </w:pPr>
      <w:r>
        <w:rPr>
          <w:rFonts w:hint="eastAsia" w:ascii="黑体" w:hAnsi="黑体" w:eastAsia="黑体" w:cs="黑体"/>
          <w:bCs/>
          <w:kern w:val="0"/>
          <w:sz w:val="32"/>
          <w:szCs w:val="32"/>
        </w:rPr>
        <w:t>附件</w:t>
      </w:r>
      <w:r>
        <w:rPr>
          <w:rFonts w:hint="eastAsia" w:ascii="黑体" w:hAnsi="黑体" w:eastAsia="黑体" w:cs="黑体"/>
          <w:bCs/>
          <w:kern w:val="0"/>
          <w:sz w:val="32"/>
          <w:szCs w:val="32"/>
          <w:lang w:val="en-US" w:eastAsia="zh-CN"/>
        </w:rPr>
        <w:t>1</w:t>
      </w:r>
    </w:p>
    <w:p w14:paraId="5D799C7B">
      <w:pPr>
        <w:widowControl/>
        <w:jc w:val="left"/>
        <w:rPr>
          <w:rFonts w:hint="eastAsia"/>
          <w:bCs/>
          <w:kern w:val="0"/>
          <w:sz w:val="32"/>
          <w:szCs w:val="32"/>
          <w:lang w:val="en-US" w:eastAsia="zh-CN"/>
        </w:rPr>
      </w:pPr>
    </w:p>
    <w:p w14:paraId="41C7AF9B">
      <w:pPr>
        <w:widowControl/>
        <w:jc w:val="center"/>
        <w:rPr>
          <w:rFonts w:hint="default" w:ascii="Times New Roman" w:hAnsi="Times New Roman" w:eastAsia="方正小标宋简体" w:cs="Times New Roman"/>
          <w:b w:val="0"/>
          <w:bCs w:val="0"/>
          <w:kern w:val="0"/>
          <w:sz w:val="44"/>
          <w:szCs w:val="44"/>
        </w:rPr>
      </w:pPr>
      <w:r>
        <w:rPr>
          <w:rFonts w:hint="default" w:ascii="Times New Roman" w:hAnsi="Times New Roman" w:eastAsia="方正小标宋简体" w:cs="Times New Roman"/>
          <w:b w:val="0"/>
          <w:bCs w:val="0"/>
          <w:kern w:val="0"/>
          <w:sz w:val="44"/>
          <w:szCs w:val="44"/>
        </w:rPr>
        <w:t>20</w:t>
      </w:r>
      <w:r>
        <w:rPr>
          <w:rFonts w:hint="default" w:ascii="Times New Roman" w:hAnsi="Times New Roman" w:eastAsia="方正小标宋简体" w:cs="Times New Roman"/>
          <w:b w:val="0"/>
          <w:bCs w:val="0"/>
          <w:kern w:val="0"/>
          <w:sz w:val="44"/>
          <w:szCs w:val="44"/>
          <w:lang w:val="en-US" w:eastAsia="zh-CN"/>
        </w:rPr>
        <w:t>2</w:t>
      </w:r>
      <w:r>
        <w:rPr>
          <w:rFonts w:hint="eastAsia" w:eastAsia="方正小标宋简体" w:cs="Times New Roman"/>
          <w:b w:val="0"/>
          <w:bCs w:val="0"/>
          <w:kern w:val="0"/>
          <w:sz w:val="44"/>
          <w:szCs w:val="44"/>
          <w:lang w:val="en-US" w:eastAsia="zh-CN"/>
        </w:rPr>
        <w:t>4</w:t>
      </w:r>
      <w:r>
        <w:rPr>
          <w:rFonts w:hint="default" w:ascii="Times New Roman" w:hAnsi="Times New Roman" w:eastAsia="方正小标宋简体" w:cs="Times New Roman"/>
          <w:b w:val="0"/>
          <w:bCs w:val="0"/>
          <w:kern w:val="0"/>
          <w:sz w:val="44"/>
          <w:szCs w:val="44"/>
        </w:rPr>
        <w:t>年度</w:t>
      </w:r>
      <w:r>
        <w:rPr>
          <w:rFonts w:hint="eastAsia" w:ascii="Times New Roman" w:hAnsi="Times New Roman" w:eastAsia="方正小标宋简体" w:cs="Times New Roman"/>
          <w:b/>
          <w:bCs/>
          <w:kern w:val="0"/>
          <w:sz w:val="44"/>
          <w:szCs w:val="44"/>
          <w:lang w:eastAsia="zh-CN"/>
        </w:rPr>
        <w:t>怀化市发展和改革委员会</w:t>
      </w:r>
      <w:r>
        <w:rPr>
          <w:rFonts w:hint="default" w:ascii="Times New Roman" w:hAnsi="Times New Roman" w:eastAsia="方正小标宋简体" w:cs="Times New Roman"/>
          <w:b w:val="0"/>
          <w:bCs w:val="0"/>
          <w:kern w:val="0"/>
          <w:sz w:val="44"/>
          <w:szCs w:val="44"/>
        </w:rPr>
        <w:t>部门</w:t>
      </w:r>
    </w:p>
    <w:p w14:paraId="2F7A8E61">
      <w:pPr>
        <w:widowControl/>
        <w:jc w:val="center"/>
        <w:rPr>
          <w:rFonts w:hint="eastAsia" w:ascii="方正小标宋简体" w:hAnsi="方正小标宋简体" w:eastAsia="方正小标宋简体" w:cs="方正小标宋简体"/>
          <w:b w:val="0"/>
          <w:bCs w:val="0"/>
          <w:kern w:val="0"/>
          <w:sz w:val="44"/>
          <w:szCs w:val="44"/>
        </w:rPr>
      </w:pPr>
      <w:r>
        <w:rPr>
          <w:rFonts w:hint="default" w:ascii="Times New Roman" w:hAnsi="Times New Roman" w:eastAsia="方正小标宋简体" w:cs="Times New Roman"/>
          <w:b w:val="0"/>
          <w:bCs w:val="0"/>
          <w:kern w:val="0"/>
          <w:sz w:val="44"/>
          <w:szCs w:val="44"/>
          <w:lang w:eastAsia="zh-CN"/>
        </w:rPr>
        <w:t>预</w:t>
      </w:r>
      <w:r>
        <w:rPr>
          <w:rFonts w:hint="default" w:ascii="Times New Roman" w:hAnsi="Times New Roman" w:eastAsia="方正小标宋简体" w:cs="Times New Roman"/>
          <w:b w:val="0"/>
          <w:bCs w:val="0"/>
          <w:kern w:val="0"/>
          <w:sz w:val="44"/>
          <w:szCs w:val="44"/>
        </w:rPr>
        <w:t>算</w:t>
      </w:r>
      <w:r>
        <w:rPr>
          <w:rFonts w:hint="default" w:ascii="Times New Roman" w:hAnsi="Times New Roman" w:eastAsia="方正小标宋简体" w:cs="Times New Roman"/>
          <w:b w:val="0"/>
          <w:bCs w:val="0"/>
          <w:i w:val="0"/>
          <w:iCs w:val="0"/>
          <w:caps w:val="0"/>
          <w:color w:val="333333"/>
          <w:spacing w:val="0"/>
          <w:sz w:val="45"/>
          <w:szCs w:val="45"/>
        </w:rPr>
        <w:t>公开说明</w:t>
      </w:r>
    </w:p>
    <w:p w14:paraId="16221ACB">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lang w:eastAsia="zh-CN"/>
        </w:rPr>
      </w:pPr>
    </w:p>
    <w:p w14:paraId="330F1F40">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center"/>
        <w:textAlignment w:val="auto"/>
        <w:outlineLvl w:val="9"/>
        <w:rPr>
          <w:rFonts w:hint="default" w:ascii="Times New Roman" w:hAnsi="Times New Roman" w:eastAsia="黑体" w:cs="Times New Roman"/>
          <w:bCs/>
          <w:color w:val="auto"/>
          <w:kern w:val="0"/>
          <w:sz w:val="32"/>
          <w:szCs w:val="32"/>
          <w:lang w:eastAsia="zh-CN"/>
        </w:rPr>
      </w:pPr>
      <w:r>
        <w:rPr>
          <w:rFonts w:hint="default" w:ascii="Times New Roman" w:hAnsi="Times New Roman" w:eastAsia="黑体" w:cs="Times New Roman"/>
          <w:bCs/>
          <w:color w:val="auto"/>
          <w:kern w:val="0"/>
          <w:sz w:val="32"/>
          <w:szCs w:val="32"/>
          <w:lang w:eastAsia="zh-CN"/>
        </w:rPr>
        <w:t>目</w:t>
      </w:r>
      <w:r>
        <w:rPr>
          <w:rFonts w:hint="eastAsia" w:eastAsia="黑体" w:cs="Times New Roman"/>
          <w:bCs/>
          <w:color w:val="auto"/>
          <w:kern w:val="0"/>
          <w:sz w:val="32"/>
          <w:szCs w:val="32"/>
          <w:lang w:val="en-US" w:eastAsia="zh-CN"/>
        </w:rPr>
        <w:t xml:space="preserve"> </w:t>
      </w:r>
      <w:r>
        <w:rPr>
          <w:rFonts w:hint="default" w:ascii="Times New Roman" w:hAnsi="Times New Roman" w:eastAsia="黑体" w:cs="Times New Roman"/>
          <w:bCs/>
          <w:color w:val="auto"/>
          <w:kern w:val="0"/>
          <w:sz w:val="32"/>
          <w:szCs w:val="32"/>
          <w:lang w:eastAsia="zh-CN"/>
        </w:rPr>
        <w:t>录</w:t>
      </w:r>
    </w:p>
    <w:p w14:paraId="4F48B316">
      <w:pPr>
        <w:keepNext w:val="0"/>
        <w:keepLines w:val="0"/>
        <w:pageBreakBefore w:val="0"/>
        <w:widowControl w:val="0"/>
        <w:kinsoku/>
        <w:wordWrap/>
        <w:overflowPunct/>
        <w:topLinePunct w:val="0"/>
        <w:autoSpaceDE/>
        <w:autoSpaceDN/>
        <w:bidi w:val="0"/>
        <w:adjustRightInd/>
        <w:snapToGrid/>
        <w:spacing w:line="500" w:lineRule="auto"/>
        <w:ind w:right="0" w:rightChars="0" w:firstLine="320" w:firstLineChars="100"/>
        <w:jc w:val="left"/>
        <w:textAlignment w:val="auto"/>
        <w:outlineLvl w:val="9"/>
        <w:rPr>
          <w:rFonts w:hint="default" w:ascii="Times New Roman" w:hAnsi="Times New Roman" w:eastAsia="黑体" w:cs="Times New Roman"/>
          <w:bCs/>
          <w:color w:val="auto"/>
          <w:kern w:val="0"/>
          <w:sz w:val="32"/>
          <w:szCs w:val="32"/>
          <w:lang w:val="en-US" w:eastAsia="zh-CN"/>
        </w:rPr>
      </w:pPr>
      <w:r>
        <w:rPr>
          <w:rFonts w:hint="eastAsia" w:eastAsia="黑体" w:cs="Times New Roman"/>
          <w:bCs/>
          <w:color w:val="auto"/>
          <w:kern w:val="0"/>
          <w:sz w:val="32"/>
          <w:szCs w:val="32"/>
          <w:lang w:eastAsia="zh-CN"/>
        </w:rPr>
        <w:t>第一部分</w:t>
      </w:r>
      <w:r>
        <w:rPr>
          <w:rFonts w:hint="eastAsia" w:eastAsia="黑体" w:cs="Times New Roman"/>
          <w:bCs/>
          <w:color w:val="auto"/>
          <w:kern w:val="0"/>
          <w:sz w:val="32"/>
          <w:szCs w:val="32"/>
          <w:lang w:val="en-US" w:eastAsia="zh-CN"/>
        </w:rPr>
        <w:t xml:space="preserve">  2024年部门预算说明</w:t>
      </w:r>
    </w:p>
    <w:p w14:paraId="24673997">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一、部门</w:t>
      </w:r>
      <w:r>
        <w:rPr>
          <w:rFonts w:hint="eastAsia" w:ascii="仿宋" w:hAnsi="仿宋" w:eastAsia="仿宋" w:cs="仿宋"/>
          <w:b w:val="0"/>
          <w:bCs/>
          <w:color w:val="auto"/>
          <w:kern w:val="0"/>
          <w:sz w:val="32"/>
          <w:szCs w:val="32"/>
          <w:lang w:eastAsia="zh-CN"/>
        </w:rPr>
        <w:t>基本概况</w:t>
      </w:r>
    </w:p>
    <w:p w14:paraId="7184B6B4">
      <w:pPr>
        <w:keepNext w:val="0"/>
        <w:keepLines w:val="0"/>
        <w:pageBreakBefore w:val="0"/>
        <w:widowControl w:val="0"/>
        <w:numPr>
          <w:ilvl w:val="0"/>
          <w:numId w:val="1"/>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部门预算单位构成</w:t>
      </w:r>
    </w:p>
    <w:p w14:paraId="23DA101C">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eastAsia="zh-CN"/>
        </w:rPr>
        <w:t>三</w:t>
      </w:r>
      <w:r>
        <w:rPr>
          <w:rFonts w:hint="eastAsia" w:ascii="仿宋" w:hAnsi="仿宋" w:eastAsia="仿宋" w:cs="仿宋"/>
          <w:b w:val="0"/>
          <w:bCs/>
          <w:color w:val="auto"/>
          <w:kern w:val="0"/>
          <w:sz w:val="32"/>
          <w:szCs w:val="32"/>
        </w:rPr>
        <w:t>、</w:t>
      </w:r>
      <w:r>
        <w:rPr>
          <w:rFonts w:hint="eastAsia" w:ascii="仿宋" w:hAnsi="仿宋" w:eastAsia="仿宋" w:cs="仿宋"/>
          <w:b w:val="0"/>
          <w:bCs/>
          <w:color w:val="auto"/>
          <w:kern w:val="0"/>
          <w:sz w:val="32"/>
          <w:szCs w:val="32"/>
          <w:lang w:eastAsia="zh-CN"/>
        </w:rPr>
        <w:t>部门收支总体情况</w:t>
      </w:r>
    </w:p>
    <w:p w14:paraId="6FC1EBE0">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一般公共预算财政拨款支出</w:t>
      </w:r>
    </w:p>
    <w:p w14:paraId="63C43B6A">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政府性基金预算支出</w:t>
      </w:r>
    </w:p>
    <w:p w14:paraId="2CCDA3D4">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六、其他重要事项的情况说明</w:t>
      </w:r>
    </w:p>
    <w:p w14:paraId="52A8F180">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七、</w:t>
      </w:r>
      <w:r>
        <w:rPr>
          <w:rFonts w:hint="eastAsia" w:ascii="仿宋" w:hAnsi="仿宋" w:eastAsia="仿宋" w:cs="仿宋"/>
          <w:b w:val="0"/>
          <w:bCs/>
          <w:color w:val="auto"/>
          <w:sz w:val="32"/>
          <w:szCs w:val="32"/>
        </w:rPr>
        <w:t>名词解释</w:t>
      </w:r>
    </w:p>
    <w:p w14:paraId="5F4E29F1">
      <w:pPr>
        <w:keepNext w:val="0"/>
        <w:keepLines w:val="0"/>
        <w:pageBreakBefore w:val="0"/>
        <w:widowControl w:val="0"/>
        <w:numPr>
          <w:ilvl w:val="0"/>
          <w:numId w:val="0"/>
        </w:numPr>
        <w:kinsoku/>
        <w:wordWrap/>
        <w:overflowPunct/>
        <w:topLinePunct w:val="0"/>
        <w:autoSpaceDE/>
        <w:autoSpaceDN/>
        <w:bidi w:val="0"/>
        <w:adjustRightInd/>
        <w:snapToGrid/>
        <w:ind w:firstLine="320" w:firstLineChars="100"/>
        <w:textAlignment w:val="auto"/>
        <w:rPr>
          <w:rFonts w:hint="default" w:ascii="Times New Roman" w:hAnsi="Times New Roman" w:eastAsia="黑体" w:cs="Times New Roman"/>
          <w:b w:val="0"/>
          <w:bCs w:val="0"/>
          <w:color w:val="auto"/>
          <w:sz w:val="32"/>
          <w:szCs w:val="32"/>
          <w:lang w:val="en-US" w:eastAsia="zh-CN"/>
        </w:rPr>
      </w:pPr>
      <w:r>
        <w:rPr>
          <w:rFonts w:hint="eastAsia" w:eastAsia="黑体" w:cs="Times New Roman"/>
          <w:b w:val="0"/>
          <w:bCs w:val="0"/>
          <w:color w:val="auto"/>
          <w:sz w:val="32"/>
          <w:szCs w:val="32"/>
          <w:lang w:val="en-US" w:eastAsia="zh-CN"/>
        </w:rPr>
        <w:t>第二部分  2024年部门预算表</w:t>
      </w:r>
    </w:p>
    <w:p w14:paraId="6E8E998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w:t>
      </w:r>
      <w:r>
        <w:rPr>
          <w:rFonts w:eastAsia="仿宋_GB2312"/>
          <w:color w:val="000000"/>
          <w:sz w:val="32"/>
          <w:szCs w:val="32"/>
        </w:rPr>
        <w:t>收支</w:t>
      </w:r>
      <w:r>
        <w:rPr>
          <w:rFonts w:hint="eastAsia" w:eastAsia="仿宋_GB2312"/>
          <w:color w:val="000000"/>
          <w:sz w:val="32"/>
          <w:szCs w:val="32"/>
          <w:lang w:eastAsia="zh-CN"/>
        </w:rPr>
        <w:t>预算</w:t>
      </w:r>
      <w:r>
        <w:rPr>
          <w:rFonts w:eastAsia="仿宋_GB2312"/>
          <w:color w:val="000000"/>
          <w:sz w:val="32"/>
          <w:szCs w:val="32"/>
        </w:rPr>
        <w:t>总表</w:t>
      </w:r>
    </w:p>
    <w:p w14:paraId="652EB37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w:t>
      </w:r>
      <w:r>
        <w:rPr>
          <w:rFonts w:eastAsia="仿宋_GB2312"/>
          <w:color w:val="000000"/>
          <w:sz w:val="32"/>
          <w:szCs w:val="32"/>
        </w:rPr>
        <w:t>收入</w:t>
      </w:r>
      <w:r>
        <w:rPr>
          <w:rFonts w:hint="eastAsia" w:eastAsia="仿宋_GB2312"/>
          <w:color w:val="000000"/>
          <w:sz w:val="32"/>
          <w:szCs w:val="32"/>
          <w:lang w:eastAsia="zh-CN"/>
        </w:rPr>
        <w:t>预算总</w:t>
      </w:r>
      <w:r>
        <w:rPr>
          <w:rFonts w:eastAsia="仿宋_GB2312"/>
          <w:color w:val="000000"/>
          <w:sz w:val="32"/>
          <w:szCs w:val="32"/>
        </w:rPr>
        <w:t>表</w:t>
      </w:r>
    </w:p>
    <w:p w14:paraId="0717254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w:t>
      </w:r>
      <w:r>
        <w:rPr>
          <w:rFonts w:eastAsia="仿宋_GB2312"/>
          <w:color w:val="000000"/>
          <w:sz w:val="32"/>
          <w:szCs w:val="32"/>
        </w:rPr>
        <w:t>支出</w:t>
      </w:r>
      <w:r>
        <w:rPr>
          <w:rFonts w:hint="eastAsia" w:eastAsia="仿宋_GB2312"/>
          <w:color w:val="000000"/>
          <w:sz w:val="32"/>
          <w:szCs w:val="32"/>
          <w:lang w:eastAsia="zh-CN"/>
        </w:rPr>
        <w:t>预算总</w:t>
      </w:r>
      <w:r>
        <w:rPr>
          <w:rFonts w:eastAsia="仿宋_GB2312"/>
          <w:color w:val="000000"/>
          <w:sz w:val="32"/>
          <w:szCs w:val="32"/>
        </w:rPr>
        <w:t>表</w:t>
      </w:r>
    </w:p>
    <w:p w14:paraId="70CA97A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4.</w:t>
      </w:r>
      <w:r>
        <w:rPr>
          <w:rFonts w:eastAsia="仿宋_GB2312"/>
          <w:color w:val="000000"/>
          <w:sz w:val="32"/>
          <w:szCs w:val="32"/>
        </w:rPr>
        <w:t>财政拨款收支</w:t>
      </w:r>
      <w:r>
        <w:rPr>
          <w:rFonts w:hint="eastAsia" w:eastAsia="仿宋_GB2312"/>
          <w:color w:val="000000"/>
          <w:sz w:val="32"/>
          <w:szCs w:val="32"/>
          <w:lang w:eastAsia="zh-CN"/>
        </w:rPr>
        <w:t>预算</w:t>
      </w:r>
      <w:r>
        <w:rPr>
          <w:rFonts w:eastAsia="仿宋_GB2312"/>
          <w:color w:val="000000"/>
          <w:sz w:val="32"/>
          <w:szCs w:val="32"/>
        </w:rPr>
        <w:t>总表</w:t>
      </w:r>
    </w:p>
    <w:p w14:paraId="12D3710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eastAsia="仿宋_GB2312"/>
          <w:color w:val="000000"/>
          <w:sz w:val="32"/>
          <w:szCs w:val="32"/>
        </w:rPr>
      </w:pPr>
      <w:r>
        <w:rPr>
          <w:rFonts w:hint="default" w:ascii="Times New Roman" w:hAnsi="Times New Roman" w:eastAsia="仿宋_GB2312" w:cs="Times New Roman"/>
          <w:b w:val="0"/>
          <w:bCs w:val="0"/>
          <w:color w:val="auto"/>
          <w:sz w:val="32"/>
          <w:szCs w:val="32"/>
          <w:lang w:val="en-US" w:eastAsia="zh-CN"/>
        </w:rPr>
        <w:t>5.</w:t>
      </w:r>
      <w:r>
        <w:rPr>
          <w:rFonts w:eastAsia="仿宋_GB2312"/>
          <w:color w:val="000000"/>
          <w:sz w:val="32"/>
          <w:szCs w:val="32"/>
        </w:rPr>
        <w:t>一般公共预算支出</w:t>
      </w:r>
      <w:r>
        <w:rPr>
          <w:rFonts w:hint="eastAsia" w:eastAsia="仿宋_GB2312"/>
          <w:color w:val="000000"/>
          <w:sz w:val="32"/>
          <w:szCs w:val="32"/>
          <w:lang w:eastAsia="zh-CN"/>
        </w:rPr>
        <w:t>预算</w:t>
      </w:r>
      <w:r>
        <w:rPr>
          <w:rFonts w:eastAsia="仿宋_GB2312"/>
          <w:color w:val="000000"/>
          <w:sz w:val="32"/>
          <w:szCs w:val="32"/>
        </w:rPr>
        <w:t>表</w:t>
      </w:r>
    </w:p>
    <w:p w14:paraId="178ADD4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w:t>
      </w:r>
      <w:r>
        <w:rPr>
          <w:rFonts w:eastAsia="仿宋_GB2312"/>
          <w:color w:val="000000"/>
          <w:sz w:val="32"/>
          <w:szCs w:val="32"/>
        </w:rPr>
        <w:t>一般公共预算基本支出</w:t>
      </w:r>
      <w:r>
        <w:rPr>
          <w:rFonts w:hint="eastAsia" w:eastAsia="仿宋_GB2312"/>
          <w:color w:val="000000"/>
          <w:sz w:val="32"/>
          <w:szCs w:val="32"/>
          <w:lang w:eastAsia="zh-CN"/>
        </w:rPr>
        <w:t>预算</w:t>
      </w:r>
      <w:r>
        <w:rPr>
          <w:rFonts w:eastAsia="仿宋_GB2312"/>
          <w:color w:val="000000"/>
          <w:sz w:val="32"/>
          <w:szCs w:val="32"/>
        </w:rPr>
        <w:t>表</w:t>
      </w:r>
    </w:p>
    <w:p w14:paraId="17358A0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7.</w:t>
      </w:r>
      <w:r>
        <w:rPr>
          <w:rFonts w:hint="eastAsia" w:eastAsia="仿宋_GB2312" w:cs="Times New Roman"/>
          <w:b w:val="0"/>
          <w:bCs w:val="0"/>
          <w:color w:val="auto"/>
          <w:sz w:val="32"/>
          <w:szCs w:val="32"/>
          <w:lang w:val="en-US" w:eastAsia="zh-CN"/>
        </w:rPr>
        <w:t>一般公共预算</w:t>
      </w:r>
      <w:r>
        <w:rPr>
          <w:rFonts w:eastAsia="仿宋_GB2312"/>
          <w:color w:val="000000"/>
          <w:sz w:val="32"/>
          <w:szCs w:val="32"/>
        </w:rPr>
        <w:t>“三公”经费支出</w:t>
      </w:r>
      <w:r>
        <w:rPr>
          <w:rFonts w:hint="eastAsia" w:eastAsia="仿宋_GB2312"/>
          <w:color w:val="000000"/>
          <w:sz w:val="32"/>
          <w:szCs w:val="32"/>
          <w:lang w:eastAsia="zh-CN"/>
        </w:rPr>
        <w:t>预算</w:t>
      </w:r>
      <w:r>
        <w:rPr>
          <w:rFonts w:eastAsia="仿宋_GB2312"/>
          <w:color w:val="000000"/>
          <w:sz w:val="32"/>
          <w:szCs w:val="32"/>
        </w:rPr>
        <w:t>表</w:t>
      </w:r>
    </w:p>
    <w:p w14:paraId="7F68F69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8.</w:t>
      </w:r>
      <w:r>
        <w:rPr>
          <w:rFonts w:eastAsia="仿宋_GB2312"/>
          <w:color w:val="000000"/>
          <w:sz w:val="32"/>
          <w:szCs w:val="32"/>
        </w:rPr>
        <w:t>政府性基金预算支</w:t>
      </w:r>
      <w:r>
        <w:rPr>
          <w:rFonts w:hint="eastAsia" w:eastAsia="仿宋_GB2312"/>
          <w:color w:val="000000"/>
          <w:sz w:val="32"/>
          <w:szCs w:val="32"/>
          <w:lang w:eastAsia="zh-CN"/>
        </w:rPr>
        <w:t>出预算</w:t>
      </w:r>
      <w:r>
        <w:rPr>
          <w:rFonts w:eastAsia="仿宋_GB2312"/>
          <w:color w:val="000000"/>
          <w:sz w:val="32"/>
          <w:szCs w:val="32"/>
        </w:rPr>
        <w:t>表</w:t>
      </w:r>
    </w:p>
    <w:p w14:paraId="3EF7265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9.</w:t>
      </w:r>
      <w:r>
        <w:rPr>
          <w:rFonts w:hint="eastAsia" w:eastAsia="仿宋_GB2312"/>
          <w:color w:val="000000"/>
          <w:sz w:val="32"/>
          <w:szCs w:val="32"/>
          <w:lang w:eastAsia="zh-CN"/>
        </w:rPr>
        <w:t>项目支出预算表</w:t>
      </w:r>
    </w:p>
    <w:p w14:paraId="264B30C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b w:val="0"/>
          <w:bCs w:val="0"/>
          <w:color w:val="auto"/>
          <w:sz w:val="32"/>
          <w:szCs w:val="32"/>
          <w:lang w:val="en-US" w:eastAsia="zh-CN"/>
        </w:rPr>
        <w:t>10</w:t>
      </w:r>
      <w:r>
        <w:rPr>
          <w:rFonts w:hint="default" w:ascii="Times New Roman" w:hAnsi="Times New Roman" w:eastAsia="仿宋_GB2312" w:cs="Times New Roman"/>
          <w:b w:val="0"/>
          <w:bCs w:val="0"/>
          <w:color w:val="auto"/>
          <w:sz w:val="32"/>
          <w:szCs w:val="32"/>
          <w:lang w:val="en-US" w:eastAsia="zh-CN"/>
        </w:rPr>
        <w:t>.</w:t>
      </w:r>
      <w:r>
        <w:rPr>
          <w:rFonts w:hint="eastAsia" w:eastAsia="仿宋_GB2312"/>
          <w:color w:val="000000"/>
          <w:sz w:val="32"/>
          <w:szCs w:val="32"/>
          <w:lang w:eastAsia="zh-CN"/>
        </w:rPr>
        <w:t>国有资本经营预算支出预算表</w:t>
      </w:r>
    </w:p>
    <w:p w14:paraId="4D60E50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11.项目支出绩效目标表</w:t>
      </w:r>
    </w:p>
    <w:p w14:paraId="66B05EB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12.部门整体支出绩效目标表</w:t>
      </w:r>
    </w:p>
    <w:p w14:paraId="180A772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注：以上部门预算报表中，空表表示本部门无相关收支情况</w:t>
      </w:r>
    </w:p>
    <w:p w14:paraId="385D002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val="en-US" w:eastAsia="zh-CN"/>
        </w:rPr>
      </w:pPr>
    </w:p>
    <w:p w14:paraId="3DD3630A">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61D62911">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175F8DDF">
      <w:pPr>
        <w:bidi w:val="0"/>
        <w:rPr>
          <w:rFonts w:hint="eastAsia"/>
          <w:lang w:val="en-US" w:eastAsia="zh-CN"/>
        </w:rPr>
      </w:pPr>
    </w:p>
    <w:p w14:paraId="767F67AC">
      <w:pPr>
        <w:bidi w:val="0"/>
        <w:rPr>
          <w:rFonts w:hint="eastAsia"/>
          <w:lang w:val="en-US" w:eastAsia="zh-CN"/>
        </w:rPr>
      </w:pPr>
    </w:p>
    <w:p w14:paraId="2A191181">
      <w:pPr>
        <w:bidi w:val="0"/>
        <w:rPr>
          <w:rFonts w:hint="eastAsia"/>
          <w:lang w:val="en-US" w:eastAsia="zh-CN"/>
        </w:rPr>
      </w:pPr>
    </w:p>
    <w:p w14:paraId="72A6FB70">
      <w:pPr>
        <w:bidi w:val="0"/>
        <w:rPr>
          <w:rFonts w:hint="eastAsia"/>
          <w:lang w:val="en-US" w:eastAsia="zh-CN"/>
        </w:rPr>
      </w:pPr>
    </w:p>
    <w:p w14:paraId="62D9363C">
      <w:pPr>
        <w:bidi w:val="0"/>
        <w:rPr>
          <w:rFonts w:hint="eastAsia"/>
          <w:lang w:val="en-US" w:eastAsia="zh-CN"/>
        </w:rPr>
      </w:pPr>
    </w:p>
    <w:p w14:paraId="330537FD">
      <w:pPr>
        <w:bidi w:val="0"/>
        <w:rPr>
          <w:rFonts w:hint="eastAsia"/>
          <w:lang w:val="en-US" w:eastAsia="zh-CN"/>
        </w:rPr>
      </w:pPr>
    </w:p>
    <w:p w14:paraId="7DBD5AF5">
      <w:pPr>
        <w:bidi w:val="0"/>
        <w:jc w:val="left"/>
        <w:rPr>
          <w:rFonts w:hint="eastAsia"/>
          <w:lang w:val="en-US" w:eastAsia="zh-CN"/>
        </w:rPr>
      </w:pPr>
      <w:r>
        <w:rPr>
          <w:rFonts w:hint="eastAsia"/>
          <w:lang w:val="en-US" w:eastAsia="zh-CN"/>
        </w:rPr>
        <w:br w:type="page"/>
      </w:r>
    </w:p>
    <w:p w14:paraId="7EE92A49">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rPr>
      </w:pPr>
      <w:r>
        <w:rPr>
          <w:rFonts w:eastAsia="黑体"/>
          <w:bCs/>
          <w:kern w:val="0"/>
          <w:sz w:val="32"/>
          <w:szCs w:val="32"/>
        </w:rPr>
        <w:t>一、部门</w:t>
      </w:r>
      <w:r>
        <w:rPr>
          <w:rFonts w:hint="eastAsia" w:eastAsia="黑体"/>
          <w:bCs/>
          <w:kern w:val="0"/>
          <w:sz w:val="32"/>
          <w:szCs w:val="32"/>
          <w:lang w:eastAsia="zh-CN"/>
        </w:rPr>
        <w:t>基本概况</w:t>
      </w:r>
    </w:p>
    <w:p w14:paraId="313425E0">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（一）部门职责</w:t>
      </w:r>
    </w:p>
    <w:p w14:paraId="084ECE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拟订并组织实施全市国民经济和社会发展战略、中长期规划和年度计划。牵头组织统一规划体系建设。负责市级专项规划、区域规划、空间规划与全市发展规划的统筹衔接。研究拟订全市国民经济和社会发展、经济体制改革和对外开放的有关制度，协调解决有关重大问题。受市政府委托向市人民代表大会提交国民经济和社会发展计划的报告。</w:t>
      </w:r>
    </w:p>
    <w:p w14:paraId="637DFE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研究提出加快建设现代化经济体系、推动高质量发展的总体目标、重大任务以及相关政策。组织开展重大战略规划、重大政策、重大工程等评估督导，提出相关调整建议。</w:t>
      </w:r>
    </w:p>
    <w:p w14:paraId="2C8006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研究提出全市国民经济和社会发展主要目标，监测预测预警宏观经济和社会发展态势趋势，提出宏观调控政策建议，综合协调宏观经济政策，牵头研究宏观经济应对措施。调节经济运行，协调解决经济运行中的重大问题。拟订并组织实施有关价费政策。参与拟订财政、金融和土地等政策措施。</w:t>
      </w:r>
    </w:p>
    <w:p w14:paraId="148B64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研究提出和综合协调全市经济体制改革有关工作，提出相关改革建议。牵头推进供给侧结构性改革。协调推进产权制度和要素市场化配置改革，推动完善基本经济制度和现代市场体系建设，会同相关部门组织实施市场准入负面清单制度。组织拟订综合性经济体制改革方案，协调有关专项改革方案。指导落实推进经济体制改革试点和改革试验区工作。参与推进深化医药卫生体制改革工作。</w:t>
      </w:r>
    </w:p>
    <w:p w14:paraId="70E0A4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研究提出全市利用外资和境外投资的战略、规划、总量平衡和结构优化的政策。牵头推进实施“一带一路”建设。统筹协调“走出去”有关工作。负责全市全口径外债的总量控制、结构优化和监测工作。</w:t>
      </w:r>
    </w:p>
    <w:p w14:paraId="46E98E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负责投资综合管理，拟订全市全社会固定资产投资总规模和投资结构的调控目标、政策及措施。统筹安排市级财政性建设资金和投资项目，编制下达政府投资年度计划。规划全市重大建设项目和生产力布局，按权限审批、核准、审核、备案重大项目。拟订并推动落实鼓励民间投资政策措施。研究提出市重点建设项目计划，负责政府投资项目代建制实施的指导、协调和监督管理、指导工程咨询业发展。</w:t>
      </w:r>
    </w:p>
    <w:p w14:paraId="066EBC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推进落实区域协调发展战略、新型城镇化战略和重大政策，组织拟订相关区域规划和政策。贯彻落实国家、省西部开发、中部崛起、长江经济带开发建设的政策措施，牵头落实“一带一部”发展战略，组织编制区域规划并协调实施。负责拟定湘南湘西承接产业转移示范区建设、物流枢纽承载城市建设、，乡村振兴战略规划和政策。研究制订并统筹促进市内区域协调发展的战略、规划和重大政策。协调推进“两型社会”建设。拟订并组织实施全市易地扶贫搬迁、以工代赈规划和计划。参与研究拟订全市新型城镇化发展战略和重大政策措施。制订开发园区发展规划和政策，负责开发区综合管理及设立、调区、扩区的审核、申报，统筹协调区域合作。</w:t>
      </w:r>
    </w:p>
    <w:p w14:paraId="00516B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组织拟订综合性产业政策，负责协调第一、一、三产业发展的重大问题并统筹衔接相关发展规划和重大政策。协调推进重大基础设施建设。协调农业农村经济发展有关重大问题。统筹全市服务业发展与改革，组织拟订并推动实施服务业及现代物流业发展规划和重大政策。综合研判消费变动趋势，研究协调解决扩大居民消费中的重大问题，拟订实施促进消费综合性政策措施。</w:t>
      </w:r>
    </w:p>
    <w:p w14:paraId="583973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推动实施创新驱动发展战略。会同相关部门拟订推动创新创业的规划和政策，提出创新发展和培育经济发展新动能的政策措施。组织拟订战略性新兴产业发展规划政策；会同有关部门组织拟订实施高新技术产业发展、产业技术进步规划政策；研究提出新型工业化和产业集群发展的政策措施；实施高新技术产业发展的宏观指导，协调产业升级、重大技术装备推广应用等方面的重大问题。</w:t>
      </w:r>
    </w:p>
    <w:p w14:paraId="24D93E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跟踪研判涉及经济安全、生态安全、资源安全、科技安全、社会安全等各类风险隐患，提出相关工作建议。承担经济、生态、资源等重点领域国家安全工作协调机制相关工作。承担重要商品总量平衡和宏观调控，提出重要工业品、原材料和重要农产品进出口调控意见。会同有关部门拟订地方储备物资品种目录、总体发展规划。根据经济运行情况对计划进行调整。</w:t>
      </w:r>
    </w:p>
    <w:p w14:paraId="50E095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负责社会发展与国民经济发展的政策衔接，组织拟订社会发展战略、总体规划。协调社会领域事业和产业发展政策及改革重大问题。统筹推进基本公共服务体系建设和收入分配制度改革，研究提出推进就业、完善社会保障与经济协调发展的政策建议。</w:t>
      </w:r>
    </w:p>
    <w:p w14:paraId="666C9B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推进可持续发展战略，推动生态文明建设和改革，协调生态环境保护与修复、能源资源节约和综合利用等工作。研究提出能源消费总量控制目标的建议，牵头拟订能源消费总量控制工作方案并组织实施。组织拟订绿色发展和循环经济、能源资源节约和综合利用规划、政策并协调实施。参与编制生态文明建设、环境保护规划，协调生态建设、能源资源节约和综合利用的重大问题，会同有关部门提出建立健全生态补偿机制的政策措施，综合协调节能环保产业和清洁生产促进有关工作；完善固定资产投资项目节能评估和审查制度。研究提出全市能源发展战略、规划、产业政策并组织实施；监测能源发展状况，衔接能源生产建设和供需平衡；组织推进能源重大设备研发，指导能源科技进步、成套设备的引进消化创新，组织协调能源行业重大示范工程和推广应用能源行业新产品、新技术、新设备；规划能源重大建设项目布局，按权限核准、审核、申报和安排能源重大建设项目。</w:t>
      </w:r>
    </w:p>
    <w:p w14:paraId="2D08B9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拟订全市价格改革方案和年度计划，研究提出价格调控目标和政策建议，组织实施价格总水平调控。组织起草有关价格收费政策，承担市政府管理的重要商品和服务价格管理工作。承担行政事业性收费管理工作。承担价格监测、市场价格形势分析和涉案物价格鉴证工作。负责价格成本调查和监审。</w:t>
      </w:r>
    </w:p>
    <w:p w14:paraId="1F91A3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指导和协调全市公共资源交易平台建设，牵头组织监督公共资源交易活动。指导、协调全市工程建设项目招标投标工作，负责权限内工程建设项目招标事项核准和市级工业项目招标投标活动的监管。研究拟订推进社会信用体系建设的规划、政策措施，统筹推进统一的信用信息平台建设，协调有关重大问题。</w:t>
      </w:r>
    </w:p>
    <w:p w14:paraId="19324D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会同有关部门拟订推动全市经济建设与国防建设协调发展的战略和规划，协调有关重大问题。组织编制全市国民经济动员规划，协调和组织实施全市国民经济动员有关工作。</w:t>
      </w:r>
    </w:p>
    <w:p w14:paraId="5F536B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研究提出全市粮食宏观调控及粮食流通的中长期规划，拟订全市粮食市场体系建设与发展规划，承担全市粮食流通宏观调控的具体工作。拟订粮食流通和物资储备体制改革方案并组织实施。</w:t>
      </w:r>
    </w:p>
    <w:p w14:paraId="02C5F7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研究提出全市战略物资储备规划、全市储备品种目录的建议。根据全市储备总体发展规划和品种目录，组织实施全市战略物资的收储、轮换和日常管理，落实有关动用计划和指令。</w:t>
      </w:r>
    </w:p>
    <w:p w14:paraId="2DEAC5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管理全市粮食、棉花和食糖储备，负责全市储备粮棉行政管理。监测全市粮食和战略物资供求变化并预测预警，承担全市粮食流通宏观调控的具体工作，承担粮食安全责任制考核日常工作。</w:t>
      </w:r>
    </w:p>
    <w:p w14:paraId="27E690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拟订粮食和物资储备仓储管理有关技术标准和规范并组织实施。负责粮食流通、加工行业安全生产工作的监督管理，承担全市物资储备承储单位安全生产的监管责任。</w:t>
      </w:r>
    </w:p>
    <w:p w14:paraId="6FE6DD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根据全市储备总体发展规划，统一负责储备基础设施建设和管理。拟订全市储备基础设施、粮食流通设施建设规划并组织实施，管理有关储备基础设施和粮食流通设施全市投资项目。</w:t>
      </w:r>
    </w:p>
    <w:p w14:paraId="3B5BF6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负责对管理的政府储备、企业储备以及储备政策落实情况进行监督检查。负责粮食流通监督检查，负责粮食收购、储存、运输环节粮食质量安全和原粮卫生的监督管理，组织实施全市粮食库存检查工作。</w:t>
      </w:r>
    </w:p>
    <w:p w14:paraId="44E03E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right="0"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负责粮食流通行业管理，制定行业发展规划、政策，拟订粮食流通和物资储备有关标准、粮食质量标准，制定有关技术规范并监督执行。负责粮食和物资储备的对外合作与交流。</w:t>
      </w:r>
    </w:p>
    <w:p w14:paraId="57FADE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 w:hAnsi="仿宋" w:eastAsia="仿宋" w:cs="仿宋"/>
          <w:b/>
          <w:bCs/>
          <w:sz w:val="32"/>
          <w:szCs w:val="32"/>
          <w:lang w:eastAsia="zh-CN"/>
        </w:rPr>
      </w:pPr>
      <w:r>
        <w:rPr>
          <w:rFonts w:hint="eastAsia" w:ascii="Times New Roman" w:hAnsi="Times New Roman" w:eastAsia="仿宋_GB2312" w:cs="Times New Roman"/>
          <w:kern w:val="2"/>
          <w:sz w:val="32"/>
          <w:szCs w:val="32"/>
          <w:lang w:val="en-US" w:eastAsia="zh-CN" w:bidi="ar-SA"/>
        </w:rPr>
        <w:t>完成市委、市政府交办的其他任务。</w:t>
      </w:r>
    </w:p>
    <w:p w14:paraId="02E0944F">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（二）机构设置情况</w:t>
      </w:r>
    </w:p>
    <w:p w14:paraId="6785B22D">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sz w:val="32"/>
          <w:szCs w:val="32"/>
          <w:highlight w:val="none"/>
          <w:lang w:eastAsia="zh-CN"/>
        </w:rPr>
      </w:pPr>
      <w:r>
        <w:rPr>
          <w:rFonts w:hint="eastAsia" w:eastAsia="仿宋_GB2312" w:cs="Times New Roman"/>
          <w:sz w:val="32"/>
          <w:szCs w:val="32"/>
          <w:highlight w:val="none"/>
          <w:lang w:eastAsia="zh-CN"/>
        </w:rPr>
        <w:t>怀化市发展和改革委员会作为一级部门预算单位，内设科室为：办公室、行政审批服务科、法规和经济体制改革综合科、国民经济综合规划和服务业科、固定资产投资科、经贸外资科、价格收费管理科、粮食行业发展和军粮供应科等25个科室，下辖招标投标服务中心、市重点建设项目事务中心、发展改革事务中心、节能监察和信用信息中心、怀化市产业发展促进事务中心5个非独立预算的二级机构。</w:t>
      </w:r>
    </w:p>
    <w:p w14:paraId="64E18178">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lang w:eastAsia="zh-CN"/>
        </w:rPr>
      </w:pPr>
      <w:r>
        <w:rPr>
          <w:rFonts w:hint="eastAsia" w:eastAsia="黑体"/>
          <w:bCs/>
          <w:kern w:val="0"/>
          <w:sz w:val="32"/>
          <w:szCs w:val="32"/>
          <w:lang w:eastAsia="zh-CN"/>
        </w:rPr>
        <w:t>二、部门预算单位构成</w:t>
      </w:r>
    </w:p>
    <w:p w14:paraId="5BF556C3">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纳入202</w:t>
      </w:r>
      <w:r>
        <w:rPr>
          <w:rFonts w:hint="eastAsia" w:eastAsia="仿宋_GB2312" w:cs="Times New Roman"/>
          <w:sz w:val="32"/>
          <w:szCs w:val="32"/>
          <w:lang w:val="en-US" w:eastAsia="zh-CN"/>
        </w:rPr>
        <w:t>4</w:t>
      </w:r>
      <w:r>
        <w:rPr>
          <w:rFonts w:hint="eastAsia" w:eastAsia="仿宋_GB2312" w:cs="Times New Roman"/>
          <w:sz w:val="32"/>
          <w:szCs w:val="32"/>
          <w:lang w:eastAsia="zh-CN"/>
        </w:rPr>
        <w:t>年怀化市发展和改革委员会部门预算编制范围的包括：怀化市发展和改革委员会部门本级。</w:t>
      </w:r>
    </w:p>
    <w:p w14:paraId="776342A6">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rPr>
      </w:pPr>
      <w:r>
        <w:rPr>
          <w:rFonts w:hint="eastAsia" w:eastAsia="黑体"/>
          <w:bCs/>
          <w:kern w:val="0"/>
          <w:sz w:val="32"/>
          <w:szCs w:val="32"/>
          <w:lang w:eastAsia="zh-CN"/>
        </w:rPr>
        <w:t>三</w:t>
      </w:r>
      <w:r>
        <w:rPr>
          <w:rFonts w:eastAsia="黑体"/>
          <w:bCs/>
          <w:kern w:val="0"/>
          <w:sz w:val="32"/>
          <w:szCs w:val="32"/>
        </w:rPr>
        <w:t>、</w:t>
      </w:r>
      <w:r>
        <w:rPr>
          <w:rFonts w:hint="eastAsia" w:eastAsia="黑体"/>
          <w:bCs/>
          <w:kern w:val="0"/>
          <w:sz w:val="32"/>
          <w:szCs w:val="32"/>
          <w:lang w:eastAsia="zh-CN"/>
        </w:rPr>
        <w:t>部门收支总体情况</w:t>
      </w:r>
    </w:p>
    <w:p w14:paraId="69BBD6C0">
      <w:pPr>
        <w:keepNext w:val="0"/>
        <w:keepLines w:val="0"/>
        <w:pageBreakBefore w:val="0"/>
        <w:widowControl/>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仿宋_GB2312"/>
          <w:sz w:val="32"/>
          <w:szCs w:val="32"/>
          <w:lang w:eastAsia="zh-CN"/>
        </w:rPr>
      </w:pPr>
      <w:r>
        <w:rPr>
          <w:rFonts w:hint="eastAsia" w:eastAsia="仿宋_GB2312"/>
          <w:sz w:val="32"/>
          <w:szCs w:val="32"/>
          <w:lang w:eastAsia="zh-CN"/>
        </w:rPr>
        <w:t>20</w:t>
      </w:r>
      <w:r>
        <w:rPr>
          <w:rFonts w:hint="eastAsia" w:eastAsia="仿宋_GB2312"/>
          <w:sz w:val="32"/>
          <w:szCs w:val="32"/>
          <w:lang w:val="en-US" w:eastAsia="zh-CN"/>
        </w:rPr>
        <w:t>24</w:t>
      </w:r>
      <w:r>
        <w:rPr>
          <w:rFonts w:hint="eastAsia" w:eastAsia="仿宋_GB2312"/>
          <w:sz w:val="32"/>
          <w:szCs w:val="32"/>
          <w:lang w:eastAsia="zh-CN"/>
        </w:rPr>
        <w:t>年部门预算包括本单位预算内的收支情况。</w:t>
      </w:r>
    </w:p>
    <w:p w14:paraId="0D372F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lang w:val="en-US" w:eastAsia="zh-CN" w:bidi="ar-SA"/>
        </w:rPr>
        <w:t>（一）收入预算。</w:t>
      </w:r>
      <w:r>
        <w:rPr>
          <w:rFonts w:hint="eastAsia" w:ascii="仿宋" w:hAnsi="仿宋" w:eastAsia="仿宋" w:cs="仿宋"/>
          <w:b w:val="0"/>
          <w:bCs w:val="0"/>
          <w:color w:val="auto"/>
          <w:sz w:val="32"/>
          <w:szCs w:val="32"/>
          <w:lang w:val="en-US" w:eastAsia="zh-CN"/>
        </w:rPr>
        <w:t>包括一般公共预算、政府性基金、国有资本经营预算等财政拨款收入，以及经营收入、事业收入等单位资金。</w:t>
      </w:r>
      <w:r>
        <w:rPr>
          <w:rFonts w:hint="eastAsia" w:eastAsia="仿宋_GB2312"/>
          <w:sz w:val="32"/>
          <w:szCs w:val="32"/>
          <w:lang w:eastAsia="zh-CN"/>
        </w:rPr>
        <w:t>20</w:t>
      </w:r>
      <w:r>
        <w:rPr>
          <w:rFonts w:hint="eastAsia" w:eastAsia="仿宋_GB2312"/>
          <w:sz w:val="32"/>
          <w:szCs w:val="32"/>
          <w:lang w:val="en-US" w:eastAsia="zh-CN"/>
        </w:rPr>
        <w:t>24</w:t>
      </w:r>
      <w:r>
        <w:rPr>
          <w:rFonts w:hint="default" w:ascii="Times New Roman" w:hAnsi="Times New Roman" w:eastAsia="仿宋_GB2312" w:cs="Times New Roman"/>
          <w:color w:val="auto"/>
          <w:sz w:val="32"/>
          <w:szCs w:val="32"/>
          <w:lang w:eastAsia="zh-CN"/>
        </w:rPr>
        <w:t>年年初</w:t>
      </w:r>
      <w:r>
        <w:rPr>
          <w:rFonts w:hint="eastAsia" w:eastAsia="仿宋_GB2312" w:cs="Times New Roman"/>
          <w:color w:val="auto"/>
          <w:sz w:val="32"/>
          <w:szCs w:val="32"/>
          <w:lang w:eastAsia="zh-CN"/>
        </w:rPr>
        <w:t>本部门收入</w:t>
      </w:r>
      <w:r>
        <w:rPr>
          <w:rFonts w:hint="default" w:ascii="Times New Roman" w:hAnsi="Times New Roman" w:eastAsia="仿宋_GB2312" w:cs="Times New Roman"/>
          <w:color w:val="auto"/>
          <w:sz w:val="32"/>
          <w:szCs w:val="32"/>
          <w:lang w:eastAsia="zh-CN"/>
        </w:rPr>
        <w:t>预算</w:t>
      </w:r>
      <w:r>
        <w:rPr>
          <w:rFonts w:hint="eastAsia" w:eastAsia="仿宋_GB2312"/>
          <w:sz w:val="32"/>
          <w:szCs w:val="32"/>
          <w:lang w:val="en-US" w:eastAsia="zh-CN"/>
        </w:rPr>
        <w:t>2976.50</w:t>
      </w:r>
      <w:r>
        <w:rPr>
          <w:rFonts w:hint="eastAsia" w:eastAsia="仿宋_GB2312"/>
          <w:sz w:val="32"/>
          <w:szCs w:val="32"/>
          <w:lang w:eastAsia="zh-CN"/>
        </w:rPr>
        <w:t>万元，其中，一般公共预算拨款</w:t>
      </w:r>
      <w:r>
        <w:rPr>
          <w:rFonts w:hint="eastAsia" w:eastAsia="仿宋_GB2312"/>
          <w:sz w:val="32"/>
          <w:szCs w:val="32"/>
          <w:lang w:val="en-US" w:eastAsia="zh-CN"/>
        </w:rPr>
        <w:t>2976.50</w:t>
      </w:r>
      <w:r>
        <w:rPr>
          <w:rFonts w:hint="eastAsia" w:eastAsia="仿宋_GB2312"/>
          <w:sz w:val="32"/>
          <w:szCs w:val="32"/>
          <w:lang w:eastAsia="zh-CN"/>
        </w:rPr>
        <w:t>万元，政府性基金预算拨款</w:t>
      </w:r>
      <w:r>
        <w:rPr>
          <w:rFonts w:hint="eastAsia" w:eastAsia="仿宋_GB2312"/>
          <w:sz w:val="32"/>
          <w:szCs w:val="32"/>
          <w:lang w:val="en-US" w:eastAsia="zh-CN"/>
        </w:rPr>
        <w:t>0万元，</w:t>
      </w:r>
      <w:r>
        <w:rPr>
          <w:rFonts w:hint="eastAsia" w:eastAsia="仿宋_GB2312"/>
          <w:sz w:val="32"/>
          <w:szCs w:val="32"/>
          <w:lang w:eastAsia="zh-CN"/>
        </w:rPr>
        <w:t>纳入财政专户管理的非税收入拨款</w:t>
      </w:r>
      <w:r>
        <w:rPr>
          <w:rFonts w:hint="eastAsia" w:eastAsia="仿宋_GB2312"/>
          <w:sz w:val="32"/>
          <w:szCs w:val="32"/>
          <w:lang w:val="en-US" w:eastAsia="zh-CN"/>
        </w:rPr>
        <w:t>0</w:t>
      </w:r>
      <w:r>
        <w:rPr>
          <w:rFonts w:hint="eastAsia" w:eastAsia="仿宋_GB2312"/>
          <w:sz w:val="32"/>
          <w:szCs w:val="32"/>
          <w:lang w:eastAsia="zh-CN"/>
        </w:rPr>
        <w:t>万元，国有资本经营预算拨款</w:t>
      </w:r>
      <w:r>
        <w:rPr>
          <w:rFonts w:hint="eastAsia" w:eastAsia="仿宋_GB2312"/>
          <w:sz w:val="32"/>
          <w:szCs w:val="32"/>
          <w:lang w:val="en-US" w:eastAsia="zh-CN"/>
        </w:rPr>
        <w:t>0</w:t>
      </w:r>
      <w:r>
        <w:rPr>
          <w:rFonts w:hint="eastAsia" w:eastAsia="仿宋_GB2312"/>
          <w:sz w:val="32"/>
          <w:szCs w:val="32"/>
          <w:lang w:eastAsia="zh-CN"/>
        </w:rPr>
        <w:t>万元，</w:t>
      </w:r>
      <w:r>
        <w:rPr>
          <w:rFonts w:hint="eastAsia" w:eastAsia="仿宋_GB2312" w:cs="Times New Roman"/>
          <w:color w:val="auto"/>
          <w:sz w:val="32"/>
          <w:szCs w:val="32"/>
          <w:lang w:eastAsia="zh-CN"/>
        </w:rPr>
        <w:t>上年结转结余</w:t>
      </w:r>
      <w:r>
        <w:rPr>
          <w:rFonts w:hint="eastAsia" w:eastAsia="仿宋_GB2312"/>
          <w:sz w:val="32"/>
          <w:szCs w:val="32"/>
          <w:lang w:val="en-US" w:eastAsia="zh-CN"/>
        </w:rPr>
        <w:t>0</w:t>
      </w:r>
      <w:r>
        <w:rPr>
          <w:rFonts w:hint="eastAsia" w:ascii="仿宋" w:hAnsi="仿宋" w:eastAsia="仿宋" w:cs="仿宋"/>
          <w:sz w:val="32"/>
          <w:szCs w:val="32"/>
          <w:highlight w:val="none"/>
          <w:lang w:eastAsia="zh-CN"/>
        </w:rPr>
        <w:t>万元。压减公用经费和专项支出后，同口径对比，</w:t>
      </w:r>
      <w:r>
        <w:rPr>
          <w:rFonts w:hint="eastAsia" w:ascii="仿宋" w:hAnsi="仿宋" w:eastAsia="仿宋" w:cs="仿宋"/>
          <w:sz w:val="32"/>
          <w:szCs w:val="32"/>
          <w:highlight w:val="none"/>
        </w:rPr>
        <w:t>收入较</w:t>
      </w:r>
      <w:r>
        <w:rPr>
          <w:rFonts w:hint="eastAsia" w:ascii="仿宋" w:hAnsi="仿宋" w:eastAsia="仿宋" w:cs="仿宋"/>
          <w:sz w:val="32"/>
          <w:szCs w:val="32"/>
          <w:highlight w:val="none"/>
          <w:lang w:eastAsia="zh-CN"/>
        </w:rPr>
        <w:t>上</w:t>
      </w:r>
      <w:r>
        <w:rPr>
          <w:rFonts w:hint="eastAsia" w:ascii="仿宋" w:hAnsi="仿宋" w:eastAsia="仿宋" w:cs="仿宋"/>
          <w:sz w:val="32"/>
          <w:szCs w:val="32"/>
          <w:highlight w:val="none"/>
        </w:rPr>
        <w:t>年增加</w:t>
      </w:r>
      <w:r>
        <w:rPr>
          <w:rFonts w:hint="eastAsia" w:ascii="仿宋" w:hAnsi="仿宋" w:eastAsia="仿宋" w:cs="仿宋"/>
          <w:sz w:val="32"/>
          <w:szCs w:val="32"/>
          <w:highlight w:val="none"/>
          <w:lang w:val="en-US" w:eastAsia="zh-CN"/>
        </w:rPr>
        <w:t>129.08</w:t>
      </w:r>
      <w:r>
        <w:rPr>
          <w:rFonts w:hint="eastAsia" w:ascii="仿宋" w:hAnsi="仿宋" w:eastAsia="仿宋" w:cs="仿宋"/>
          <w:sz w:val="32"/>
          <w:szCs w:val="32"/>
          <w:highlight w:val="none"/>
        </w:rPr>
        <w:t xml:space="preserve"> 万元，</w:t>
      </w:r>
      <w:r>
        <w:rPr>
          <w:rFonts w:hint="eastAsia" w:ascii="仿宋" w:hAnsi="仿宋" w:eastAsia="仿宋" w:cs="仿宋"/>
          <w:sz w:val="32"/>
          <w:szCs w:val="32"/>
          <w:highlight w:val="none"/>
          <w:lang w:eastAsia="zh-CN"/>
        </w:rPr>
        <w:t>增长率</w:t>
      </w:r>
      <w:r>
        <w:rPr>
          <w:rFonts w:hint="eastAsia" w:ascii="仿宋" w:hAnsi="仿宋" w:eastAsia="仿宋" w:cs="仿宋"/>
          <w:sz w:val="32"/>
          <w:szCs w:val="32"/>
          <w:highlight w:val="none"/>
          <w:lang w:val="en-US" w:eastAsia="zh-CN"/>
        </w:rPr>
        <w:t>4.53%</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主要</w:t>
      </w:r>
      <w:r>
        <w:rPr>
          <w:rFonts w:hint="eastAsia" w:ascii="仿宋" w:hAnsi="仿宋" w:eastAsia="仿宋" w:cs="仿宋"/>
          <w:sz w:val="32"/>
          <w:szCs w:val="32"/>
          <w:highlight w:val="none"/>
          <w:lang w:eastAsia="zh-CN"/>
        </w:rPr>
        <w:t>原因</w:t>
      </w:r>
      <w:r>
        <w:rPr>
          <w:rFonts w:hint="eastAsia" w:ascii="仿宋" w:hAnsi="仿宋" w:eastAsia="仿宋" w:cs="仿宋"/>
          <w:sz w:val="32"/>
          <w:szCs w:val="32"/>
          <w:highlight w:val="none"/>
        </w:rPr>
        <w:t>是</w:t>
      </w:r>
      <w:r>
        <w:rPr>
          <w:rFonts w:hint="eastAsia" w:ascii="仿宋" w:hAnsi="仿宋" w:eastAsia="仿宋" w:cs="仿宋"/>
          <w:sz w:val="32"/>
          <w:szCs w:val="32"/>
          <w:highlight w:val="none"/>
          <w:lang w:val="en-US" w:eastAsia="zh-CN"/>
        </w:rPr>
        <w:t>2024年比2023年在编人员增加，人员类经费收入比去年增加11.28万元；公用经费收入相比去年减少27.30万元，项目收入相比去年增加145.10万元。</w:t>
      </w:r>
    </w:p>
    <w:p w14:paraId="668422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default" w:ascii="仿宋" w:hAnsi="仿宋" w:eastAsia="仿宋" w:cs="仿宋"/>
          <w:b w:val="0"/>
          <w:bCs w:val="0"/>
          <w:color w:val="auto"/>
          <w:kern w:val="2"/>
          <w:sz w:val="32"/>
          <w:szCs w:val="32"/>
          <w:highlight w:val="none"/>
          <w:lang w:val="en-US" w:eastAsia="zh-CN" w:bidi="ar-SA"/>
        </w:rPr>
      </w:pPr>
      <w:r>
        <w:rPr>
          <w:rFonts w:hint="eastAsia" w:eastAsia="仿宋_GB2312"/>
          <w:sz w:val="32"/>
          <w:szCs w:val="32"/>
          <w:highlight w:val="none"/>
          <w:lang w:eastAsia="zh-CN"/>
        </w:rPr>
        <w:t>（二）支出预算</w:t>
      </w:r>
      <w:r>
        <w:rPr>
          <w:rFonts w:hint="eastAsia" w:eastAsia="仿宋_GB2312" w:cs="Times New Roman"/>
          <w:color w:val="auto"/>
          <w:sz w:val="32"/>
          <w:szCs w:val="32"/>
          <w:highlight w:val="none"/>
          <w:lang w:eastAsia="zh-CN"/>
        </w:rPr>
        <w:t>。</w:t>
      </w:r>
      <w:r>
        <w:rPr>
          <w:rFonts w:hint="eastAsia" w:ascii="仿宋" w:hAnsi="仿宋" w:eastAsia="仿宋" w:cs="仿宋"/>
          <w:sz w:val="32"/>
          <w:szCs w:val="32"/>
          <w:highlight w:val="none"/>
          <w:lang w:val="en-US" w:eastAsia="zh-CN"/>
        </w:rPr>
        <w:t>2024年本部门支出</w:t>
      </w:r>
      <w:r>
        <w:rPr>
          <w:rFonts w:hint="default" w:ascii="仿宋" w:hAnsi="仿宋" w:eastAsia="仿宋" w:cs="仿宋"/>
          <w:sz w:val="32"/>
          <w:szCs w:val="32"/>
          <w:highlight w:val="none"/>
          <w:lang w:val="en-US" w:eastAsia="zh-CN"/>
        </w:rPr>
        <w:t>预算数</w:t>
      </w:r>
      <w:r>
        <w:rPr>
          <w:rFonts w:hint="eastAsia" w:ascii="仿宋" w:hAnsi="仿宋" w:eastAsia="仿宋" w:cs="仿宋"/>
          <w:sz w:val="32"/>
          <w:szCs w:val="32"/>
          <w:highlight w:val="none"/>
          <w:lang w:val="en-US" w:eastAsia="zh-CN"/>
        </w:rPr>
        <w:t>2976.50万元，其中，一般公共服务支出2463.59万元，社会保障和就业支出424.13万元，卫生健康支出88.78万元，压减公用经费和专项支出后，同口径对比，支出较上年增加129.08万元，增长率4，53%，主要原因是</w:t>
      </w:r>
      <w:r>
        <w:rPr>
          <w:rFonts w:hint="eastAsia" w:ascii="仿宋" w:hAnsi="仿宋" w:eastAsia="仿宋" w:cs="仿宋"/>
          <w:sz w:val="32"/>
          <w:szCs w:val="32"/>
          <w:highlight w:val="none"/>
          <w:lang w:val="en-US" w:eastAsia="zh-CN"/>
        </w:rPr>
        <w:t>2024年比2023年在编人员增加，人员类经费收入比去年增加11.28万元；公用经费收入相比去年减少27.30万元，项目收入相比去年增加145.10万元。</w:t>
      </w:r>
    </w:p>
    <w:p w14:paraId="46B1F2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eastAsia="仿宋_GB2312"/>
          <w:b/>
          <w:bCs/>
          <w:color w:val="auto"/>
          <w:sz w:val="32"/>
          <w:szCs w:val="32"/>
          <w:highlight w:val="yellow"/>
        </w:rPr>
      </w:pPr>
    </w:p>
    <w:p w14:paraId="6A4DD41B">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黑体"/>
          <w:bCs/>
          <w:kern w:val="0"/>
          <w:sz w:val="32"/>
          <w:szCs w:val="32"/>
          <w:highlight w:val="none"/>
          <w:lang w:eastAsia="zh-CN"/>
        </w:rPr>
      </w:pPr>
      <w:r>
        <w:rPr>
          <w:rFonts w:hint="eastAsia" w:eastAsia="黑体"/>
          <w:bCs/>
          <w:kern w:val="0"/>
          <w:sz w:val="32"/>
          <w:szCs w:val="32"/>
          <w:highlight w:val="none"/>
          <w:lang w:eastAsia="zh-CN"/>
        </w:rPr>
        <w:t>四、一般公共预算财政拨款收支情况</w:t>
      </w:r>
    </w:p>
    <w:p w14:paraId="62ABE82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right="0" w:rightChars="0" w:firstLine="640" w:firstLineChars="200"/>
        <w:jc w:val="both"/>
        <w:textAlignment w:val="auto"/>
        <w:outlineLvl w:val="9"/>
        <w:rPr>
          <w:rFonts w:hint="default" w:ascii="Times New Roman" w:hAnsi="Times New Roman" w:eastAsia="黑体" w:cs="Times New Roman"/>
          <w:bCs/>
          <w:color w:val="auto"/>
          <w:kern w:val="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w:t>
      </w:r>
      <w:r>
        <w:rPr>
          <w:rFonts w:hint="eastAsia"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年</w:t>
      </w:r>
      <w:r>
        <w:rPr>
          <w:rFonts w:hint="eastAsia" w:eastAsia="仿宋_GB2312" w:cs="Times New Roman"/>
          <w:color w:val="auto"/>
          <w:sz w:val="32"/>
          <w:szCs w:val="32"/>
          <w:highlight w:val="none"/>
          <w:lang w:val="en-US" w:eastAsia="zh-CN"/>
        </w:rPr>
        <w:t>本部门</w:t>
      </w:r>
      <w:r>
        <w:rPr>
          <w:rFonts w:hint="default" w:ascii="Times New Roman" w:hAnsi="Times New Roman" w:eastAsia="仿宋_GB2312" w:cs="Times New Roman"/>
          <w:color w:val="auto"/>
          <w:sz w:val="32"/>
          <w:szCs w:val="32"/>
          <w:highlight w:val="none"/>
          <w:lang w:val="en-US" w:eastAsia="zh-CN"/>
        </w:rPr>
        <w:t>一般公共预算拨款</w:t>
      </w:r>
      <w:r>
        <w:rPr>
          <w:rFonts w:hint="eastAsia" w:eastAsia="仿宋_GB2312" w:cs="Times New Roman"/>
          <w:color w:val="auto"/>
          <w:sz w:val="32"/>
          <w:szCs w:val="32"/>
          <w:highlight w:val="none"/>
          <w:lang w:val="en-US" w:eastAsia="zh-CN"/>
        </w:rPr>
        <w:t>支出</w:t>
      </w:r>
      <w:r>
        <w:rPr>
          <w:rFonts w:hint="default" w:ascii="Times New Roman" w:hAnsi="Times New Roman" w:eastAsia="仿宋_GB2312" w:cs="Times New Roman"/>
          <w:color w:val="auto"/>
          <w:sz w:val="32"/>
          <w:szCs w:val="32"/>
          <w:highlight w:val="none"/>
          <w:lang w:eastAsia="zh-CN"/>
        </w:rPr>
        <w:t>为</w:t>
      </w:r>
      <w:r>
        <w:rPr>
          <w:rFonts w:hint="eastAsia" w:eastAsia="仿宋_GB2312"/>
          <w:color w:val="auto"/>
          <w:sz w:val="32"/>
          <w:szCs w:val="32"/>
          <w:highlight w:val="none"/>
          <w:lang w:val="en-US" w:eastAsia="zh-CN"/>
        </w:rPr>
        <w:t>2976.50</w:t>
      </w:r>
      <w:r>
        <w:rPr>
          <w:rFonts w:hint="default" w:ascii="Times New Roman" w:hAnsi="Times New Roman" w:eastAsia="仿宋_GB2312" w:cs="Times New Roman"/>
          <w:color w:val="auto"/>
          <w:sz w:val="32"/>
          <w:szCs w:val="32"/>
          <w:highlight w:val="none"/>
          <w:lang w:eastAsia="zh-CN"/>
        </w:rPr>
        <w:t>万元，</w:t>
      </w:r>
      <w:r>
        <w:rPr>
          <w:rFonts w:hint="eastAsia" w:eastAsia="仿宋_GB2312" w:cs="Times New Roman"/>
          <w:color w:val="auto"/>
          <w:sz w:val="32"/>
          <w:szCs w:val="32"/>
          <w:highlight w:val="none"/>
          <w:lang w:eastAsia="zh-CN"/>
        </w:rPr>
        <w:t>其中</w:t>
      </w:r>
      <w:r>
        <w:rPr>
          <w:rFonts w:hint="eastAsia" w:ascii="Times New Roman" w:hAnsi="Times New Roman" w:eastAsia="仿宋_GB2312" w:cs="Times New Roman"/>
          <w:color w:val="auto"/>
          <w:sz w:val="32"/>
          <w:szCs w:val="32"/>
          <w:highlight w:val="none"/>
          <w:lang w:val="en-US" w:eastAsia="zh-CN"/>
        </w:rPr>
        <w:t>：一般公共服务支出</w:t>
      </w:r>
      <w:r>
        <w:rPr>
          <w:rFonts w:hint="eastAsia" w:eastAsia="仿宋_GB2312" w:cs="Times New Roman"/>
          <w:color w:val="auto"/>
          <w:sz w:val="32"/>
          <w:szCs w:val="32"/>
          <w:highlight w:val="none"/>
          <w:lang w:val="en-US" w:eastAsia="zh-CN"/>
        </w:rPr>
        <w:t>2463.59</w:t>
      </w:r>
      <w:r>
        <w:rPr>
          <w:rFonts w:hint="eastAsia" w:ascii="Times New Roman" w:hAnsi="Times New Roman" w:eastAsia="仿宋_GB2312" w:cs="Times New Roman"/>
          <w:color w:val="auto"/>
          <w:sz w:val="32"/>
          <w:szCs w:val="32"/>
          <w:highlight w:val="none"/>
          <w:lang w:val="en-US" w:eastAsia="zh-CN"/>
        </w:rPr>
        <w:t>万元，占</w:t>
      </w:r>
      <w:r>
        <w:rPr>
          <w:rFonts w:hint="eastAsia" w:eastAsia="仿宋_GB2312" w:cs="Times New Roman"/>
          <w:color w:val="auto"/>
          <w:sz w:val="32"/>
          <w:szCs w:val="32"/>
          <w:highlight w:val="none"/>
          <w:lang w:val="en-US" w:eastAsia="zh-CN"/>
        </w:rPr>
        <w:t>82.77</w:t>
      </w:r>
      <w:r>
        <w:rPr>
          <w:rFonts w:hint="eastAsia" w:ascii="Times New Roman" w:hAnsi="Times New Roman" w:eastAsia="仿宋_GB2312" w:cs="Times New Roman"/>
          <w:color w:val="auto"/>
          <w:sz w:val="32"/>
          <w:szCs w:val="32"/>
          <w:highlight w:val="none"/>
          <w:lang w:val="en-US" w:eastAsia="zh-CN"/>
        </w:rPr>
        <w:t>%；社会保障和就业支出424.13万元，占14.25%</w:t>
      </w:r>
      <w:r>
        <w:rPr>
          <w:rFonts w:hint="eastAsia" w:eastAsia="仿宋_GB2312" w:cs="Times New Roman"/>
          <w:color w:val="auto"/>
          <w:sz w:val="32"/>
          <w:szCs w:val="32"/>
          <w:highlight w:val="none"/>
          <w:lang w:val="en-US" w:eastAsia="zh-CN"/>
        </w:rPr>
        <w:t>，</w:t>
      </w:r>
      <w:r>
        <w:rPr>
          <w:rFonts w:hint="eastAsia" w:ascii="仿宋" w:hAnsi="仿宋" w:eastAsia="仿宋" w:cs="仿宋"/>
          <w:sz w:val="32"/>
          <w:szCs w:val="32"/>
          <w:highlight w:val="none"/>
          <w:lang w:val="en-US" w:eastAsia="zh-CN"/>
        </w:rPr>
        <w:t>卫生健康支出88.78万元，</w:t>
      </w:r>
      <w:r>
        <w:rPr>
          <w:rFonts w:hint="eastAsia" w:ascii="Times New Roman" w:hAnsi="Times New Roman" w:eastAsia="仿宋_GB2312" w:cs="Times New Roman"/>
          <w:color w:val="auto"/>
          <w:sz w:val="32"/>
          <w:szCs w:val="32"/>
          <w:highlight w:val="none"/>
          <w:lang w:val="en-US" w:eastAsia="zh-CN"/>
        </w:rPr>
        <w:t>占</w:t>
      </w:r>
      <w:r>
        <w:rPr>
          <w:rFonts w:hint="eastAsia" w:eastAsia="仿宋_GB2312" w:cs="Times New Roman"/>
          <w:color w:val="auto"/>
          <w:sz w:val="32"/>
          <w:szCs w:val="32"/>
          <w:highlight w:val="none"/>
          <w:lang w:val="en-US" w:eastAsia="zh-CN"/>
        </w:rPr>
        <w:t>2.98</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。具体安排</w:t>
      </w:r>
      <w:r>
        <w:rPr>
          <w:rFonts w:hint="default" w:ascii="Times New Roman" w:hAnsi="Times New Roman" w:eastAsia="仿宋_GB2312" w:cs="Times New Roman"/>
          <w:color w:val="auto"/>
          <w:sz w:val="32"/>
          <w:szCs w:val="32"/>
          <w:highlight w:val="none"/>
          <w:lang w:eastAsia="zh-CN"/>
        </w:rPr>
        <w:t>情况如下：</w:t>
      </w:r>
      <w:r>
        <w:rPr>
          <w:rFonts w:hint="eastAsia" w:eastAsia="仿宋_GB2312" w:cs="Times New Roman"/>
          <w:color w:val="auto"/>
          <w:sz w:val="32"/>
          <w:szCs w:val="32"/>
          <w:highlight w:val="none"/>
          <w:lang w:val="en-US" w:eastAsia="zh-CN"/>
        </w:rPr>
        <w:t xml:space="preserve"> </w:t>
      </w:r>
    </w:p>
    <w:p w14:paraId="6DF9C2AC">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sz w:val="32"/>
          <w:szCs w:val="32"/>
        </w:rPr>
      </w:pPr>
      <w:r>
        <w:rPr>
          <w:rFonts w:hint="eastAsia" w:ascii="仿宋_GB2312" w:eastAsia="仿宋_GB2312"/>
          <w:sz w:val="32"/>
          <w:szCs w:val="32"/>
          <w:lang w:eastAsia="zh-CN"/>
        </w:rPr>
        <w:t>（一）</w:t>
      </w:r>
      <w:r>
        <w:rPr>
          <w:rFonts w:hint="eastAsia" w:eastAsia="仿宋_GB2312"/>
          <w:sz w:val="32"/>
          <w:szCs w:val="32"/>
        </w:rPr>
        <w:t>基本支出</w:t>
      </w:r>
      <w:r>
        <w:rPr>
          <w:rFonts w:hint="eastAsia" w:eastAsia="仿宋_GB2312"/>
          <w:sz w:val="32"/>
          <w:szCs w:val="32"/>
          <w:lang w:eastAsia="zh-CN"/>
        </w:rPr>
        <w:t>：2024年年初预算数为</w:t>
      </w:r>
      <w:r>
        <w:rPr>
          <w:rFonts w:hint="eastAsia" w:eastAsia="仿宋_GB2312" w:cs="Times New Roman"/>
          <w:sz w:val="32"/>
          <w:szCs w:val="32"/>
          <w:lang w:val="en-US" w:eastAsia="zh-CN"/>
        </w:rPr>
        <w:t>2581.50</w:t>
      </w:r>
      <w:r>
        <w:rPr>
          <w:rFonts w:hint="eastAsia" w:eastAsia="仿宋_GB2312"/>
          <w:sz w:val="32"/>
          <w:szCs w:val="32"/>
          <w:lang w:eastAsia="zh-CN"/>
        </w:rPr>
        <w:t>万元，是指为保障单位机构正常运转、完成日常工作任务而发生的各项支出，包括用于基本工资682.37</w:t>
      </w:r>
      <w:r>
        <w:rPr>
          <w:rFonts w:hint="eastAsia" w:eastAsia="仿宋_GB2312"/>
          <w:sz w:val="32"/>
          <w:szCs w:val="32"/>
          <w:lang w:val="en-US" w:eastAsia="zh-CN"/>
        </w:rPr>
        <w:t>万元</w:t>
      </w:r>
      <w:r>
        <w:rPr>
          <w:rFonts w:hint="eastAsia" w:eastAsia="仿宋_GB2312"/>
          <w:sz w:val="32"/>
          <w:szCs w:val="32"/>
          <w:lang w:eastAsia="zh-CN"/>
        </w:rPr>
        <w:t>、绩效工资193.32</w:t>
      </w:r>
      <w:r>
        <w:rPr>
          <w:rFonts w:hint="eastAsia" w:eastAsia="仿宋_GB2312"/>
          <w:sz w:val="32"/>
          <w:szCs w:val="32"/>
          <w:lang w:val="en-US" w:eastAsia="zh-CN"/>
        </w:rPr>
        <w:t>万元、</w:t>
      </w:r>
      <w:r>
        <w:rPr>
          <w:rFonts w:hint="eastAsia" w:eastAsia="仿宋_GB2312"/>
          <w:sz w:val="32"/>
          <w:szCs w:val="32"/>
          <w:lang w:eastAsia="zh-CN"/>
        </w:rPr>
        <w:t>津贴补贴202.53</w:t>
      </w:r>
      <w:r>
        <w:rPr>
          <w:rFonts w:hint="eastAsia" w:eastAsia="仿宋_GB2312"/>
          <w:sz w:val="32"/>
          <w:szCs w:val="32"/>
          <w:lang w:val="en-US" w:eastAsia="zh-CN"/>
        </w:rPr>
        <w:t>万元、奖金469.36万元、机关事业单位基本养老233.78万元、职工基本医疗保险缴费88.78万元；住房公积金185.5万元、工会经费169.56万元、福利费34.12万元等；</w:t>
      </w:r>
    </w:p>
    <w:p w14:paraId="31137F3F">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default" w:eastAsia="仿宋_GB2312" w:cs="Times New Roman"/>
          <w:sz w:val="32"/>
          <w:szCs w:val="32"/>
          <w:lang w:val="en-US" w:eastAsia="zh-CN"/>
        </w:rPr>
      </w:pPr>
      <w:r>
        <w:rPr>
          <w:rFonts w:hint="eastAsia" w:ascii="仿宋_GB2312" w:eastAsia="仿宋_GB2312"/>
          <w:sz w:val="32"/>
          <w:szCs w:val="32"/>
          <w:lang w:eastAsia="zh-CN"/>
        </w:rPr>
        <w:t>（二）</w:t>
      </w:r>
      <w:r>
        <w:rPr>
          <w:rFonts w:hint="eastAsia" w:eastAsia="仿宋_GB2312"/>
          <w:sz w:val="32"/>
          <w:szCs w:val="32"/>
        </w:rPr>
        <w:t>项目支出</w:t>
      </w:r>
      <w:r>
        <w:rPr>
          <w:rFonts w:hint="eastAsia" w:eastAsia="仿宋_GB2312"/>
          <w:sz w:val="32"/>
          <w:szCs w:val="32"/>
          <w:lang w:eastAsia="zh-CN"/>
        </w:rPr>
        <w:t>：</w:t>
      </w:r>
      <w:r>
        <w:rPr>
          <w:rFonts w:hint="eastAsia" w:eastAsia="仿宋_GB2312"/>
          <w:sz w:val="32"/>
          <w:szCs w:val="32"/>
          <w:lang w:val="en-US" w:eastAsia="zh-CN"/>
        </w:rPr>
        <w:t>2024年年初预算数为395万元，是指单位为完成特定行政工作任务或事业发展目标而发生的支出，包括有关事业发展专项、专项业务费、基本建设支出等。</w:t>
      </w:r>
      <w:r>
        <w:rPr>
          <w:rFonts w:hint="eastAsia" w:eastAsia="仿宋_GB2312" w:cs="Times New Roman"/>
          <w:sz w:val="32"/>
          <w:szCs w:val="32"/>
          <w:lang w:val="en-US" w:eastAsia="zh-CN"/>
        </w:rPr>
        <w:t>其中：项目前期工作经费支出150万元，主要用于项目前期相关争资跑项等方面；粮油质检和监测经费支出25万元，主要用于我市粮油质检监测工作等方面；粮油仓储设施维护经费15万元，主要用于维护我市第二粮油仓库仓储设施工作等方面；专项业务（工作）经费支出20万元，主要用于价格认证、价格监测、成本审核日常工作等方面；节能降耗工作经费支出25万元，主要用于节能降耗工作评审、监督检查工作等方面；鹤中一体化专项经费100万元，主要用于我市鹤中一体化日常工作、课题研究、项目包装等方面。市粮油产品质量检测中心仪器设备购置专项经费40万元，主要用于我市粮油产品质量检测中心仪器设备购置方面。智能粮库管理系统运行维护费20万元，主要用于我市智能粮食管理系统信息化平台运营维护等方面。</w:t>
      </w:r>
    </w:p>
    <w:p w14:paraId="4C194E3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五、政府性基金支出情况</w:t>
      </w:r>
    </w:p>
    <w:p w14:paraId="46EFC0A5">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仿宋_GB2312" w:cs="Times New Roman"/>
          <w:sz w:val="32"/>
          <w:szCs w:val="32"/>
          <w:lang w:val="en-US" w:eastAsia="zh-CN"/>
        </w:rPr>
      </w:pPr>
      <w:r>
        <w:rPr>
          <w:rFonts w:hint="eastAsia" w:eastAsia="仿宋_GB2312" w:cs="Times New Roman"/>
          <w:sz w:val="32"/>
          <w:szCs w:val="32"/>
          <w:lang w:val="en-US" w:eastAsia="zh-CN"/>
        </w:rPr>
        <w:t>2024年</w:t>
      </w:r>
      <w:r>
        <w:rPr>
          <w:rFonts w:hint="eastAsia" w:eastAsia="仿宋_GB2312" w:cs="Times New Roman"/>
          <w:sz w:val="32"/>
          <w:szCs w:val="32"/>
          <w:lang w:eastAsia="zh-CN"/>
        </w:rPr>
        <w:t>无政府性基金预算支出</w:t>
      </w:r>
      <w:r>
        <w:rPr>
          <w:rFonts w:hint="eastAsia" w:eastAsia="仿宋_GB2312" w:cs="Times New Roman"/>
          <w:sz w:val="32"/>
          <w:szCs w:val="32"/>
          <w:lang w:val="en-US" w:eastAsia="zh-CN"/>
        </w:rPr>
        <w:t>。</w:t>
      </w:r>
    </w:p>
    <w:p w14:paraId="214D941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jc w:val="left"/>
        <w:textAlignment w:val="auto"/>
        <w:outlineLvl w:val="9"/>
        <w:rPr>
          <w:rFonts w:hint="eastAsia" w:eastAsia="黑体"/>
          <w:bCs/>
          <w:kern w:val="0"/>
          <w:sz w:val="32"/>
          <w:szCs w:val="32"/>
          <w:lang w:eastAsia="zh-CN"/>
        </w:rPr>
      </w:pPr>
      <w:r>
        <w:rPr>
          <w:rFonts w:hint="eastAsia" w:eastAsia="黑体"/>
          <w:bCs/>
          <w:kern w:val="0"/>
          <w:sz w:val="32"/>
          <w:szCs w:val="32"/>
          <w:lang w:val="en-US" w:eastAsia="zh-CN"/>
        </w:rPr>
        <w:t xml:space="preserve">    </w:t>
      </w:r>
      <w:r>
        <w:rPr>
          <w:rFonts w:hint="eastAsia" w:eastAsia="黑体"/>
          <w:bCs/>
          <w:kern w:val="0"/>
          <w:sz w:val="32"/>
          <w:szCs w:val="32"/>
          <w:lang w:eastAsia="zh-CN"/>
        </w:rPr>
        <w:t>六、其他重要事项的情况说明</w:t>
      </w:r>
    </w:p>
    <w:p w14:paraId="0246F197">
      <w:pPr>
        <w:keepNext w:val="0"/>
        <w:keepLines w:val="0"/>
        <w:pageBreakBefore w:val="0"/>
        <w:widowControl/>
        <w:numPr>
          <w:ilvl w:val="0"/>
          <w:numId w:val="0"/>
        </w:numPr>
        <w:kinsoku/>
        <w:wordWrap/>
        <w:overflowPunct/>
        <w:topLinePunct w:val="0"/>
        <w:autoSpaceDE/>
        <w:autoSpaceDN/>
        <w:bidi w:val="0"/>
        <w:adjustRightInd/>
        <w:snapToGrid/>
        <w:spacing w:line="500" w:lineRule="auto"/>
        <w:ind w:left="660" w:leftChars="0" w:right="0" w:rightChars="0"/>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（一）</w:t>
      </w:r>
      <w:r>
        <w:rPr>
          <w:rFonts w:hint="eastAsia" w:eastAsia="仿宋_GB2312" w:cs="Times New Roman"/>
          <w:b/>
          <w:bCs/>
          <w:sz w:val="32"/>
          <w:szCs w:val="32"/>
          <w:lang w:val="en-US" w:eastAsia="zh-CN"/>
        </w:rPr>
        <w:t>一般公共预算</w:t>
      </w:r>
      <w:r>
        <w:rPr>
          <w:rFonts w:hint="eastAsia" w:eastAsia="仿宋_GB2312"/>
          <w:b/>
          <w:bCs/>
          <w:sz w:val="32"/>
          <w:szCs w:val="32"/>
          <w:lang w:val="en-US" w:eastAsia="zh-CN"/>
        </w:rPr>
        <w:t>“三公”经费预算</w:t>
      </w:r>
    </w:p>
    <w:p w14:paraId="6E41A026">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textAlignment w:val="auto"/>
        <w:outlineLvl w:val="9"/>
        <w:rPr>
          <w:rFonts w:hint="eastAsia" w:eastAsia="仿宋_GB2312"/>
          <w:b w:val="0"/>
          <w:bCs w:val="0"/>
          <w:color w:val="auto"/>
          <w:sz w:val="32"/>
          <w:szCs w:val="32"/>
          <w:highlight w:val="none"/>
          <w:lang w:val="en-US" w:eastAsia="zh-CN"/>
        </w:rPr>
      </w:pPr>
      <w:r>
        <w:rPr>
          <w:rFonts w:hint="eastAsia" w:eastAsia="仿宋_GB2312"/>
          <w:sz w:val="32"/>
          <w:szCs w:val="32"/>
          <w:lang w:val="en-US" w:eastAsia="zh-CN"/>
        </w:rPr>
        <w:t xml:space="preserve">    </w:t>
      </w:r>
      <w:r>
        <w:rPr>
          <w:rFonts w:hint="eastAsia" w:eastAsia="仿宋_GB2312"/>
          <w:b/>
          <w:bCs/>
          <w:color w:val="FF0000"/>
          <w:sz w:val="32"/>
          <w:szCs w:val="32"/>
          <w:lang w:val="en-US" w:eastAsia="zh-CN"/>
        </w:rPr>
        <w:t xml:space="preserve"> </w:t>
      </w:r>
      <w:r>
        <w:rPr>
          <w:rFonts w:hint="eastAsia" w:eastAsia="仿宋_GB2312"/>
          <w:b w:val="0"/>
          <w:bCs w:val="0"/>
          <w:color w:val="auto"/>
          <w:sz w:val="32"/>
          <w:szCs w:val="32"/>
          <w:highlight w:val="none"/>
          <w:lang w:val="en-US" w:eastAsia="zh-CN"/>
        </w:rPr>
        <w:t>2024年怀化市发展和改革委员会部门安排一般公共预算“三公”经费预算数为47.24万元，</w:t>
      </w:r>
      <w:r>
        <w:rPr>
          <w:rFonts w:hint="eastAsia" w:eastAsia="仿宋_GB2312"/>
          <w:b w:val="0"/>
          <w:bCs w:val="0"/>
          <w:sz w:val="32"/>
          <w:szCs w:val="32"/>
          <w:lang w:val="en-US" w:eastAsia="zh-CN"/>
        </w:rPr>
        <w:t>其中，公务接待费14万元，公务用车购置费0万元，公务用车运行费33.24万元，因公出国（境）费0万元。2024年</w:t>
      </w:r>
      <w:r>
        <w:rPr>
          <w:rFonts w:hint="eastAsia" w:eastAsia="仿宋_GB2312"/>
          <w:b w:val="0"/>
          <w:bCs w:val="0"/>
          <w:color w:val="auto"/>
          <w:sz w:val="32"/>
          <w:szCs w:val="32"/>
          <w:highlight w:val="none"/>
          <w:lang w:val="en-US" w:eastAsia="zh-CN"/>
        </w:rPr>
        <w:t>一般公共预算“三公”经费预算较上年预算数增加6.74万元，提高14.27%，主要因为我委本年项目前期推进工作需要大量考察，公务用车运维费用增加。</w:t>
      </w:r>
    </w:p>
    <w:p w14:paraId="31FCDFF8">
      <w:pPr>
        <w:keepNext w:val="0"/>
        <w:keepLines w:val="0"/>
        <w:pageBreakBefore w:val="0"/>
        <w:widowControl/>
        <w:numPr>
          <w:ilvl w:val="0"/>
          <w:numId w:val="0"/>
        </w:numPr>
        <w:kinsoku/>
        <w:wordWrap/>
        <w:overflowPunct/>
        <w:topLinePunct w:val="0"/>
        <w:autoSpaceDE/>
        <w:autoSpaceDN/>
        <w:bidi w:val="0"/>
        <w:adjustRightInd/>
        <w:snapToGrid/>
        <w:spacing w:line="500" w:lineRule="auto"/>
        <w:ind w:left="660" w:leftChars="0" w:right="0" w:rightChars="0"/>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（二）机关运行经费</w:t>
      </w:r>
    </w:p>
    <w:p w14:paraId="1E7181EB">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jc w:val="left"/>
        <w:textAlignment w:val="auto"/>
        <w:outlineLvl w:val="9"/>
        <w:rPr>
          <w:rFonts w:hint="eastAsia" w:eastAsia="仿宋_GB2312"/>
          <w:sz w:val="32"/>
          <w:szCs w:val="32"/>
          <w:lang w:val="en-US" w:eastAsia="zh-CN"/>
        </w:rPr>
      </w:pPr>
      <w:r>
        <w:rPr>
          <w:rFonts w:hint="eastAsia" w:eastAsia="仿宋_GB2312"/>
          <w:sz w:val="32"/>
          <w:szCs w:val="32"/>
          <w:lang w:val="en-US" w:eastAsia="zh-CN"/>
        </w:rPr>
        <w:t xml:space="preserve">   </w:t>
      </w:r>
      <w:r>
        <w:rPr>
          <w:rFonts w:hint="eastAsia" w:eastAsia="仿宋_GB2312"/>
          <w:b w:val="0"/>
          <w:bCs w:val="0"/>
          <w:sz w:val="32"/>
          <w:szCs w:val="32"/>
          <w:lang w:val="en-US" w:eastAsia="zh-CN"/>
        </w:rPr>
        <w:t xml:space="preserve"> </w:t>
      </w:r>
      <w:r>
        <w:rPr>
          <w:rFonts w:hint="eastAsia" w:eastAsia="仿宋_GB2312"/>
          <w:b w:val="0"/>
          <w:bCs w:val="0"/>
          <w:color w:val="auto"/>
          <w:sz w:val="32"/>
          <w:szCs w:val="32"/>
          <w:lang w:val="en-US" w:eastAsia="zh-CN"/>
        </w:rPr>
        <w:t xml:space="preserve"> 2024年</w:t>
      </w:r>
      <w:r>
        <w:rPr>
          <w:rFonts w:hint="eastAsia" w:eastAsia="仿宋_GB2312"/>
          <w:b w:val="0"/>
          <w:bCs w:val="0"/>
          <w:color w:val="auto"/>
          <w:sz w:val="32"/>
          <w:szCs w:val="32"/>
          <w:highlight w:val="none"/>
          <w:lang w:val="en-US" w:eastAsia="zh-CN"/>
        </w:rPr>
        <w:t>怀化市发展和改革委员会部门机关运行经费219万元</w:t>
      </w:r>
      <w:r>
        <w:rPr>
          <w:rFonts w:hint="eastAsia" w:eastAsia="仿宋_GB2312" w:cs="Times New Roman"/>
          <w:b w:val="0"/>
          <w:bCs w:val="0"/>
          <w:color w:val="auto"/>
          <w:sz w:val="32"/>
          <w:szCs w:val="32"/>
          <w:highlight w:val="none"/>
          <w:lang w:val="en-US" w:eastAsia="zh-CN"/>
        </w:rPr>
        <w:t>，压减公用经</w:t>
      </w:r>
      <w:r>
        <w:rPr>
          <w:rFonts w:hint="eastAsia" w:eastAsia="仿宋_GB2312"/>
          <w:b w:val="0"/>
          <w:bCs w:val="0"/>
          <w:color w:val="auto"/>
          <w:sz w:val="32"/>
          <w:szCs w:val="32"/>
          <w:highlight w:val="none"/>
          <w:lang w:val="en-US" w:eastAsia="zh-CN"/>
        </w:rPr>
        <w:t>费后安排175.2万元，同</w:t>
      </w:r>
      <w:r>
        <w:rPr>
          <w:rFonts w:hint="eastAsia" w:eastAsia="仿宋_GB2312"/>
          <w:b w:val="0"/>
          <w:bCs w:val="0"/>
          <w:color w:val="auto"/>
          <w:sz w:val="32"/>
          <w:szCs w:val="32"/>
          <w:lang w:val="en-US" w:eastAsia="zh-CN"/>
        </w:rPr>
        <w:t>口径对比，比上</w:t>
      </w:r>
      <w:r>
        <w:rPr>
          <w:rFonts w:hint="eastAsia" w:eastAsia="仿宋_GB2312"/>
          <w:b w:val="0"/>
          <w:bCs w:val="0"/>
          <w:sz w:val="32"/>
          <w:szCs w:val="32"/>
          <w:lang w:val="en-US" w:eastAsia="zh-CN"/>
        </w:rPr>
        <w:t>年</w:t>
      </w:r>
      <w:r>
        <w:rPr>
          <w:rFonts w:hint="eastAsia" w:eastAsia="仿宋_GB2312"/>
          <w:sz w:val="32"/>
          <w:szCs w:val="32"/>
          <w:lang w:val="en-US" w:eastAsia="zh-CN"/>
        </w:rPr>
        <w:t>预算数减少27.30万元，下降15.6%，主要因为财政压减公用经费。</w:t>
      </w:r>
    </w:p>
    <w:p w14:paraId="78365378">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 xml:space="preserve">    （三）政府采购情况</w:t>
      </w:r>
    </w:p>
    <w:p w14:paraId="794B110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val="0"/>
          <w:bCs w:val="0"/>
          <w:color w:val="auto"/>
          <w:sz w:val="32"/>
          <w:szCs w:val="32"/>
          <w:highlight w:val="none"/>
          <w:lang w:val="en-US" w:eastAsia="zh-CN"/>
        </w:rPr>
      </w:pPr>
      <w:r>
        <w:rPr>
          <w:rFonts w:hint="eastAsia" w:eastAsia="仿宋_GB2312"/>
          <w:b w:val="0"/>
          <w:bCs w:val="0"/>
          <w:color w:val="auto"/>
          <w:sz w:val="32"/>
          <w:szCs w:val="32"/>
          <w:highlight w:val="none"/>
          <w:lang w:val="en-US" w:eastAsia="zh-CN"/>
        </w:rPr>
        <w:t>2024年怀化市发展和改革委员会政府采购预算总额40万元，其中，政府采购货物预算40万元、政府采购工程预算0万元、政府采购服务预算0万元。</w:t>
      </w:r>
    </w:p>
    <w:p w14:paraId="5498131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（四）预算绩效管理情况</w:t>
      </w:r>
    </w:p>
    <w:p w14:paraId="09BE856F">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val="0"/>
          <w:bCs w:val="0"/>
          <w:sz w:val="32"/>
          <w:szCs w:val="32"/>
          <w:lang w:val="en-US" w:eastAsia="zh-CN"/>
        </w:rPr>
      </w:pPr>
      <w:r>
        <w:rPr>
          <w:rFonts w:hint="eastAsia" w:eastAsia="仿宋_GB2312"/>
          <w:b w:val="0"/>
          <w:bCs w:val="0"/>
          <w:sz w:val="32"/>
          <w:szCs w:val="32"/>
          <w:lang w:val="en-US" w:eastAsia="zh-CN"/>
        </w:rPr>
        <w:t>按照市本级预算绩效管理工作的总体要求，2024年我单位整体支出2976.5万元，全部实行整体支出绩效目标管理，编报绩效目标的项目</w:t>
      </w:r>
      <w:r>
        <w:rPr>
          <w:rFonts w:hint="eastAsia" w:eastAsia="仿宋_GB2312"/>
          <w:sz w:val="32"/>
          <w:szCs w:val="32"/>
          <w:lang w:val="en-US" w:eastAsia="zh-CN"/>
        </w:rPr>
        <w:t>8</w:t>
      </w:r>
      <w:r>
        <w:rPr>
          <w:rFonts w:hint="eastAsia" w:eastAsia="仿宋_GB2312"/>
          <w:b w:val="0"/>
          <w:bCs w:val="0"/>
          <w:sz w:val="32"/>
          <w:szCs w:val="32"/>
          <w:lang w:val="en-US" w:eastAsia="zh-CN"/>
        </w:rPr>
        <w:t>个，涉及项目支出</w:t>
      </w:r>
      <w:r>
        <w:rPr>
          <w:rFonts w:hint="eastAsia" w:eastAsia="仿宋_GB2312"/>
          <w:sz w:val="32"/>
          <w:szCs w:val="32"/>
          <w:lang w:val="en-US" w:eastAsia="zh-CN"/>
        </w:rPr>
        <w:t>395</w:t>
      </w:r>
      <w:r>
        <w:rPr>
          <w:rFonts w:hint="eastAsia" w:eastAsia="仿宋_GB2312"/>
          <w:b w:val="0"/>
          <w:bCs w:val="0"/>
          <w:sz w:val="32"/>
          <w:szCs w:val="32"/>
          <w:lang w:val="en-US" w:eastAsia="zh-CN"/>
        </w:rPr>
        <w:t>万元，其中项目前期工作经费150万元，粮油质检和监测专项经费25万元，粮油仓储设施维护专项经费15万元，专项业务（工作）经费支出20万元，节能降耗工作经费支出25万元，鹤中一体化专项经费100万元，市粮油产品质量检测中心仪器设备购置专项经费40万元，智能粮库管理系统运维费20万元全部实行项目支出绩效目标管理。</w:t>
      </w:r>
    </w:p>
    <w:p w14:paraId="6F22DC4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b/>
          <w:bCs/>
          <w:sz w:val="32"/>
          <w:szCs w:val="32"/>
          <w:lang w:val="en-US" w:eastAsia="zh-CN"/>
        </w:rPr>
      </w:pPr>
      <w:r>
        <w:rPr>
          <w:rFonts w:hint="eastAsia" w:eastAsia="仿宋_GB2312"/>
          <w:b/>
          <w:bCs/>
          <w:sz w:val="32"/>
          <w:szCs w:val="32"/>
          <w:lang w:val="en-US" w:eastAsia="zh-CN"/>
        </w:rPr>
        <w:t>（五） 国有资产占用情况</w:t>
      </w:r>
    </w:p>
    <w:p w14:paraId="615895EB">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eastAsia="仿宋_GB2312"/>
          <w:kern w:val="0"/>
          <w:sz w:val="32"/>
          <w:szCs w:val="32"/>
          <w:highlight w:val="none"/>
        </w:rPr>
      </w:pPr>
      <w:r>
        <w:rPr>
          <w:rFonts w:hint="eastAsia" w:eastAsia="仿宋_GB2312"/>
          <w:b w:val="0"/>
          <w:bCs w:val="0"/>
          <w:sz w:val="32"/>
          <w:szCs w:val="32"/>
          <w:lang w:val="en-US" w:eastAsia="zh-CN"/>
        </w:rPr>
        <w:t>1.截至2024年12月31日，本部门共有车辆</w:t>
      </w:r>
      <w:r>
        <w:rPr>
          <w:rFonts w:hint="eastAsia" w:eastAsia="仿宋_GB2312"/>
          <w:sz w:val="32"/>
          <w:szCs w:val="32"/>
          <w:lang w:val="en-US" w:eastAsia="zh-CN"/>
        </w:rPr>
        <w:t>7</w:t>
      </w:r>
      <w:r>
        <w:rPr>
          <w:rFonts w:hint="eastAsia" w:eastAsia="仿宋_GB2312"/>
          <w:b w:val="0"/>
          <w:bCs w:val="0"/>
          <w:sz w:val="32"/>
          <w:szCs w:val="32"/>
          <w:lang w:val="en-US" w:eastAsia="zh-CN"/>
        </w:rPr>
        <w:t>辆，其中，一般公务用车</w:t>
      </w:r>
      <w:r>
        <w:rPr>
          <w:rFonts w:hint="eastAsia" w:eastAsia="仿宋_GB2312"/>
          <w:sz w:val="32"/>
          <w:szCs w:val="32"/>
          <w:lang w:val="en-US" w:eastAsia="zh-CN"/>
        </w:rPr>
        <w:t>7</w:t>
      </w:r>
      <w:r>
        <w:rPr>
          <w:rFonts w:hint="eastAsia" w:eastAsia="仿宋_GB2312"/>
          <w:b w:val="0"/>
          <w:bCs w:val="0"/>
          <w:sz w:val="32"/>
          <w:szCs w:val="32"/>
          <w:lang w:val="en-US" w:eastAsia="zh-CN"/>
        </w:rPr>
        <w:t>辆、一般执法执勤用车</w:t>
      </w:r>
      <w:r>
        <w:rPr>
          <w:rFonts w:hint="eastAsia" w:eastAsia="仿宋_GB2312"/>
          <w:sz w:val="32"/>
          <w:szCs w:val="32"/>
          <w:lang w:val="en-US" w:eastAsia="zh-CN"/>
        </w:rPr>
        <w:t>0</w:t>
      </w:r>
      <w:r>
        <w:rPr>
          <w:rFonts w:hint="eastAsia" w:eastAsia="仿宋_GB2312"/>
          <w:b w:val="0"/>
          <w:bCs w:val="0"/>
          <w:sz w:val="32"/>
          <w:szCs w:val="32"/>
          <w:lang w:val="en-US" w:eastAsia="zh-CN"/>
        </w:rPr>
        <w:t>辆、</w:t>
      </w:r>
      <w:r>
        <w:rPr>
          <w:rFonts w:eastAsia="仿宋_GB2312"/>
          <w:color w:val="auto"/>
          <w:kern w:val="0"/>
          <w:sz w:val="32"/>
          <w:szCs w:val="32"/>
          <w:highlight w:val="none"/>
        </w:rPr>
        <w:t>特种专业技术用车</w:t>
      </w:r>
      <w:r>
        <w:rPr>
          <w:rFonts w:hint="eastAsia" w:eastAsia="仿宋_GB2312"/>
          <w:sz w:val="32"/>
          <w:szCs w:val="32"/>
          <w:lang w:val="en-US" w:eastAsia="zh-CN"/>
        </w:rPr>
        <w:t>0</w:t>
      </w:r>
      <w:r>
        <w:rPr>
          <w:rFonts w:eastAsia="仿宋_GB2312"/>
          <w:color w:val="auto"/>
          <w:kern w:val="0"/>
          <w:sz w:val="32"/>
          <w:szCs w:val="32"/>
          <w:highlight w:val="none"/>
        </w:rPr>
        <w:t>辆</w:t>
      </w:r>
      <w:r>
        <w:rPr>
          <w:rFonts w:hint="eastAsia" w:eastAsia="仿宋_GB2312"/>
          <w:b w:val="0"/>
          <w:bCs w:val="0"/>
          <w:sz w:val="32"/>
          <w:szCs w:val="32"/>
          <w:lang w:val="en-US" w:eastAsia="zh-CN"/>
        </w:rPr>
        <w:t>。</w:t>
      </w:r>
      <w:r>
        <w:rPr>
          <w:rFonts w:eastAsia="仿宋_GB2312"/>
          <w:color w:val="auto"/>
          <w:kern w:val="0"/>
          <w:sz w:val="32"/>
          <w:szCs w:val="32"/>
          <w:highlight w:val="none"/>
        </w:rPr>
        <w:t>单位价值50 万元以</w:t>
      </w:r>
      <w:r>
        <w:rPr>
          <w:rFonts w:eastAsia="仿宋_GB2312"/>
          <w:kern w:val="0"/>
          <w:sz w:val="32"/>
          <w:szCs w:val="32"/>
          <w:highlight w:val="none"/>
        </w:rPr>
        <w:t>上通用设备</w:t>
      </w:r>
      <w:r>
        <w:rPr>
          <w:rFonts w:hint="eastAsia" w:eastAsia="仿宋_GB2312"/>
          <w:sz w:val="32"/>
          <w:szCs w:val="32"/>
          <w:lang w:val="en-US" w:eastAsia="zh-CN"/>
        </w:rPr>
        <w:t>0</w:t>
      </w:r>
      <w:r>
        <w:rPr>
          <w:rFonts w:eastAsia="仿宋_GB2312"/>
          <w:kern w:val="0"/>
          <w:sz w:val="32"/>
          <w:szCs w:val="32"/>
          <w:highlight w:val="none"/>
        </w:rPr>
        <w:t>台（套），单价100 万元以上专用设备</w:t>
      </w:r>
      <w:r>
        <w:rPr>
          <w:rFonts w:hint="eastAsia" w:eastAsia="仿宋_GB2312"/>
          <w:sz w:val="32"/>
          <w:szCs w:val="32"/>
          <w:lang w:val="en-US" w:eastAsia="zh-CN"/>
        </w:rPr>
        <w:t>0</w:t>
      </w:r>
      <w:r>
        <w:rPr>
          <w:rFonts w:eastAsia="仿宋_GB2312"/>
          <w:kern w:val="0"/>
          <w:sz w:val="32"/>
          <w:szCs w:val="32"/>
          <w:highlight w:val="none"/>
        </w:rPr>
        <w:t>台（套）。</w:t>
      </w:r>
    </w:p>
    <w:p w14:paraId="2EEE4FF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bCs/>
          <w:color w:val="auto"/>
          <w:sz w:val="32"/>
          <w:szCs w:val="32"/>
          <w:lang w:val="en-US" w:eastAsia="zh-CN"/>
        </w:rPr>
      </w:pPr>
      <w:r>
        <w:rPr>
          <w:rFonts w:hint="eastAsia" w:eastAsia="仿宋_GB2312"/>
          <w:color w:val="auto"/>
          <w:kern w:val="0"/>
          <w:sz w:val="32"/>
          <w:szCs w:val="32"/>
          <w:highlight w:val="none"/>
          <w:lang w:val="en-US" w:eastAsia="zh-CN"/>
        </w:rPr>
        <w:t>2.2024年，本部门拟新增资产具体为：公务用车</w:t>
      </w:r>
      <w:r>
        <w:rPr>
          <w:rFonts w:hint="eastAsia" w:eastAsia="仿宋_GB2312"/>
          <w:color w:val="auto"/>
          <w:sz w:val="32"/>
          <w:szCs w:val="32"/>
          <w:lang w:val="en-US" w:eastAsia="zh-CN"/>
        </w:rPr>
        <w:t>0</w:t>
      </w:r>
      <w:r>
        <w:rPr>
          <w:rFonts w:hint="eastAsia" w:eastAsia="仿宋_GB2312"/>
          <w:color w:val="auto"/>
          <w:sz w:val="32"/>
          <w:szCs w:val="32"/>
          <w:lang w:eastAsia="zh-CN"/>
        </w:rPr>
        <w:t>辆，价值</w:t>
      </w:r>
      <w:r>
        <w:rPr>
          <w:rFonts w:hint="eastAsia" w:eastAsia="仿宋_GB2312"/>
          <w:color w:val="auto"/>
          <w:sz w:val="32"/>
          <w:szCs w:val="32"/>
          <w:lang w:val="en-US" w:eastAsia="zh-CN"/>
        </w:rPr>
        <w:t>0</w:t>
      </w:r>
      <w:r>
        <w:rPr>
          <w:rFonts w:hint="eastAsia" w:eastAsia="仿宋_GB2312"/>
          <w:color w:val="auto"/>
          <w:sz w:val="32"/>
          <w:szCs w:val="32"/>
          <w:lang w:eastAsia="zh-CN"/>
        </w:rPr>
        <w:t>万元；单价</w:t>
      </w:r>
      <w:r>
        <w:rPr>
          <w:rFonts w:hint="eastAsia" w:eastAsia="仿宋_GB2312"/>
          <w:color w:val="auto"/>
          <w:sz w:val="32"/>
          <w:szCs w:val="32"/>
          <w:lang w:val="en-US" w:eastAsia="zh-CN"/>
        </w:rPr>
        <w:t>50万元以上通用设备0</w:t>
      </w:r>
      <w:r>
        <w:rPr>
          <w:rFonts w:hint="eastAsia" w:eastAsia="仿宋_GB2312"/>
          <w:color w:val="auto"/>
          <w:sz w:val="32"/>
          <w:szCs w:val="32"/>
          <w:lang w:eastAsia="zh-CN"/>
        </w:rPr>
        <w:t>台（套）；单价</w:t>
      </w:r>
      <w:r>
        <w:rPr>
          <w:rFonts w:hint="eastAsia" w:eastAsia="仿宋_GB2312"/>
          <w:color w:val="auto"/>
          <w:sz w:val="32"/>
          <w:szCs w:val="32"/>
          <w:lang w:val="en-US" w:eastAsia="zh-CN"/>
        </w:rPr>
        <w:t>100万元以上的专用设备0</w:t>
      </w:r>
      <w:r>
        <w:rPr>
          <w:rFonts w:eastAsia="仿宋_GB2312"/>
          <w:color w:val="auto"/>
          <w:kern w:val="0"/>
          <w:sz w:val="32"/>
          <w:szCs w:val="32"/>
          <w:highlight w:val="none"/>
        </w:rPr>
        <w:t>台（套）。</w:t>
      </w:r>
    </w:p>
    <w:p w14:paraId="4B8DE4E7">
      <w:pPr>
        <w:keepNext w:val="0"/>
        <w:keepLines w:val="0"/>
        <w:pageBreakBefore w:val="0"/>
        <w:widowControl w:val="0"/>
        <w:numPr>
          <w:numId w:val="0"/>
        </w:numPr>
        <w:kinsoku/>
        <w:wordWrap/>
        <w:overflowPunct/>
        <w:topLinePunct w:val="0"/>
        <w:autoSpaceDE/>
        <w:autoSpaceDN/>
        <w:bidi w:val="0"/>
        <w:adjustRightInd/>
        <w:snapToGrid/>
        <w:spacing w:line="620" w:lineRule="exact"/>
        <w:ind w:right="0" w:rightChars="0" w:firstLine="643" w:firstLineChars="200"/>
        <w:jc w:val="both"/>
        <w:textAlignment w:val="auto"/>
        <w:outlineLvl w:val="9"/>
        <w:rPr>
          <w:rFonts w:hint="eastAsia" w:eastAsia="仿宋_GB2312"/>
          <w:b/>
          <w:bCs/>
          <w:color w:val="auto"/>
          <w:sz w:val="32"/>
          <w:szCs w:val="32"/>
          <w:highlight w:val="red"/>
          <w:lang w:val="en-US" w:eastAsia="zh-CN"/>
        </w:rPr>
      </w:pPr>
      <w:r>
        <w:rPr>
          <w:rFonts w:hint="eastAsia" w:eastAsia="仿宋_GB2312"/>
          <w:b/>
          <w:bCs/>
          <w:color w:val="auto"/>
          <w:kern w:val="0"/>
          <w:sz w:val="32"/>
          <w:szCs w:val="32"/>
          <w:highlight w:val="none"/>
          <w:lang w:val="en-US" w:eastAsia="zh-CN"/>
        </w:rPr>
        <w:t>（六）</w:t>
      </w:r>
      <w:r>
        <w:rPr>
          <w:rFonts w:hint="eastAsia" w:eastAsia="楷体_GB2312" w:cs="Times New Roman"/>
          <w:b/>
          <w:bCs/>
          <w:color w:val="auto"/>
          <w:sz w:val="32"/>
          <w:szCs w:val="32"/>
          <w:lang w:val="en-US" w:eastAsia="zh-CN"/>
        </w:rPr>
        <w:t>预算绩效目标说明：</w:t>
      </w:r>
      <w:r>
        <w:rPr>
          <w:rFonts w:hint="eastAsia" w:eastAsia="仿宋_GB2312"/>
          <w:color w:val="auto"/>
          <w:kern w:val="0"/>
          <w:sz w:val="32"/>
          <w:szCs w:val="32"/>
          <w:highlight w:val="none"/>
          <w:lang w:val="en-US" w:eastAsia="zh-CN"/>
        </w:rPr>
        <w:t>本部门所有支出实行绩效目标管理。纳入2024年部门整体支出绩效目标的金额为2976.5万元，其中，基本支出2581.5万元，项目支出395万元。具体绩效目标详见报表。详见附件2024年项目支出及整体支出绩效目标表。</w:t>
      </w:r>
      <w:bookmarkStart w:id="0" w:name="_GoBack"/>
      <w:bookmarkEnd w:id="0"/>
    </w:p>
    <w:p w14:paraId="0EE3267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b/>
          <w:bCs/>
          <w:color w:val="auto"/>
          <w:kern w:val="0"/>
          <w:sz w:val="32"/>
          <w:szCs w:val="32"/>
          <w:highlight w:val="none"/>
          <w:lang w:val="en-US" w:eastAsia="zh-CN"/>
        </w:rPr>
      </w:pPr>
      <w:r>
        <w:rPr>
          <w:rFonts w:hint="eastAsia" w:eastAsia="仿宋_GB2312"/>
          <w:b/>
          <w:bCs/>
          <w:color w:val="auto"/>
          <w:kern w:val="0"/>
          <w:sz w:val="32"/>
          <w:szCs w:val="32"/>
          <w:highlight w:val="none"/>
          <w:lang w:val="en-US" w:eastAsia="zh-CN"/>
        </w:rPr>
        <w:t>（七）一般性支出情况</w:t>
      </w:r>
    </w:p>
    <w:p w14:paraId="6AFD6895">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jc w:val="left"/>
        <w:textAlignment w:val="auto"/>
        <w:outlineLvl w:val="9"/>
        <w:rPr>
          <w:rFonts w:hint="eastAsia"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1.2024年，本部门会议费预算25万元。具体为：易地搬迁后扶总结表彰会议会议，预计参会人数135人，预算4.2万元；项目工作申报、规划类会议，拟订并组织实施全市国民经济和社会发展战略、中长期规划和年度计划、落实重大任务以及相关政策等，预计参会人数总计380人，总预算12.16万元；重点建设项目推进会议预计参会人数总计150人，总预算4.8万元；粮食类会议，内容为全市粮食工作，预计参会人数总计120人，预算3.84万元。</w:t>
      </w:r>
    </w:p>
    <w:p w14:paraId="62CBA726">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2.2024年，本部门培训费预算45万元。具体为：发改系统业务培训，内容为陆港经济、固定资产投资、现代服务业、粮食贸易、廉政教育、队伍建设等内容，预计人数300人，时间为3天，预算28.8万元；党务干部培训，内容为党务知识、党建业务培训，预计人数40人，时间为2天，预算2.58万元；事业人员培训，预计人数60人，预算1.98万元。重大项目谋划研究培训，内容为推动怀化高水平开放高质量发展谋篇布局、出谋划策，预计人数120人，时间为1天，预算3.84万元；粮食工作培训，内容为粮食申报、运维系统使用等，预计人数100人，预算3.20万元；价格成本工作培训，内容为成本监审及农产品调查工作，预计人数50人，预算1.60万元；价格信息采集培训，内容为全市价格信息采集申报，预计人数50人，预算1.60万元；重点项目工作培训，内容为重点项目绩效平台使用等，预计人数100人，预算0.6万元；节能监察业务培训，内容为节能监察相关工作业务指导等，预计人数100人，预算0.8万元。</w:t>
      </w:r>
    </w:p>
    <w:p w14:paraId="2D50AD36">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eastAsia="黑体"/>
          <w:sz w:val="32"/>
          <w:szCs w:val="32"/>
        </w:rPr>
      </w:pPr>
      <w:r>
        <w:rPr>
          <w:rFonts w:hint="eastAsia" w:eastAsia="黑体"/>
          <w:sz w:val="32"/>
          <w:szCs w:val="32"/>
          <w:lang w:eastAsia="zh-CN"/>
        </w:rPr>
        <w:t>七、</w:t>
      </w:r>
      <w:r>
        <w:rPr>
          <w:rFonts w:hint="eastAsia" w:eastAsia="黑体"/>
          <w:sz w:val="32"/>
          <w:szCs w:val="32"/>
        </w:rPr>
        <w:t>专业名词解释</w:t>
      </w:r>
    </w:p>
    <w:p w14:paraId="179D6FD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1.机关运行经费：</w:t>
      </w:r>
      <w:r>
        <w:rPr>
          <w:rFonts w:hint="eastAsia" w:eastAsia="仿宋_GB2312"/>
          <w:sz w:val="32"/>
          <w:szCs w:val="32"/>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7AC501C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2.一般公共预算“三公”经费：</w:t>
      </w:r>
      <w:r>
        <w:rPr>
          <w:rFonts w:hint="eastAsia" w:eastAsia="仿宋_GB2312"/>
          <w:sz w:val="32"/>
          <w:szCs w:val="32"/>
          <w:lang w:val="en-US" w:eastAsia="zh-CN"/>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55253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FA2B7"/>
    <w:multiLevelType w:val="singleLevel"/>
    <w:tmpl w:val="5A7FA2B7"/>
    <w:lvl w:ilvl="0" w:tentative="0">
      <w:start w:val="2"/>
      <w:numFmt w:val="chineseCounting"/>
      <w:suff w:val="nothing"/>
      <w:lvlText w:val="%1、"/>
      <w:lvlJc w:val="left"/>
    </w:lvl>
  </w:abstractNum>
  <w:abstractNum w:abstractNumId="1">
    <w:nsid w:val="5A7FA837"/>
    <w:multiLevelType w:val="singleLevel"/>
    <w:tmpl w:val="5A7FA837"/>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685464"/>
    <w:rsid w:val="0BB974D9"/>
    <w:rsid w:val="1D6E17A5"/>
    <w:rsid w:val="1E1E4F79"/>
    <w:rsid w:val="39AB268D"/>
    <w:rsid w:val="45835E86"/>
    <w:rsid w:val="483B2A48"/>
    <w:rsid w:val="493C4382"/>
    <w:rsid w:val="58685464"/>
    <w:rsid w:val="5F2913F5"/>
    <w:rsid w:val="7AE85B90"/>
    <w:rsid w:val="7EB10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cs="宋体"/>
      <w:kern w:val="0"/>
      <w:sz w:val="24"/>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275</Words>
  <Characters>299</Characters>
  <Lines>0</Lines>
  <Paragraphs>0</Paragraphs>
  <TotalTime>45</TotalTime>
  <ScaleCrop>false</ScaleCrop>
  <LinksUpToDate>false</LinksUpToDate>
  <CharactersWithSpaces>304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2025-02-04T15:56:00Z</dcterms:created>
  <dc:creator>Administrator</dc:creator>
  <cp:lastModifiedBy>奔跑吧少年</cp:lastModifiedBy>
  <dcterms:modified xsi:type="dcterms:W3CDTF">2025-02-05T01:43:47Z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A36F8CDFBEE841A09C1BAC7432CD5292_11</vt:lpwstr>
  </property>
  <property fmtid="{D5CDD505-2E9C-101B-9397-08002B2CF9AE}" pid="4" name="KSOTemplateDocerSaveRecord">
    <vt:lpwstr>eyJoZGlkIjoiOTAyMzE4NmNjMDMyOWRiNzdjMGFlZTJjMzVhYWI1ZGQiLCJ1c2VySWQiOiIyOTgwNDkwNjQifQ==</vt:lpwstr>
  </property>
</Properties>
</file>