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color w:val="auto"/>
          <w:sz w:val="48"/>
          <w:szCs w:val="48"/>
          <w:lang w:val="en-US" w:eastAsia="zh-CN"/>
        </w:rPr>
      </w:pPr>
      <w:r>
        <w:rPr>
          <w:rFonts w:hint="eastAsia"/>
          <w:color w:val="auto"/>
          <w:sz w:val="48"/>
          <w:szCs w:val="48"/>
        </w:rPr>
        <w:t>2021年度</w:t>
      </w:r>
      <w:r>
        <w:rPr>
          <w:rFonts w:hint="eastAsia"/>
          <w:color w:val="auto"/>
          <w:sz w:val="48"/>
          <w:szCs w:val="48"/>
          <w:lang w:val="en-US" w:eastAsia="zh-CN"/>
        </w:rPr>
        <w:t>怀化市供销合作联合社</w:t>
      </w:r>
    </w:p>
    <w:p>
      <w:pPr>
        <w:pStyle w:val="11"/>
        <w:jc w:val="center"/>
        <w:rPr>
          <w:b/>
          <w:color w:val="auto"/>
          <w:sz w:val="48"/>
          <w:szCs w:val="48"/>
        </w:rPr>
      </w:pPr>
      <w:r>
        <w:rPr>
          <w:rFonts w:hint="eastAsia"/>
          <w:color w:val="auto"/>
          <w:sz w:val="48"/>
          <w:szCs w:val="48"/>
        </w:rPr>
        <w:t>部门决算</w:t>
      </w:r>
    </w:p>
    <w:p>
      <w:pPr>
        <w:pStyle w:val="11"/>
        <w:spacing w:line="500" w:lineRule="exact"/>
        <w:jc w:val="both"/>
        <w:rPr>
          <w:rFonts w:hint="eastAsia" w:eastAsia="黑体"/>
          <w:b/>
          <w:color w:val="auto"/>
          <w:sz w:val="36"/>
          <w:szCs w:val="28"/>
          <w:lang w:eastAsia="zh-CN"/>
        </w:rPr>
      </w:pPr>
    </w:p>
    <w:p>
      <w:pPr>
        <w:pStyle w:val="11"/>
        <w:spacing w:line="500" w:lineRule="exact"/>
        <w:jc w:val="center"/>
        <w:rPr>
          <w:rFonts w:hint="eastAsia"/>
          <w:b/>
          <w:color w:val="auto"/>
          <w:sz w:val="36"/>
          <w:szCs w:val="36"/>
        </w:rPr>
      </w:pPr>
      <w:r>
        <w:rPr>
          <w:rFonts w:hint="eastAsia"/>
          <w:b/>
          <w:color w:val="auto"/>
          <w:sz w:val="36"/>
          <w:szCs w:val="36"/>
        </w:rPr>
        <w:t>目录</w:t>
      </w:r>
    </w:p>
    <w:p>
      <w:pPr>
        <w:pStyle w:val="11"/>
        <w:spacing w:line="500" w:lineRule="exact"/>
        <w:jc w:val="center"/>
        <w:rPr>
          <w:rFonts w:hint="eastAsia"/>
          <w:b/>
          <w:color w:val="auto"/>
          <w:sz w:val="36"/>
          <w:szCs w:val="36"/>
        </w:rPr>
      </w:pPr>
    </w:p>
    <w:p>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hAnsi="仿宋_GB2312" w:cs="仿宋_GB2312"/>
          <w:b/>
          <w:color w:val="auto"/>
          <w:sz w:val="32"/>
          <w:szCs w:val="32"/>
        </w:rPr>
      </w:pPr>
      <w:r>
        <w:rPr>
          <w:rFonts w:hint="eastAsia"/>
          <w:b/>
          <w:color w:val="auto"/>
          <w:sz w:val="32"/>
          <w:szCs w:val="32"/>
        </w:rPr>
        <w:t>第一部分</w:t>
      </w:r>
      <w:r>
        <w:rPr>
          <w:rFonts w:hint="eastAsia"/>
          <w:b/>
          <w:color w:val="auto"/>
          <w:sz w:val="32"/>
          <w:szCs w:val="32"/>
          <w:lang w:val="en-US" w:eastAsia="zh-CN"/>
        </w:rPr>
        <w:t>怀化市供销合作联合社</w:t>
      </w:r>
      <w:r>
        <w:rPr>
          <w:rFonts w:hint="eastAsia"/>
          <w:b/>
          <w:color w:val="auto"/>
          <w:sz w:val="32"/>
          <w:szCs w:val="32"/>
        </w:rPr>
        <w:t>单位概况</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一、部门职责</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二、机构设置</w:t>
      </w:r>
    </w:p>
    <w:p>
      <w:pPr>
        <w:pStyle w:val="11"/>
        <w:spacing w:line="500" w:lineRule="exact"/>
        <w:ind w:firstLine="640" w:firstLineChars="200"/>
        <w:rPr>
          <w:rFonts w:ascii="仿宋_GB2312" w:hAnsi="仿宋_GB2312" w:cs="仿宋_GB2312"/>
          <w:b/>
          <w:color w:val="auto"/>
          <w:sz w:val="32"/>
          <w:szCs w:val="32"/>
        </w:rPr>
      </w:pPr>
      <w:r>
        <w:rPr>
          <w:rFonts w:hint="eastAsia" w:hAnsi="仿宋_GB2312"/>
          <w:b/>
          <w:color w:val="auto"/>
          <w:sz w:val="32"/>
          <w:szCs w:val="32"/>
        </w:rPr>
        <w:t>第二部分</w:t>
      </w:r>
      <w:r>
        <w:rPr>
          <w:rFonts w:hAnsi="仿宋_GB2312"/>
          <w:b/>
          <w:color w:val="auto"/>
          <w:sz w:val="32"/>
          <w:szCs w:val="32"/>
        </w:rPr>
        <w:t>20</w:t>
      </w:r>
      <w:r>
        <w:rPr>
          <w:rFonts w:hint="eastAsia" w:hAnsi="仿宋_GB2312"/>
          <w:b/>
          <w:color w:val="auto"/>
          <w:sz w:val="32"/>
          <w:szCs w:val="32"/>
        </w:rPr>
        <w:t>21年度部门决算表</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一、收入支出决算总表</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二、收入决算表</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三、支出决算表</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四、财政拨款收入支出决算总表</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五、一般公共预算财政拨款支出决算表</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六、一般公共预算财政拨款基本支出决算</w:t>
      </w:r>
      <w:r>
        <w:rPr>
          <w:rFonts w:hint="eastAsia" w:cs="仿宋_GB2312" w:asciiTheme="minorEastAsia" w:hAnsiTheme="minorEastAsia" w:eastAsiaTheme="minorEastAsia"/>
          <w:color w:val="auto"/>
          <w:sz w:val="32"/>
          <w:szCs w:val="32"/>
        </w:rPr>
        <w:t>明细</w:t>
      </w:r>
      <w:r>
        <w:rPr>
          <w:rFonts w:cs="仿宋_GB2312" w:asciiTheme="minorEastAsia" w:hAnsiTheme="minorEastAsia" w:eastAsiaTheme="minorEastAsia"/>
          <w:color w:val="auto"/>
          <w:sz w:val="32"/>
          <w:szCs w:val="32"/>
        </w:rPr>
        <w:t>表</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七、一般公共预算财政拨款“三公”经费支出决算表</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八、政府性基金预算财政拨款收入支出决算表</w:t>
      </w:r>
    </w:p>
    <w:p>
      <w:pPr>
        <w:pStyle w:val="11"/>
        <w:spacing w:line="500" w:lineRule="exact"/>
        <w:ind w:firstLine="800" w:firstLineChars="250"/>
        <w:rPr>
          <w:rFonts w:cs="仿宋_GB2312" w:asciiTheme="minorEastAsia" w:hAnsiTheme="minorEastAsia" w:eastAsiaTheme="minorEastAsia"/>
          <w:color w:val="auto"/>
          <w:sz w:val="32"/>
          <w:szCs w:val="32"/>
        </w:rPr>
      </w:pPr>
      <w:r>
        <w:rPr>
          <w:rFonts w:hint="eastAsia" w:cs="仿宋_GB2312" w:asciiTheme="minorEastAsia" w:hAnsiTheme="minorEastAsia" w:eastAsiaTheme="minorEastAsia"/>
          <w:color w:val="auto"/>
          <w:sz w:val="32"/>
          <w:szCs w:val="32"/>
        </w:rPr>
        <w:t>九、国有资本经营预算财政拨款支出决算表</w:t>
      </w:r>
    </w:p>
    <w:p>
      <w:pPr>
        <w:pStyle w:val="11"/>
        <w:spacing w:line="500" w:lineRule="exact"/>
        <w:ind w:firstLine="640" w:firstLineChars="200"/>
        <w:rPr>
          <w:rFonts w:ascii="仿宋_GB2312" w:hAnsi="仿宋_GB2312" w:cs="仿宋_GB2312"/>
          <w:b/>
          <w:color w:val="auto"/>
          <w:sz w:val="32"/>
          <w:szCs w:val="32"/>
        </w:rPr>
      </w:pPr>
      <w:r>
        <w:rPr>
          <w:rFonts w:hint="eastAsia" w:hAnsi="仿宋_GB2312"/>
          <w:b/>
          <w:color w:val="auto"/>
          <w:sz w:val="32"/>
          <w:szCs w:val="32"/>
        </w:rPr>
        <w:t>第三部分</w:t>
      </w:r>
      <w:r>
        <w:rPr>
          <w:rFonts w:hAnsi="仿宋_GB2312"/>
          <w:b/>
          <w:color w:val="auto"/>
          <w:sz w:val="32"/>
          <w:szCs w:val="32"/>
        </w:rPr>
        <w:t>20</w:t>
      </w:r>
      <w:r>
        <w:rPr>
          <w:rFonts w:hint="eastAsia" w:hAnsi="仿宋_GB2312"/>
          <w:b/>
          <w:color w:val="auto"/>
          <w:sz w:val="32"/>
          <w:szCs w:val="32"/>
        </w:rPr>
        <w:t>21年度部门决算情况说明</w:t>
      </w:r>
    </w:p>
    <w:p>
      <w:pPr>
        <w:pStyle w:val="11"/>
        <w:spacing w:line="500" w:lineRule="exact"/>
        <w:ind w:firstLine="800" w:firstLineChars="250"/>
        <w:rPr>
          <w:rFonts w:cs="仿宋_GB2312" w:asciiTheme="minorEastAsia" w:hAnsiTheme="minorEastAsia" w:eastAsiaTheme="minorEastAsia"/>
          <w:color w:val="auto"/>
          <w:sz w:val="32"/>
          <w:szCs w:val="32"/>
        </w:rPr>
      </w:pPr>
      <w:r>
        <w:rPr>
          <w:rFonts w:cs="仿宋_GB2312" w:asciiTheme="minorEastAsia" w:hAnsiTheme="minorEastAsia" w:eastAsiaTheme="minorEastAsia"/>
          <w:color w:val="auto"/>
          <w:sz w:val="32"/>
          <w:szCs w:val="32"/>
        </w:rPr>
        <w:t>一、收入支出决算总体情况说明</w:t>
      </w:r>
    </w:p>
    <w:p>
      <w:pPr>
        <w:spacing w:line="500" w:lineRule="exact"/>
        <w:ind w:firstLine="800" w:firstLineChars="250"/>
        <w:jc w:val="left"/>
        <w:rPr>
          <w:rFonts w:ascii="仿宋_GB2312" w:hAnsi="仿宋_GB2312" w:cs="仿宋_GB2312"/>
          <w:color w:val="auto"/>
          <w:sz w:val="32"/>
          <w:szCs w:val="32"/>
        </w:rPr>
      </w:pPr>
      <w:r>
        <w:rPr>
          <w:rFonts w:ascii="仿宋_GB2312" w:hAnsi="仿宋_GB2312" w:cs="仿宋_GB2312"/>
          <w:color w:val="auto"/>
          <w:sz w:val="32"/>
          <w:szCs w:val="32"/>
        </w:rPr>
        <w:t>二、收入决算情况说明</w:t>
      </w:r>
    </w:p>
    <w:p>
      <w:pPr>
        <w:autoSpaceDE w:val="0"/>
        <w:autoSpaceDN w:val="0"/>
        <w:adjustRightInd w:val="0"/>
        <w:spacing w:line="500" w:lineRule="exact"/>
        <w:ind w:firstLine="800" w:firstLineChars="250"/>
        <w:jc w:val="left"/>
        <w:rPr>
          <w:rFonts w:ascii="仿宋_GB2312" w:hAnsi="仿宋_GB2312" w:cs="仿宋_GB2312"/>
          <w:color w:val="auto"/>
          <w:kern w:val="0"/>
          <w:sz w:val="32"/>
          <w:szCs w:val="32"/>
        </w:rPr>
      </w:pPr>
      <w:r>
        <w:rPr>
          <w:rFonts w:ascii="仿宋_GB2312" w:hAnsi="仿宋_GB2312" w:cs="仿宋_GB2312"/>
          <w:color w:val="auto"/>
          <w:kern w:val="0"/>
          <w:sz w:val="32"/>
          <w:szCs w:val="32"/>
        </w:rPr>
        <w:t>三、支出决算情况说明</w:t>
      </w:r>
    </w:p>
    <w:p>
      <w:pPr>
        <w:autoSpaceDE w:val="0"/>
        <w:autoSpaceDN w:val="0"/>
        <w:adjustRightInd w:val="0"/>
        <w:spacing w:line="500" w:lineRule="exact"/>
        <w:ind w:firstLine="800" w:firstLineChars="250"/>
        <w:jc w:val="left"/>
        <w:rPr>
          <w:rFonts w:ascii="仿宋_GB2312" w:hAnsi="仿宋_GB2312" w:cs="仿宋_GB2312"/>
          <w:color w:val="auto"/>
          <w:kern w:val="0"/>
          <w:sz w:val="32"/>
          <w:szCs w:val="32"/>
        </w:rPr>
      </w:pPr>
      <w:r>
        <w:rPr>
          <w:rFonts w:ascii="仿宋_GB2312" w:hAnsi="仿宋_GB2312" w:cs="仿宋_GB2312"/>
          <w:color w:val="auto"/>
          <w:kern w:val="0"/>
          <w:sz w:val="32"/>
          <w:szCs w:val="32"/>
        </w:rPr>
        <w:t>四、财政拨款收入支出决算总体情况说明</w:t>
      </w:r>
    </w:p>
    <w:p>
      <w:pPr>
        <w:autoSpaceDE w:val="0"/>
        <w:autoSpaceDN w:val="0"/>
        <w:adjustRightInd w:val="0"/>
        <w:spacing w:line="500" w:lineRule="exact"/>
        <w:ind w:firstLine="800" w:firstLineChars="250"/>
        <w:jc w:val="left"/>
        <w:rPr>
          <w:rFonts w:ascii="仿宋_GB2312" w:hAnsi="仿宋_GB2312" w:cs="仿宋_GB2312"/>
          <w:color w:val="auto"/>
          <w:kern w:val="0"/>
          <w:sz w:val="32"/>
          <w:szCs w:val="32"/>
        </w:rPr>
      </w:pPr>
      <w:r>
        <w:rPr>
          <w:rFonts w:ascii="仿宋_GB2312" w:hAnsi="仿宋_GB2312" w:cs="仿宋_GB2312"/>
          <w:color w:val="auto"/>
          <w:kern w:val="0"/>
          <w:sz w:val="32"/>
          <w:szCs w:val="32"/>
        </w:rPr>
        <w:t>五、一般公共预算财政拨款支出决算情况说明</w:t>
      </w:r>
    </w:p>
    <w:p>
      <w:pPr>
        <w:autoSpaceDE w:val="0"/>
        <w:autoSpaceDN w:val="0"/>
        <w:adjustRightInd w:val="0"/>
        <w:spacing w:line="500" w:lineRule="exact"/>
        <w:ind w:firstLine="800" w:firstLineChars="250"/>
        <w:jc w:val="left"/>
        <w:rPr>
          <w:rFonts w:ascii="仿宋_GB2312" w:hAnsi="仿宋_GB2312" w:cs="仿宋_GB2312"/>
          <w:color w:val="auto"/>
          <w:kern w:val="0"/>
          <w:sz w:val="32"/>
          <w:szCs w:val="32"/>
        </w:rPr>
      </w:pPr>
      <w:r>
        <w:rPr>
          <w:rFonts w:ascii="仿宋_GB2312" w:hAnsi="仿宋_GB2312" w:cs="仿宋_GB2312"/>
          <w:color w:val="auto"/>
          <w:kern w:val="0"/>
          <w:sz w:val="32"/>
          <w:szCs w:val="32"/>
        </w:rPr>
        <w:t>六、一般公共预算财政拨款基本支出决算情况说明</w:t>
      </w:r>
    </w:p>
    <w:p>
      <w:pPr>
        <w:autoSpaceDE w:val="0"/>
        <w:autoSpaceDN w:val="0"/>
        <w:adjustRightInd w:val="0"/>
        <w:spacing w:line="500" w:lineRule="exact"/>
        <w:ind w:firstLine="800" w:firstLineChars="250"/>
        <w:jc w:val="left"/>
        <w:rPr>
          <w:rFonts w:ascii="仿宋_GB2312" w:hAnsi="仿宋_GB2312" w:cs="仿宋_GB2312"/>
          <w:color w:val="auto"/>
          <w:kern w:val="0"/>
          <w:sz w:val="32"/>
          <w:szCs w:val="32"/>
        </w:rPr>
      </w:pPr>
      <w:r>
        <w:rPr>
          <w:rFonts w:ascii="仿宋_GB2312" w:hAnsi="仿宋_GB2312" w:cs="仿宋_GB2312"/>
          <w:color w:val="auto"/>
          <w:kern w:val="0"/>
          <w:sz w:val="32"/>
          <w:szCs w:val="32"/>
        </w:rPr>
        <w:t>七、一般公共预算财政拨款</w:t>
      </w:r>
      <w:r>
        <w:rPr>
          <w:rFonts w:hint="eastAsia" w:ascii="仿宋_GB2312" w:hAnsi="仿宋_GB2312" w:cs="仿宋_GB2312"/>
          <w:color w:val="auto"/>
          <w:kern w:val="0"/>
          <w:sz w:val="32"/>
          <w:szCs w:val="32"/>
        </w:rPr>
        <w:t>“</w:t>
      </w:r>
      <w:r>
        <w:rPr>
          <w:rFonts w:ascii="仿宋_GB2312" w:hAnsi="仿宋_GB2312" w:cs="仿宋_GB2312"/>
          <w:color w:val="auto"/>
          <w:kern w:val="0"/>
          <w:sz w:val="32"/>
          <w:szCs w:val="32"/>
        </w:rPr>
        <w:t>三公</w:t>
      </w:r>
      <w:r>
        <w:rPr>
          <w:rFonts w:hint="eastAsia" w:ascii="仿宋_GB2312" w:hAnsi="仿宋_GB2312" w:cs="仿宋_GB2312"/>
          <w:color w:val="auto"/>
          <w:kern w:val="0"/>
          <w:sz w:val="32"/>
          <w:szCs w:val="32"/>
        </w:rPr>
        <w:t>”</w:t>
      </w:r>
      <w:r>
        <w:rPr>
          <w:rFonts w:ascii="仿宋_GB2312" w:hAnsi="仿宋_GB2312" w:cs="仿宋_GB2312"/>
          <w:color w:val="auto"/>
          <w:kern w:val="0"/>
          <w:sz w:val="32"/>
          <w:szCs w:val="32"/>
        </w:rPr>
        <w:t>经费支出决算情况说明</w:t>
      </w:r>
    </w:p>
    <w:p>
      <w:pPr>
        <w:autoSpaceDE w:val="0"/>
        <w:autoSpaceDN w:val="0"/>
        <w:adjustRightInd w:val="0"/>
        <w:spacing w:line="500" w:lineRule="exact"/>
        <w:ind w:firstLine="800" w:firstLineChars="250"/>
        <w:jc w:val="left"/>
        <w:rPr>
          <w:rFonts w:hint="eastAsia" w:ascii="仿宋_GB2312" w:hAnsi="仿宋_GB2312" w:cs="仿宋_GB2312"/>
          <w:color w:val="auto"/>
          <w:kern w:val="0"/>
          <w:sz w:val="32"/>
          <w:szCs w:val="32"/>
        </w:rPr>
      </w:pPr>
      <w:r>
        <w:rPr>
          <w:rFonts w:hint="eastAsia" w:ascii="仿宋_GB2312" w:hAnsi="仿宋_GB2312" w:cs="仿宋_GB2312"/>
          <w:color w:val="auto"/>
          <w:kern w:val="0"/>
          <w:sz w:val="32"/>
          <w:szCs w:val="32"/>
        </w:rPr>
        <w:t>八</w:t>
      </w:r>
      <w:r>
        <w:rPr>
          <w:rFonts w:ascii="仿宋_GB2312" w:hAnsi="仿宋_GB2312" w:cs="仿宋_GB2312"/>
          <w:color w:val="auto"/>
          <w:kern w:val="0"/>
          <w:sz w:val="32"/>
          <w:szCs w:val="32"/>
        </w:rPr>
        <w:t>、</w:t>
      </w:r>
      <w:r>
        <w:rPr>
          <w:rFonts w:hint="eastAsia" w:ascii="仿宋_GB2312" w:hAnsi="仿宋_GB2312" w:cs="仿宋_GB2312"/>
          <w:color w:val="auto"/>
          <w:kern w:val="0"/>
          <w:sz w:val="32"/>
          <w:szCs w:val="32"/>
        </w:rPr>
        <w:t>政府性基金预算收入支出决算情况</w:t>
      </w:r>
    </w:p>
    <w:p>
      <w:pPr>
        <w:autoSpaceDE w:val="0"/>
        <w:autoSpaceDN w:val="0"/>
        <w:adjustRightInd w:val="0"/>
        <w:spacing w:line="500" w:lineRule="exact"/>
        <w:ind w:firstLine="800" w:firstLineChars="250"/>
        <w:jc w:val="left"/>
        <w:rPr>
          <w:rFonts w:hint="eastAsia" w:ascii="仿宋_GB2312" w:hAnsi="仿宋_GB2312" w:cs="仿宋_GB2312"/>
          <w:color w:val="auto"/>
          <w:kern w:val="0"/>
          <w:sz w:val="32"/>
          <w:szCs w:val="32"/>
        </w:rPr>
      </w:pPr>
      <w:r>
        <w:rPr>
          <w:rFonts w:hint="eastAsia" w:ascii="仿宋_GB2312" w:hAnsi="仿宋_GB2312" w:cs="仿宋_GB2312"/>
          <w:color w:val="auto"/>
          <w:kern w:val="0"/>
          <w:sz w:val="32"/>
          <w:szCs w:val="32"/>
          <w:lang w:val="en-US" w:eastAsia="zh-CN"/>
        </w:rPr>
        <w:t>九、国有资本经营预算财政拨款支出</w:t>
      </w:r>
      <w:r>
        <w:rPr>
          <w:rFonts w:hint="eastAsia" w:ascii="仿宋_GB2312" w:hAnsi="仿宋_GB2312" w:cs="仿宋_GB2312"/>
          <w:color w:val="auto"/>
          <w:kern w:val="0"/>
          <w:sz w:val="32"/>
          <w:szCs w:val="32"/>
        </w:rPr>
        <w:t>决算情况</w:t>
      </w:r>
      <w:r>
        <w:rPr>
          <w:rFonts w:hint="eastAsia" w:ascii="仿宋_GB2312" w:hAnsi="仿宋_GB2312" w:cs="仿宋_GB2312"/>
          <w:color w:val="auto"/>
          <w:kern w:val="0"/>
          <w:sz w:val="32"/>
          <w:szCs w:val="32"/>
          <w:lang w:val="en-US" w:eastAsia="zh-CN"/>
        </w:rPr>
        <w:t>说明</w:t>
      </w:r>
    </w:p>
    <w:p>
      <w:pPr>
        <w:autoSpaceDE w:val="0"/>
        <w:autoSpaceDN w:val="0"/>
        <w:adjustRightInd w:val="0"/>
        <w:spacing w:line="500" w:lineRule="exact"/>
        <w:ind w:firstLine="800" w:firstLineChars="250"/>
        <w:jc w:val="left"/>
        <w:rPr>
          <w:rFonts w:ascii="仿宋_GB2312" w:hAnsi="仿宋_GB2312" w:cs="仿宋_GB2312"/>
          <w:color w:val="auto"/>
          <w:kern w:val="0"/>
          <w:sz w:val="32"/>
          <w:szCs w:val="32"/>
        </w:rPr>
      </w:pPr>
      <w:r>
        <w:rPr>
          <w:rFonts w:hint="eastAsia" w:ascii="仿宋_GB2312" w:hAnsi="仿宋_GB2312" w:cs="仿宋_GB2312"/>
          <w:color w:val="auto"/>
          <w:kern w:val="0"/>
          <w:sz w:val="32"/>
          <w:szCs w:val="32"/>
          <w:lang w:val="en-US" w:eastAsia="zh-CN"/>
        </w:rPr>
        <w:t>十</w:t>
      </w:r>
      <w:r>
        <w:rPr>
          <w:rFonts w:ascii="仿宋_GB2312" w:hAnsi="仿宋_GB2312" w:cs="仿宋_GB2312"/>
          <w:color w:val="auto"/>
          <w:kern w:val="0"/>
          <w:sz w:val="32"/>
          <w:szCs w:val="32"/>
        </w:rPr>
        <w:t>、</w:t>
      </w:r>
      <w:r>
        <w:rPr>
          <w:rFonts w:hint="eastAsia" w:ascii="仿宋_GB2312" w:hAnsi="仿宋_GB2312" w:cs="仿宋_GB2312"/>
          <w:color w:val="auto"/>
          <w:kern w:val="0"/>
          <w:sz w:val="32"/>
          <w:szCs w:val="32"/>
        </w:rPr>
        <w:t>机关运行经费支出说明</w:t>
      </w:r>
    </w:p>
    <w:p>
      <w:pPr>
        <w:autoSpaceDE w:val="0"/>
        <w:autoSpaceDN w:val="0"/>
        <w:adjustRightInd w:val="0"/>
        <w:spacing w:line="500" w:lineRule="exact"/>
        <w:ind w:firstLine="800" w:firstLineChars="250"/>
        <w:jc w:val="left"/>
        <w:rPr>
          <w:rFonts w:ascii="仿宋_GB2312" w:hAnsi="仿宋_GB2312" w:cs="仿宋_GB2312"/>
          <w:color w:val="auto"/>
          <w:kern w:val="0"/>
          <w:sz w:val="32"/>
          <w:szCs w:val="32"/>
        </w:rPr>
      </w:pPr>
      <w:r>
        <w:rPr>
          <w:rFonts w:hint="eastAsia" w:ascii="仿宋_GB2312" w:hAnsi="仿宋_GB2312" w:cs="仿宋_GB2312"/>
          <w:color w:val="auto"/>
          <w:kern w:val="0"/>
          <w:sz w:val="32"/>
          <w:szCs w:val="32"/>
        </w:rPr>
        <w:t>十</w:t>
      </w:r>
      <w:r>
        <w:rPr>
          <w:rFonts w:hint="eastAsia" w:ascii="仿宋_GB2312" w:hAnsi="仿宋_GB2312" w:cs="仿宋_GB2312"/>
          <w:color w:val="auto"/>
          <w:kern w:val="0"/>
          <w:sz w:val="32"/>
          <w:szCs w:val="32"/>
          <w:lang w:val="en-US" w:eastAsia="zh-CN"/>
        </w:rPr>
        <w:t>一</w:t>
      </w:r>
      <w:r>
        <w:rPr>
          <w:rFonts w:hint="eastAsia" w:ascii="仿宋_GB2312" w:hAnsi="仿宋_GB2312" w:cs="仿宋_GB2312"/>
          <w:color w:val="auto"/>
          <w:kern w:val="0"/>
          <w:sz w:val="32"/>
          <w:szCs w:val="32"/>
        </w:rPr>
        <w:t>、一般性支出情况说明</w:t>
      </w:r>
    </w:p>
    <w:p>
      <w:pPr>
        <w:autoSpaceDE w:val="0"/>
        <w:autoSpaceDN w:val="0"/>
        <w:adjustRightInd w:val="0"/>
        <w:spacing w:line="500" w:lineRule="exact"/>
        <w:ind w:firstLine="800" w:firstLineChars="250"/>
        <w:jc w:val="left"/>
        <w:rPr>
          <w:rFonts w:ascii="仿宋_GB2312" w:hAnsi="仿宋_GB2312" w:cs="仿宋_GB2312"/>
          <w:color w:val="auto"/>
          <w:kern w:val="0"/>
          <w:sz w:val="32"/>
          <w:szCs w:val="32"/>
        </w:rPr>
      </w:pPr>
      <w:r>
        <w:rPr>
          <w:rFonts w:hint="eastAsia" w:ascii="仿宋_GB2312" w:hAnsi="仿宋_GB2312" w:cs="仿宋_GB2312"/>
          <w:color w:val="auto"/>
          <w:kern w:val="0"/>
          <w:sz w:val="32"/>
          <w:szCs w:val="32"/>
        </w:rPr>
        <w:t>十</w:t>
      </w:r>
      <w:r>
        <w:rPr>
          <w:rFonts w:hint="eastAsia" w:ascii="仿宋_GB2312" w:hAnsi="仿宋_GB2312" w:cs="仿宋_GB2312"/>
          <w:color w:val="auto"/>
          <w:kern w:val="0"/>
          <w:sz w:val="32"/>
          <w:szCs w:val="32"/>
          <w:lang w:val="en-US" w:eastAsia="zh-CN"/>
        </w:rPr>
        <w:t>二</w:t>
      </w:r>
      <w:r>
        <w:rPr>
          <w:rFonts w:hint="eastAsia" w:ascii="仿宋_GB2312" w:hAnsi="仿宋_GB2312" w:cs="仿宋_GB2312"/>
          <w:color w:val="auto"/>
          <w:kern w:val="0"/>
          <w:sz w:val="32"/>
          <w:szCs w:val="32"/>
        </w:rPr>
        <w:t>、政府采购支出说明</w:t>
      </w:r>
    </w:p>
    <w:p>
      <w:pPr>
        <w:pStyle w:val="11"/>
        <w:spacing w:line="500" w:lineRule="exact"/>
        <w:ind w:firstLine="800" w:firstLineChars="250"/>
        <w:rPr>
          <w:rFonts w:ascii="仿宋_GB2312" w:hAnsi="仿宋_GB2312" w:cs="仿宋_GB2312" w:eastAsiaTheme="minorEastAsia"/>
          <w:color w:val="auto"/>
          <w:sz w:val="32"/>
          <w:szCs w:val="32"/>
        </w:rPr>
      </w:pPr>
      <w:r>
        <w:rPr>
          <w:rFonts w:hint="eastAsia" w:ascii="仿宋_GB2312" w:hAnsi="仿宋_GB2312" w:cs="仿宋_GB2312" w:eastAsiaTheme="minorEastAsia"/>
          <w:color w:val="auto"/>
          <w:sz w:val="32"/>
          <w:szCs w:val="32"/>
        </w:rPr>
        <w:t>十</w:t>
      </w:r>
      <w:r>
        <w:rPr>
          <w:rFonts w:hint="eastAsia" w:ascii="仿宋_GB2312" w:hAnsi="仿宋_GB2312" w:cs="仿宋_GB2312" w:eastAsiaTheme="minorEastAsia"/>
          <w:color w:val="auto"/>
          <w:sz w:val="32"/>
          <w:szCs w:val="32"/>
          <w:lang w:val="en-US" w:eastAsia="zh-CN"/>
        </w:rPr>
        <w:t>三</w:t>
      </w:r>
      <w:r>
        <w:rPr>
          <w:rFonts w:hint="eastAsia" w:ascii="仿宋_GB2312" w:hAnsi="仿宋_GB2312" w:cs="仿宋_GB2312" w:eastAsiaTheme="minorEastAsia"/>
          <w:color w:val="auto"/>
          <w:sz w:val="32"/>
          <w:szCs w:val="32"/>
        </w:rPr>
        <w:t>、国有资产占用情况说明</w:t>
      </w:r>
    </w:p>
    <w:p>
      <w:pPr>
        <w:pStyle w:val="11"/>
        <w:spacing w:line="500" w:lineRule="exact"/>
        <w:ind w:firstLine="800" w:firstLineChars="250"/>
        <w:rPr>
          <w:rFonts w:ascii="仿宋_GB2312" w:hAnsi="仿宋_GB2312" w:cs="仿宋_GB2312" w:eastAsiaTheme="minorEastAsia"/>
          <w:color w:val="auto"/>
          <w:sz w:val="32"/>
          <w:szCs w:val="32"/>
        </w:rPr>
      </w:pPr>
      <w:r>
        <w:rPr>
          <w:rFonts w:hint="eastAsia" w:ascii="仿宋_GB2312" w:hAnsi="仿宋_GB2312" w:cs="仿宋_GB2312" w:eastAsiaTheme="minorEastAsia"/>
          <w:color w:val="auto"/>
          <w:sz w:val="32"/>
          <w:szCs w:val="32"/>
        </w:rPr>
        <w:t>十</w:t>
      </w:r>
      <w:r>
        <w:rPr>
          <w:rFonts w:hint="eastAsia" w:ascii="仿宋_GB2312" w:hAnsi="仿宋_GB2312" w:cs="仿宋_GB2312" w:eastAsiaTheme="minorEastAsia"/>
          <w:color w:val="auto"/>
          <w:sz w:val="32"/>
          <w:szCs w:val="32"/>
          <w:lang w:val="en-US" w:eastAsia="zh-CN"/>
        </w:rPr>
        <w:t>四</w:t>
      </w:r>
      <w:r>
        <w:rPr>
          <w:rFonts w:hint="eastAsia" w:ascii="仿宋_GB2312" w:hAnsi="仿宋_GB2312" w:cs="仿宋_GB2312" w:eastAsiaTheme="minorEastAsia"/>
          <w:color w:val="auto"/>
          <w:sz w:val="32"/>
          <w:szCs w:val="32"/>
        </w:rPr>
        <w:t>、</w:t>
      </w:r>
      <w:r>
        <w:rPr>
          <w:rFonts w:hint="eastAsia" w:cs="仿宋_GB2312" w:asciiTheme="minorEastAsia" w:hAnsiTheme="minorEastAsia" w:eastAsiaTheme="minorEastAsia"/>
          <w:color w:val="auto"/>
          <w:sz w:val="32"/>
          <w:szCs w:val="32"/>
        </w:rPr>
        <w:t>2021年</w:t>
      </w:r>
      <w:r>
        <w:rPr>
          <w:rFonts w:hint="eastAsia" w:ascii="仿宋_GB2312" w:hAnsi="仿宋_GB2312" w:cs="仿宋_GB2312" w:eastAsiaTheme="minorEastAsia"/>
          <w:color w:val="auto"/>
          <w:sz w:val="32"/>
          <w:szCs w:val="32"/>
        </w:rPr>
        <w:t>度预算绩效情况说明</w:t>
      </w:r>
    </w:p>
    <w:p>
      <w:pPr>
        <w:autoSpaceDE w:val="0"/>
        <w:autoSpaceDN w:val="0"/>
        <w:adjustRightInd w:val="0"/>
        <w:spacing w:line="500" w:lineRule="exact"/>
        <w:ind w:firstLine="640" w:firstLineChars="200"/>
        <w:jc w:val="left"/>
        <w:rPr>
          <w:rFonts w:ascii="黑体" w:hAnsi="黑体" w:eastAsia="黑体" w:cs="黑体"/>
          <w:b/>
          <w:color w:val="auto"/>
          <w:kern w:val="0"/>
          <w:sz w:val="32"/>
          <w:szCs w:val="32"/>
        </w:rPr>
      </w:pPr>
      <w:r>
        <w:rPr>
          <w:rFonts w:ascii="黑体" w:hAnsi="黑体" w:eastAsia="黑体" w:cs="黑体"/>
          <w:b/>
          <w:color w:val="auto"/>
          <w:kern w:val="0"/>
          <w:sz w:val="32"/>
          <w:szCs w:val="32"/>
        </w:rPr>
        <w:t>第四部分名词解释</w:t>
      </w:r>
    </w:p>
    <w:p>
      <w:pPr>
        <w:autoSpaceDE w:val="0"/>
        <w:autoSpaceDN w:val="0"/>
        <w:adjustRightInd w:val="0"/>
        <w:spacing w:line="500" w:lineRule="exact"/>
        <w:ind w:firstLine="640" w:firstLineChars="200"/>
        <w:jc w:val="left"/>
        <w:rPr>
          <w:rFonts w:ascii="黑体" w:hAnsi="黑体" w:eastAsia="黑体" w:cs="仿宋_GB2312"/>
          <w:b/>
          <w:color w:val="auto"/>
          <w:kern w:val="0"/>
          <w:sz w:val="32"/>
          <w:szCs w:val="32"/>
        </w:rPr>
      </w:pPr>
      <w:r>
        <w:rPr>
          <w:rFonts w:hint="eastAsia" w:ascii="黑体" w:hAnsi="黑体" w:eastAsia="黑体" w:cs="黑体"/>
          <w:b/>
          <w:color w:val="auto"/>
          <w:kern w:val="0"/>
          <w:sz w:val="32"/>
          <w:szCs w:val="32"/>
        </w:rPr>
        <w:t>第五部分附件</w:t>
      </w:r>
    </w:p>
    <w:p>
      <w:pPr>
        <w:jc w:val="center"/>
        <w:rPr>
          <w:color w:val="auto"/>
          <w:sz w:val="72"/>
          <w:szCs w:val="72"/>
        </w:rPr>
      </w:pPr>
    </w:p>
    <w:p>
      <w:pPr>
        <w:jc w:val="center"/>
        <w:rPr>
          <w:color w:val="auto"/>
          <w:sz w:val="72"/>
          <w:szCs w:val="72"/>
        </w:rPr>
      </w:pPr>
    </w:p>
    <w:p>
      <w:pPr>
        <w:rPr>
          <w:color w:val="auto"/>
          <w:sz w:val="72"/>
          <w:szCs w:val="72"/>
        </w:rPr>
      </w:pPr>
    </w:p>
    <w:p>
      <w:pPr>
        <w:pStyle w:val="11"/>
        <w:jc w:val="center"/>
        <w:rPr>
          <w:color w:val="auto"/>
          <w:sz w:val="44"/>
          <w:szCs w:val="44"/>
        </w:rPr>
      </w:pPr>
      <w:r>
        <w:rPr>
          <w:rFonts w:hint="eastAsia"/>
          <w:color w:val="auto"/>
          <w:sz w:val="44"/>
          <w:szCs w:val="44"/>
        </w:rPr>
        <w:t>第一部分</w:t>
      </w:r>
      <w:r>
        <w:rPr>
          <w:color w:val="auto"/>
          <w:sz w:val="44"/>
          <w:szCs w:val="44"/>
        </w:rPr>
        <w:t xml:space="preserve"> </w:t>
      </w:r>
      <w:r>
        <w:rPr>
          <w:rFonts w:hint="eastAsia"/>
          <w:color w:val="auto"/>
          <w:sz w:val="44"/>
          <w:szCs w:val="44"/>
          <w:lang w:val="en-US" w:eastAsia="zh-CN"/>
        </w:rPr>
        <w:t>怀化市供销合作联合社</w:t>
      </w:r>
      <w:r>
        <w:rPr>
          <w:rFonts w:hint="eastAsia"/>
          <w:color w:val="auto"/>
          <w:sz w:val="44"/>
          <w:szCs w:val="44"/>
        </w:rPr>
        <w:t>概况</w:t>
      </w:r>
    </w:p>
    <w:p>
      <w:pPr>
        <w:pStyle w:val="12"/>
        <w:numPr>
          <w:ilvl w:val="0"/>
          <w:numId w:val="0"/>
        </w:numPr>
        <w:jc w:val="left"/>
        <w:rPr>
          <w:rFonts w:ascii="黑体" w:hAnsi="黑体" w:eastAsia="黑体"/>
          <w:color w:val="auto"/>
          <w:sz w:val="32"/>
          <w:szCs w:val="32"/>
        </w:rPr>
      </w:pP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ascii="黑体" w:hAnsi="黑体" w:eastAsia="黑体"/>
          <w:color w:val="auto"/>
          <w:sz w:val="32"/>
          <w:szCs w:val="32"/>
        </w:rPr>
      </w:pPr>
      <w:r>
        <w:rPr>
          <w:rFonts w:ascii="黑体" w:hAnsi="黑体" w:eastAsia="黑体"/>
          <w:color w:val="auto"/>
          <w:sz w:val="32"/>
          <w:szCs w:val="32"/>
        </w:rPr>
        <w:t>一、部门职责</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（一）贯彻执行国家、省有关农村经济工作的方针、政策、法规。</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（二）研究拟定全市供销合作社的发展规划、体制改革方案；指导全市供销合作社的改革和发展，组织市供销社所属单位具体实施。</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（三）根据市人民政府授权，指导全市有关农业生产资料和农副产品政策性业务经营工作。</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四）指导各级供销社开拓农村市场，推动全市供销社组织农民进入市场，发展农业产业化经营，为农业、农村和农民提供综合服务，建立和完善本系统为农业生产和农村经济发展服务的体系；预测预报相关的市场信息。</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（五）指导和监督供销社系统的资产管理，依法维护供销社的合法权益。</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（六）指导供销社系统的科技开发和推广应用工作，推进科教兴社。</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（七）研究制订市供销社直属单位人事、财务、资产的管理制度，并组织实施，确保社有资产的保值增值。</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（八）指导供销社系统组织建设、队伍建设和干部、职工教育培训工作。</w:t>
      </w:r>
    </w:p>
    <w:p>
      <w:pPr>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（九）承办市委、市人民政府交办的其他事项。</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ascii="黑体" w:hAnsi="黑体" w:eastAsia="黑体"/>
          <w:color w:val="auto"/>
          <w:sz w:val="32"/>
          <w:szCs w:val="32"/>
        </w:rPr>
      </w:pPr>
      <w:r>
        <w:rPr>
          <w:rFonts w:hint="eastAsia" w:ascii="黑体" w:hAnsi="黑体" w:eastAsia="黑体"/>
          <w:color w:val="auto"/>
          <w:sz w:val="32"/>
          <w:szCs w:val="32"/>
        </w:rPr>
        <w:t>二、机构设置及决算单位构成</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一）内设机构设置。怀化市供销合作联合社是一级部门预算单位，内设机构包括：办公室、人事科（加挂机关党委办公室）、财会科、经贸发展科（加挂市直属改制企业服务站）、农村电子商务科、合作安全科和监审科（加挂监事会办公室）共7个科室。怀化市供销合作联合社编制数为29人。2021年底在职人员27人，离退休人员40人，合计67人。</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（二）决算单位构成。怀化市供销合作联合社2022年部门决算汇总公开单位构成包括：怀化市供销合作联合社本级。</w:t>
      </w: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p>
    <w:p>
      <w:pPr>
        <w:pStyle w:val="12"/>
        <w:keepNext w:val="0"/>
        <w:keepLines w:val="0"/>
        <w:pageBreakBefore w:val="0"/>
        <w:widowControl/>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auto"/>
          <w:sz w:val="32"/>
          <w:szCs w:val="32"/>
          <w:lang w:val="en-US" w:eastAsia="zh-CN" w:bidi="ar-SA"/>
        </w:rPr>
      </w:pPr>
    </w:p>
    <w:p>
      <w:pPr>
        <w:jc w:val="center"/>
        <w:rPr>
          <w:rFonts w:hint="eastAsia" w:ascii="黑体" w:hAnsi="黑体" w:eastAsia="黑体" w:cs="黑体"/>
          <w:color w:val="auto"/>
          <w:sz w:val="44"/>
          <w:szCs w:val="44"/>
        </w:rPr>
      </w:pPr>
      <w:r>
        <w:rPr>
          <w:rFonts w:hint="eastAsia" w:ascii="黑体" w:hAnsi="黑体" w:eastAsia="黑体" w:cs="黑体"/>
          <w:color w:val="auto"/>
          <w:sz w:val="44"/>
          <w:szCs w:val="44"/>
        </w:rPr>
        <w:t>第二部分部门决算表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黑体" w:hAnsi="黑体" w:eastAsia="黑体" w:cs="黑体"/>
          <w:color w:val="auto"/>
          <w:sz w:val="44"/>
          <w:szCs w:val="44"/>
          <w:lang w:val="en-US"/>
        </w:rPr>
        <w:sectPr>
          <w:pgSz w:w="11906" w:h="16838"/>
          <w:pgMar w:top="1440" w:right="1684" w:bottom="1440" w:left="1684" w:header="851" w:footer="992" w:gutter="0"/>
          <w:cols w:space="0" w:num="1"/>
          <w:rtlGutter w:val="0"/>
          <w:docGrid w:type="linesAndChars" w:linePitch="312" w:charSpace="0"/>
        </w:sectPr>
      </w:pPr>
      <w:r>
        <w:rPr>
          <w:rFonts w:hint="eastAsia" w:ascii="黑体" w:hAnsi="黑体" w:eastAsia="黑体" w:cs="黑体"/>
          <w:color w:val="auto"/>
          <w:sz w:val="44"/>
          <w:szCs w:val="44"/>
          <w:lang w:val="en-US" w:eastAsia="zh-CN"/>
        </w:rPr>
        <w:t>见附件</w:t>
      </w:r>
    </w:p>
    <w:p>
      <w:pPr>
        <w:pStyle w:val="11"/>
        <w:jc w:val="center"/>
        <w:rPr>
          <w:color w:val="auto"/>
          <w:sz w:val="44"/>
          <w:szCs w:val="44"/>
        </w:rPr>
      </w:pPr>
      <w:bookmarkStart w:id="0" w:name="RANGE!A1:I22"/>
      <w:bookmarkEnd w:id="0"/>
      <w:r>
        <w:rPr>
          <w:rFonts w:hint="eastAsia"/>
          <w:color w:val="auto"/>
          <w:sz w:val="44"/>
          <w:szCs w:val="44"/>
        </w:rPr>
        <w:t>第三部</w:t>
      </w:r>
      <w:r>
        <w:rPr>
          <w:rFonts w:hint="eastAsia"/>
          <w:color w:val="auto"/>
          <w:sz w:val="44"/>
          <w:szCs w:val="44"/>
          <w:lang w:val="en-US" w:eastAsia="zh-CN"/>
        </w:rPr>
        <w:t>分</w:t>
      </w:r>
      <w:r>
        <w:rPr>
          <w:color w:val="auto"/>
          <w:sz w:val="44"/>
          <w:szCs w:val="44"/>
        </w:rPr>
        <w:t>20</w:t>
      </w:r>
      <w:r>
        <w:rPr>
          <w:rFonts w:hint="eastAsia"/>
          <w:color w:val="auto"/>
          <w:sz w:val="44"/>
          <w:szCs w:val="44"/>
        </w:rPr>
        <w:t>2</w:t>
      </w:r>
      <w:r>
        <w:rPr>
          <w:rFonts w:hint="eastAsia"/>
          <w:color w:val="auto"/>
          <w:sz w:val="44"/>
          <w:szCs w:val="44"/>
          <w:lang w:val="en-US" w:eastAsia="zh-CN"/>
        </w:rPr>
        <w:t>1</w:t>
      </w:r>
      <w:r>
        <w:rPr>
          <w:rFonts w:hint="eastAsia"/>
          <w:color w:val="auto"/>
          <w:sz w:val="44"/>
          <w:szCs w:val="44"/>
        </w:rPr>
        <w:t>年度部门决算情况说明</w:t>
      </w:r>
    </w:p>
    <w:p>
      <w:pPr>
        <w:widowControl/>
        <w:ind w:firstLine="640" w:firstLineChars="200"/>
        <w:jc w:val="left"/>
        <w:rPr>
          <w:rFonts w:hAnsi="黑体"/>
          <w:b/>
          <w:color w:val="auto"/>
          <w:sz w:val="32"/>
          <w:szCs w:val="32"/>
        </w:rPr>
      </w:pPr>
      <w:r>
        <w:rPr>
          <w:rFonts w:hint="eastAsia" w:hAnsi="黑体"/>
          <w:b/>
          <w:color w:val="auto"/>
          <w:sz w:val="32"/>
          <w:szCs w:val="32"/>
        </w:rPr>
        <w:t>一、收入支出决算总体情况说明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年度收入总计</w:t>
      </w:r>
      <w:r>
        <w:rPr>
          <w:rFonts w:hint="eastAsia" w:ascii="仿宋_GB2312" w:hAnsi="仿宋_GB2312" w:eastAsia="仿宋_GB2312" w:cs="仿宋_GB2312"/>
          <w:color w:val="auto"/>
          <w:sz w:val="32"/>
          <w:szCs w:val="32"/>
          <w:lang w:val="en-US" w:eastAsia="zh-CN"/>
        </w:rPr>
        <w:t>759.43</w:t>
      </w:r>
      <w:r>
        <w:rPr>
          <w:rFonts w:hint="eastAsia" w:ascii="仿宋_GB2312" w:hAnsi="仿宋_GB2312" w:eastAsia="仿宋_GB2312" w:cs="仿宋_GB2312"/>
          <w:color w:val="auto"/>
          <w:sz w:val="32"/>
          <w:szCs w:val="32"/>
        </w:rPr>
        <w:t>万元，其中本年收入合计</w:t>
      </w:r>
      <w:r>
        <w:rPr>
          <w:rFonts w:hint="eastAsia" w:ascii="仿宋_GB2312" w:hAnsi="仿宋_GB2312" w:eastAsia="仿宋_GB2312" w:cs="仿宋_GB2312"/>
          <w:color w:val="auto"/>
          <w:sz w:val="32"/>
          <w:szCs w:val="32"/>
          <w:lang w:val="en-US" w:eastAsia="zh-CN"/>
        </w:rPr>
        <w:t>704.86</w:t>
      </w:r>
      <w:r>
        <w:rPr>
          <w:rFonts w:hint="eastAsia" w:ascii="仿宋_GB2312" w:hAnsi="仿宋_GB2312" w:eastAsia="仿宋_GB2312" w:cs="仿宋_GB2312"/>
          <w:color w:val="auto"/>
          <w:sz w:val="32"/>
          <w:szCs w:val="32"/>
        </w:rPr>
        <w:t>万元，年初结转和结余</w:t>
      </w:r>
      <w:r>
        <w:rPr>
          <w:rFonts w:hint="eastAsia" w:ascii="仿宋_GB2312" w:hAnsi="仿宋_GB2312" w:eastAsia="仿宋_GB2312" w:cs="仿宋_GB2312"/>
          <w:color w:val="auto"/>
          <w:sz w:val="32"/>
          <w:szCs w:val="32"/>
          <w:lang w:val="en-US" w:eastAsia="zh-CN"/>
        </w:rPr>
        <w:t>54.57</w:t>
      </w:r>
      <w:r>
        <w:rPr>
          <w:rFonts w:hint="eastAsia" w:ascii="仿宋_GB2312" w:hAnsi="仿宋_GB2312" w:eastAsia="仿宋_GB2312" w:cs="仿宋_GB2312"/>
          <w:color w:val="auto"/>
          <w:sz w:val="32"/>
          <w:szCs w:val="32"/>
        </w:rPr>
        <w:t>万元。与上年相比，</w:t>
      </w:r>
      <w:r>
        <w:rPr>
          <w:rFonts w:hint="eastAsia" w:ascii="仿宋_GB2312" w:hAnsi="仿宋_GB2312" w:eastAsia="仿宋_GB2312" w:cs="仿宋_GB2312"/>
          <w:color w:val="auto"/>
          <w:sz w:val="32"/>
          <w:szCs w:val="32"/>
          <w:lang w:val="en-US" w:eastAsia="zh-CN"/>
        </w:rPr>
        <w:t>增加49.07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增长6.91</w:t>
      </w:r>
      <w:r>
        <w:rPr>
          <w:rFonts w:hint="eastAsia" w:ascii="仿宋_GB2312" w:hAnsi="仿宋_GB2312" w:eastAsia="仿宋_GB2312" w:cs="仿宋_GB2312"/>
          <w:color w:val="auto"/>
          <w:sz w:val="32"/>
          <w:szCs w:val="32"/>
        </w:rPr>
        <w:t>%，主要是因为年初结转和结余</w:t>
      </w:r>
      <w:r>
        <w:rPr>
          <w:rFonts w:hint="eastAsia" w:ascii="仿宋_GB2312" w:hAnsi="仿宋_GB2312" w:eastAsia="仿宋_GB2312" w:cs="仿宋_GB2312"/>
          <w:color w:val="auto"/>
          <w:sz w:val="32"/>
          <w:szCs w:val="32"/>
          <w:lang w:val="en-US" w:eastAsia="zh-CN"/>
        </w:rPr>
        <w:t>增加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新增2人，人员经费相应增加</w:t>
      </w:r>
      <w:r>
        <w:rPr>
          <w:rFonts w:hint="eastAsia" w:ascii="仿宋_GB2312" w:hAnsi="仿宋_GB2312" w:eastAsia="仿宋_GB2312" w:cs="仿宋_GB2312"/>
          <w:color w:val="auto"/>
          <w:sz w:val="32"/>
          <w:szCs w:val="32"/>
        </w:rPr>
        <w:t>。</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2021年度支出总计759.43万元，其中本年支出合计759.43万元，年末结转和结余0万元。与上年相比，增加49.07万元，增长6.91%，主要是因为新增2人，人员经费相应增加，上年结转至本年支出增多。</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rPr>
      </w:pPr>
      <w:r>
        <w:rPr>
          <w:rFonts w:hint="eastAsia" w:hAnsi="黑体"/>
          <w:b/>
          <w:color w:val="auto"/>
          <w:sz w:val="32"/>
          <w:szCs w:val="32"/>
        </w:rPr>
        <w:t>二、收入决算情况说明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2021年度收入合计</w:t>
      </w:r>
      <w:r>
        <w:rPr>
          <w:rFonts w:hint="eastAsia" w:ascii="仿宋_GB2312" w:hAnsi="仿宋_GB2312" w:eastAsia="仿宋_GB2312" w:cs="仿宋_GB2312"/>
          <w:color w:val="auto"/>
          <w:sz w:val="32"/>
          <w:szCs w:val="32"/>
          <w:lang w:val="en-US" w:eastAsia="zh-CN"/>
        </w:rPr>
        <w:t>704.86</w:t>
      </w:r>
      <w:r>
        <w:rPr>
          <w:rFonts w:hint="eastAsia" w:ascii="仿宋_GB2312" w:hAnsi="仿宋_GB2312" w:eastAsia="仿宋_GB2312" w:cs="仿宋_GB2312"/>
          <w:color w:val="auto"/>
          <w:sz w:val="32"/>
          <w:szCs w:val="32"/>
        </w:rPr>
        <w:t>万元，其中：财政拨款收入</w:t>
      </w:r>
      <w:r>
        <w:rPr>
          <w:rFonts w:hint="eastAsia" w:ascii="仿宋_GB2312" w:hAnsi="仿宋_GB2312" w:eastAsia="仿宋_GB2312" w:cs="仿宋_GB2312"/>
          <w:color w:val="auto"/>
          <w:sz w:val="32"/>
          <w:szCs w:val="32"/>
          <w:lang w:val="en-US" w:eastAsia="zh-CN"/>
        </w:rPr>
        <w:t>704.86</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%；上级补助收入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%；事业收入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%；经营收入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%；附属单位上缴收入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%；其他收入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rPr>
      </w:pPr>
      <w:r>
        <w:rPr>
          <w:rFonts w:hint="eastAsia" w:hAnsi="黑体"/>
          <w:b/>
          <w:color w:val="auto"/>
          <w:sz w:val="32"/>
          <w:szCs w:val="32"/>
        </w:rPr>
        <w:t>三、支出决算情况说明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2021年度支出合计</w:t>
      </w:r>
      <w:r>
        <w:rPr>
          <w:rFonts w:hint="eastAsia" w:ascii="仿宋_GB2312" w:hAnsi="仿宋_GB2312" w:eastAsia="仿宋_GB2312" w:cs="仿宋_GB2312"/>
          <w:color w:val="auto"/>
          <w:sz w:val="32"/>
          <w:szCs w:val="32"/>
          <w:lang w:val="en-US" w:eastAsia="zh-CN"/>
        </w:rPr>
        <w:t>759.43</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508.92</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67.01</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250.51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32.99</w:t>
      </w:r>
      <w:r>
        <w:rPr>
          <w:rFonts w:hint="eastAsia" w:ascii="仿宋_GB2312" w:hAnsi="仿宋_GB2312" w:eastAsia="仿宋_GB2312" w:cs="仿宋_GB2312"/>
          <w:color w:val="auto"/>
          <w:sz w:val="32"/>
          <w:szCs w:val="32"/>
        </w:rPr>
        <w:t>%；上缴上级支出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%；经营支出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%；对附属单位补助支出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rPr>
      </w:pPr>
      <w:r>
        <w:rPr>
          <w:rFonts w:hint="eastAsia" w:hAnsi="黑体"/>
          <w:b/>
          <w:color w:val="auto"/>
          <w:sz w:val="32"/>
          <w:szCs w:val="32"/>
        </w:rPr>
        <w:t>四、财政拨款收入支出决算总体情况说明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2021年度财政拨款收入总计759.43万元，与上年相比，增加49.07万元，增长6.91%，主要是因为年初结转和结余增加，新增2人，人员经费相应增加。</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2021年度财政拨款支出总计759.43万元，与上年相比，增加49.07万元，增长6.91%，主要是因为新增2人，人员经费相应增加，上年结转至本年支出增多。</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rPr>
      </w:pPr>
      <w:r>
        <w:rPr>
          <w:rFonts w:hint="eastAsia" w:hAnsi="黑体"/>
          <w:b/>
          <w:color w:val="auto"/>
          <w:sz w:val="32"/>
          <w:szCs w:val="32"/>
        </w:rPr>
        <w:t>五、一般公共预算财政拨款支出决算情况说明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（一）财政拨款支出决算总体情况</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2021年度财政拨款支出759.43万元，占本年支出合计的100%，与上年相比，财政拨款支出增加49.07万元，增长6.91%，主要是因为新增2人，人员经费相应增加，上年结转至本年支出增多。</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（二）财政拨款支出决算结构情况</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2021年度财政拨款支出759.43万元，主要用于以下方面：社会保障和就业支出158.12万元，占20.82%；卫生健康支出16.89万元，占2.22%;商业服务业等支出571.53万元，占75.26%;其他支出12.89万元，占1.70%。</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（三）财政拨款支出决算具体情况</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2021年度财政拨款支出年初预算数为432.69万元，支出决算数为759.43万元，完成年初预算的175.51%，其中：</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1、社会保障和就业支出（类）行政事业单位养老支出（款）事业单位离退休（项）。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年初预算为60.73万元，支出决算为61.54万元，完成年初预算的101.33%，决算数大于年初预算数的主要原因是：工资调整，离退休人员支出略增。</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2、社会保障和就业支出（类）行政事业单位养老支出（款）机关事业单位基本养老保险缴费支出（项）。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年初预算为0万元，支出决算为34.83万元，决算数大于年初预算数的主要原因是：财政追加基本养老保险缴费单位部分预算。</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3、社会保障和就业支出（类）行政事业单位养老支出（款）其他行政事业单位养老支出（项）。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年初预算为0万元，支出决算为60.74万元，决算数大于年初预算数的主要原因是：发放离退休人员春节一次性生活补助及综治奖金。</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4、社会保障和就业支出（类）抚恤（款）死亡抚恤（项）。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年初预算为0万元，支出决算为0.99万元，决算数大于年初预算数的主要原因是：追加遗属2020年度补助调整差额。</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5、卫生健康支出（类）行政事业单位医疗（款）行政事业单位医疗（项）。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年初预算为0万元，支出决算为15.46万元，决算数大于年初预算数的主要原因是：财政追加基本医疗等单位部分预算。</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6、卫生健康支出（类）行政事业单位医疗（款）其他行政事业单位医疗支出（项）。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年初预算为0万元，支出决算为1.44万元，决算数大于年初预算数的主要原因是：财政追加基本医疗等单位部分预算。</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7、商业服务业等支出（类）商业流通事务（款）行政运行（项）。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年初预算为352.32万元，支出决算为451.27万元，完成年初预算的128.08%，决算数大于年初预算数的主要原因是：上年结转供销企业发展资金于本年度支出，同时财政发放了2020年度绩效奖。</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8、商业服务业等支出（类）商业流通事务（款）一般行政管理事务（项）。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年初预算为15万元，支出决算为41.68万元，完成年初预算的277.86%，决算数大于年初预算数的主要原因是：上年结转供销社综合改革经费于本年支出。</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9、商业服务业等支出（类）商业流通事务（款）其他商业流通事务支出（项）。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年初预算为4.64万元，支出决算为52.97万元，完成年初预算的1141.59%，决算数大于年初预算数的主要原因是：追加“三社合一”工作经费及“怀橙”品牌专项经费支出。</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10、商业服务业等支出（类）其他商业服务业等支出（款）其他商业服务业等支出（项）。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年初预算为0万元，支出决算为25.61万元，决算数大于年初预算数的主要原因是：参加长沙果品大会，追加产生相应经费。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11、其他支出（类）其他支出（款）其他支出（项）。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年初预算为0万元，支出决算为12.89万元，决算数大于年初预算数的主要原因是本年度内退回银行存款产生的支出。</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rPr>
      </w:pPr>
      <w:r>
        <w:rPr>
          <w:rFonts w:hint="eastAsia" w:hAnsi="黑体"/>
          <w:b/>
          <w:color w:val="auto"/>
          <w:sz w:val="32"/>
          <w:szCs w:val="32"/>
        </w:rPr>
        <w:t>六、一般公共预算财政拨款基本支出决算情况说明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财政拨款基本支出508.92万元，其中：人员经费453.42万元，占基本支出的89.09%,主要包括基本工资、津贴补贴、奖金、伙食补助费、机关事业单位基本养老保险缴费、职工基本医疗保险缴费、其他社会保障缴费、抚恤金、生活补助、奖励金 、其他对个人和家庭的补助；公用经费55.50万元，占基本支出的10.91%，主要包括办公费、邮电费、差旅费、维修（护）费、工会经费、福利费、公务用车运行维护费、其他交通费、其他商品和服务支出。</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rPr>
      </w:pPr>
      <w:r>
        <w:rPr>
          <w:rFonts w:hint="eastAsia" w:hAnsi="黑体"/>
          <w:b/>
          <w:color w:val="auto"/>
          <w:sz w:val="32"/>
          <w:szCs w:val="32"/>
        </w:rPr>
        <w:t>七、一般公共预算财政拨款“三公”经费支出决算情况说明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（一）“三公”经费财政拨款支出决算总体情况说明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2021年度“三公”经费财政拨款支出预算为18.90万元，支出决算为5.66万元，完成预算的29.95%，其中：</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因公出国（境）费支出预算为0万元，支出决算为0万元，决算数与年初预算数持平，主要原因按预算执行，与上年数持平，主要原因本年度未安排因公出国（境）。</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公务接待费支出预算为15.12万元，支出决算为1.89万元，完成预算的12.5%，决算数小于预算数的主要原因是加强管理，例行节约，与上年相比减少1.15万元，减少37.83%,减少的主要原因是加强管理，例行节约。</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公务用车购置费支出预算为0万元，支出决算为0万元，决算数与年初预算数持平主要原因按预算执行，与上年数持平，主要是本年度及上年度均无公务用车购置费。</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公务用车运行维护费支出预算为3.78万元，支出决算为3.76万元，完成预算的99.47%，决算数小于预算数的主要原因是严格公务用车管理，与上年相比增加0.18万元，增长5.03%,增长的主要原因是2020年度部分公务用车维护费用在疫情期间未在单位支出。</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（二）“三公”经费财政拨款支出决算具体情况说明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2021年度“三公”经费财政拨款支出决算中，公务接待费支出决算1.89万元，占33.46%,因公出国（境）费支出决算0万元，占0%,公务用车购置费及运行维护费支出决算3.76万元，占66.54%。其中：</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1、因公出国（境）费支出决算为0万元，全年安排因公出国（境）团组0个，累计0人次。</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2、公务接待费支出决算为1.89万元，全年共接待来访团组24个、来宾114人次，主要是供销社综合改革业务发生的接待支出。</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公务用车购置费及运行维护费支出决算为0万元，其中：公务用车购置费0万元，怀化市供销合作联合社更新公务用车0辆。公务用车运行维护费3.76万元，主要是公务用车维修、充油卡、ETC等费用支出，截止2021年12月31日，我单位开支财政拨款的公务用车保有量为1辆。</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rPr>
      </w:pPr>
      <w:r>
        <w:rPr>
          <w:rFonts w:hint="eastAsia" w:hAnsi="黑体"/>
          <w:b/>
          <w:color w:val="auto"/>
          <w:sz w:val="32"/>
          <w:szCs w:val="32"/>
        </w:rPr>
        <w:t>八、政府性基金预算收入支出决算情况</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2021年度政府性基金预算财政拨款收入0万元；年初结转和结余0万元；支出0万元，其中基本支出0万元，项目支出0万元；年末结转和结余0万元。具体情况如下：本单位无政府性基金收支。</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lang w:val="en-US" w:eastAsia="zh-CN"/>
        </w:rPr>
      </w:pPr>
      <w:r>
        <w:rPr>
          <w:rFonts w:hint="eastAsia" w:hAnsi="黑体"/>
          <w:b/>
          <w:color w:val="auto"/>
          <w:sz w:val="32"/>
          <w:szCs w:val="32"/>
          <w:lang w:val="en-US" w:eastAsia="zh-CN"/>
        </w:rPr>
        <w:t>九、国有资本经营预算财政拨款支出</w:t>
      </w:r>
      <w:r>
        <w:rPr>
          <w:rFonts w:hint="eastAsia" w:hAnsi="黑体"/>
          <w:b/>
          <w:color w:val="auto"/>
          <w:sz w:val="32"/>
          <w:szCs w:val="32"/>
        </w:rPr>
        <w:t>决算情况</w:t>
      </w:r>
      <w:r>
        <w:rPr>
          <w:rFonts w:hint="eastAsia" w:hAnsi="黑体"/>
          <w:b/>
          <w:color w:val="auto"/>
          <w:sz w:val="32"/>
          <w:szCs w:val="32"/>
          <w:lang w:val="en-US" w:eastAsia="zh-CN"/>
        </w:rPr>
        <w:t>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Theme="minorEastAsia" w:hAnsiTheme="minorEastAsia" w:eastAsiaTheme="minorEastAsia"/>
          <w:color w:val="auto"/>
          <w:sz w:val="32"/>
          <w:szCs w:val="32"/>
          <w:lang w:eastAsia="zh-CN"/>
        </w:rPr>
      </w:pPr>
      <w:r>
        <w:rPr>
          <w:rFonts w:hint="eastAsia" w:ascii="仿宋_GB2312" w:hAnsi="仿宋_GB2312" w:eastAsia="仿宋_GB2312" w:cs="仿宋_GB2312"/>
          <w:color w:val="auto"/>
          <w:sz w:val="32"/>
          <w:szCs w:val="32"/>
          <w:lang w:val="en-US" w:eastAsia="zh-CN"/>
        </w:rPr>
        <w:t>本单位无国有资本经营预算财政拨款支出。</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lang w:val="en-US" w:eastAsia="zh-CN"/>
        </w:rPr>
      </w:pPr>
      <w:r>
        <w:rPr>
          <w:rFonts w:hint="eastAsia" w:hAnsi="黑体"/>
          <w:b/>
          <w:color w:val="auto"/>
          <w:sz w:val="32"/>
          <w:szCs w:val="32"/>
          <w:lang w:val="en-US" w:eastAsia="zh-CN"/>
        </w:rPr>
        <w:t>十、机关运行经费支出说明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本部门2021年度机关运行经费支出55.50万元，比上年决算数增加15.91万元，增长40.20%。主要原因是：较上年增加2人，相应经费增加，同时以前年度退回银行存款支出。</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lang w:val="en-US" w:eastAsia="zh-CN"/>
        </w:rPr>
      </w:pPr>
      <w:r>
        <w:rPr>
          <w:rFonts w:hint="eastAsia" w:hAnsi="黑体"/>
          <w:b/>
          <w:color w:val="auto"/>
          <w:sz w:val="32"/>
          <w:szCs w:val="32"/>
          <w:lang w:val="en-US" w:eastAsia="zh-CN"/>
        </w:rPr>
        <w:t>十一、一般性支出情况说明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2021年本部门开支会议费1.29万元，用于召开“三社合一”会议0.61万元，人数57人，内容为全市供销合作社系统农村“三社合一”综合改革；用于召开全市供销合作社综合改革工作会议0.36万元，人数34人，内容为综合改革工作会议；参加“新网工程”会议0.32万元，人数2人，内容为规范对“新网工程”项目投资企业的管理；开支培训费0.67万元，用于开展全市供销合作社系统财务和统计培训0.41万元，人数60人，内容为财务和统计培训；参加全省系统深化供销合作社综合改革专题班培训0.28万元，人数4人，主要是参加综合改革业务培训；举办“怀橙”品牌发布推介会暨怀化首届冰糖橙抢购节活动，开支29万元，主要是推介“怀橙”品牌及举办抢购节活动。</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lang w:val="en-US" w:eastAsia="zh-CN"/>
        </w:rPr>
      </w:pPr>
      <w:r>
        <w:rPr>
          <w:rFonts w:hint="eastAsia" w:hAnsi="黑体"/>
          <w:b/>
          <w:color w:val="auto"/>
          <w:sz w:val="32"/>
          <w:szCs w:val="32"/>
          <w:lang w:val="en-US" w:eastAsia="zh-CN"/>
        </w:rPr>
        <w:t>十二、政府采购支出说明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bookmarkStart w:id="1" w:name="_GoBack"/>
      <w:bookmarkEnd w:id="1"/>
      <w:r>
        <w:rPr>
          <w:rFonts w:hint="eastAsia" w:ascii="仿宋_GB2312" w:hAnsi="仿宋_GB2312" w:eastAsia="仿宋_GB2312" w:cs="仿宋_GB2312"/>
          <w:color w:val="auto"/>
          <w:sz w:val="32"/>
          <w:szCs w:val="32"/>
          <w:lang w:val="en-US" w:eastAsia="zh-CN"/>
        </w:rPr>
        <w:t>本部门2021年度政府采购支出总额0万元，其中：政府采购货物支出0万元、政府采购工程支出0万元、政府采购服务支出0万元。授予中小企业合同金额0万元，占政府采购支出总额的百分比无法计算，其中：授予小微企业合同金额0万元，占政府采购支出总额的百分比无法计算；货物采购授予中小企业合同金额占货物支出金额的百分比无法计算，工程采购授予中小企业合同金额占工程支出金额的百分比无法计算，服务采购授予中小企业合同金额占服务支出金额的百分比无法计算。</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lang w:val="en-US" w:eastAsia="zh-CN"/>
        </w:rPr>
      </w:pPr>
      <w:r>
        <w:rPr>
          <w:rFonts w:hint="eastAsia" w:hAnsi="黑体"/>
          <w:b/>
          <w:color w:val="auto"/>
          <w:sz w:val="32"/>
          <w:szCs w:val="32"/>
          <w:lang w:val="en-US" w:eastAsia="zh-CN"/>
        </w:rPr>
        <w:t>十三、国有资产占用情况说明</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截至2021年12月31日，部门（单位）共有车辆1辆，其中，主要领导干部用车0辆，机要通信用车0辆、应急保障用车0辆、执法执勤用车0辆、特种专业技术用车0辆、其他用车1辆，其他用车主要是单位公务用车；单位价值50万元以上通用设备0台（套）；单位价值100万元以上专用设备0台（套）。</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hAnsi="黑体"/>
          <w:b/>
          <w:color w:val="auto"/>
          <w:sz w:val="32"/>
          <w:szCs w:val="32"/>
          <w:lang w:val="en-US" w:eastAsia="zh-CN"/>
        </w:rPr>
      </w:pPr>
      <w:r>
        <w:rPr>
          <w:rFonts w:hint="eastAsia" w:hAnsi="黑体"/>
          <w:b/>
          <w:color w:val="auto"/>
          <w:sz w:val="32"/>
          <w:szCs w:val="32"/>
          <w:lang w:val="en-US" w:eastAsia="zh-CN"/>
        </w:rPr>
        <w:t>十四、2021年度预算绩效情况说明</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楷体_GB2312" w:hAnsi="楷体_GB2312" w:eastAsia="楷体_GB2312" w:cs="楷体_GB2312"/>
          <w:color w:val="auto"/>
          <w:kern w:val="0"/>
          <w:sz w:val="32"/>
          <w:szCs w:val="32"/>
        </w:rPr>
      </w:pPr>
      <w:r>
        <w:rPr>
          <w:rFonts w:hint="eastAsia" w:ascii="楷体_GB2312" w:hAnsi="楷体_GB2312" w:eastAsia="楷体_GB2312" w:cs="楷体_GB2312"/>
          <w:b/>
          <w:color w:val="auto"/>
          <w:kern w:val="0"/>
          <w:sz w:val="32"/>
          <w:szCs w:val="32"/>
        </w:rPr>
        <w:t>（1）绩效管理评价工作开展情况</w:t>
      </w:r>
      <w:r>
        <w:rPr>
          <w:rFonts w:hint="eastAsia" w:ascii="楷体_GB2312" w:hAnsi="楷体_GB2312" w:eastAsia="楷体_GB2312" w:cs="楷体_GB2312"/>
          <w:color w:val="auto"/>
          <w:kern w:val="0"/>
          <w:sz w:val="32"/>
          <w:szCs w:val="32"/>
        </w:rPr>
        <w:t>。</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根据预算绩效管理要求，我部门组织对2021 年度一般公共预算项目支出全面开展绩效自评，其中，一级项目6个，共涉及资金250.50万元，占一般公共预算项目支出总额的100%。组织对2021年度0个政府性基金预算项目支出开展绩效自评，共涉及资金0万元，占政府性基金预算项目支出总额的100%。组织对2021年度0个国有资本经营预算项目支出开展绩效自评，共涉及资金0万元，占国有资本经营预算项目支出总额的100%。</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织对“供销社综合改革”“长沙果品大会”等6个项目开展了部门评价，涉及一般公共预算支出250.50万元，政府性基金预算支出0万元，国有资本经营预算支出0万元。从评价情况来看，项目组织机构健全、职责分工明确、实施程序规范。项目实施进度与预算执行进度按时、按质、完成项目建设任务。由专人负责监督项目的实施，项目完成后，由有关人员进行检查验收。完善专项资金管理，从源头入手，落实责任，完善制度，合理使用，加强监管，确保资金的管理使用高效率。根据财政管理要求，结合我社实际,制定规章制度，将各项经济活动划分到具体工作岗位, 按照岗位确定任务、职责和权限，贯彻执行所制订的相关制度。</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织对怀化市供销合作联合社这1个单位开展整体支出绩效评价，涉及一般公共预算支出759.43万元，政府性基金预算支出0万元。从评价情况来看，今年以来，怀化市供销合作联合社在市委、市政府的坚强领导和省供销总社的精心指导下下，不断创新工作思路、搭建为农服务平台、大力推进综合改革，年度各项目标任务高质量完成。</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楷体_GB2312" w:hAnsi="楷体_GB2312" w:eastAsia="楷体_GB2312" w:cs="楷体_GB2312"/>
          <w:b/>
          <w:color w:val="auto"/>
          <w:kern w:val="0"/>
          <w:sz w:val="32"/>
          <w:szCs w:val="32"/>
        </w:rPr>
      </w:pPr>
      <w:r>
        <w:rPr>
          <w:rFonts w:hint="eastAsia" w:ascii="楷体_GB2312" w:hAnsi="楷体_GB2312" w:eastAsia="楷体_GB2312" w:cs="楷体_GB2312"/>
          <w:b/>
          <w:color w:val="auto"/>
          <w:kern w:val="0"/>
          <w:sz w:val="32"/>
          <w:szCs w:val="32"/>
        </w:rPr>
        <w:t>（2）部门决算中项目绩效自评结果。</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供销社综合改革专项绩效自评综述：根据年初设定的绩效目标，项目绩效自评得分为100分。项目全年预算数为146.68万元，执行数为146.56万元，完成预算的99.92%。项目绩效目标完成情况：一是按《怀化市供销合作联合社关于2021年度120万综合改革专项经费使用计划的报告》（怀供〔2021〕8号）（结转部分按结转要求使用）要求，完成了全市55个村启动改革试点工作，抓好300个以上改革示范村，同时按照市场主导的原则逐步扩大覆盖面，基本形成“三社合一”发展体制机制；二是完成了对“三社合一”商标注册及APP小程序维护管理；三是完成围绕乡村振兴“五大振兴”目标按进度完成定点帮扶村乡村振兴任务目标；四是规范供销企业，加强社有资产管理；五是加强了“怀橙”区域公共品牌推广。发现的主要问题及原因：一是绩效评价意识不强。财政资金使用必问效，目前部分业务工作人员绩效意识不强，完成绩效评价工作积极性不高；二是内控制度不够完善，职责分工不明确，流程管理不够清晰。下一步改进措施：一是加强项目期中监督管理，确保项目按计划完成；二是建议加强对绩效自评资料的监督和管理，建立健全“事前明确绩效目标，事中加强监督管理，事后实施绩效评价”的专项资金管理体系，确保项目按照计划的实施进度保质保量完成；三是规范项目管理，建立健全各项管理制度。</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“三社合一”专项绩效自评综述：根据年初设定的绩效目标，项目绩效自评得分为100分。项目全年预算数为20万元，执行数为19.34万元，完成预算的96.7%。项目绩效目标完成情况：完成在全市55个村启动“三社合一</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综合改革试点工作。推进村级供销社、农民专业合作社、农村信用服务社“三社”完善功能、相互支持、融合发展的体制机制。整合</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三社</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为农服务资源，充分调动和发挥村级供销社的组织优势、流通优势、服务优势，着力构建</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三社合一</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综合服务平台。</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怀橙”品牌建设暨第一届抢购节专项绩效自评综述：根据年初设定的绩效目标，项目绩效自评得分为100分。项目全年预算数为29万元，执行数为29万元，完成预算的100%。项目绩效目标完成情况：一是对加快我市怀化冰糖橙品牌整合力度，打造“怀橙”品牌的全国影响力；二是举办成功举办抢购节活动。</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供销社企业发展引导专项绩效自评综述：根据年初设定的绩效目标，项目绩效自评得分为100分。项目全年预算数为15万元，执行数为15万元，完成预算的100%。项目绩效目标完成情况：完成维修怀化供销储运总公司4#楼仓库屋面，维修项目工程包括拆除原有瓦屋面、修正屋面基层、重新盖瓦。发现的主要问题及原因：一是绩效评价意识不强。财政资金使用必问效，目前部分业务工作人员绩效意识不强，完成绩效评价工作积极性不高；二是内控制度不够完善，职责分工不明确，流程管理不够清晰。下一步改进措施：一是加强项目期中监督管理，确保项目按计划完成；二是建议加强对绩效自评资料的监督和管理，建立健全“事前明确绩效目标，事中加强监督管理，事后实施绩效评价”的专项资金管理体系，确保项目按照计划的实施进度保质保量完成；三是规范项目管理，建立健全各项管理制度。</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长沙果品大会”专项绩效自评综述：根据年初设定的绩效目标，项目绩效自评得分为100分。项目全年预算数为26.1万元，执行数为25.61万元，完成预算的98.12%。项目绩效目标完成情况：一是按照《怀化市供销合作联合社关于组织参加第五届长沙果品产业博览会工作方案》，开展了这组织县市区特色果品参展、租赁展位及涉及装修、制作展品宣传资料等工作；二是提升了品牌意识，提高了农产品的附加值；三是怀化市供销社获得了组织奖，参展产品获得了3个湖南省十大果品区域公共品牌；四是现场销售2.5吨冰糖柑，同5家水果批发商签订意向销售协议。发现的主要问题及原因：一是绩效评价意识不强。财政资金使用必问效，目前部分业务工作人员绩效意识不强，完成绩效评价工作积极性不高；二是内控制度不够完善，职责分工不明确，流程管理不够清晰。下一步改进措施：一是加强项目期中监督管理，确保项目按计划完成；二是建议加强对绩效自评资料的监督和管理，建立健全“事前明确绩效目标，事中加强监督管理，事后实施绩效评价”的专项资金管理体系，确保项目按照计划的实施进度保质保量完成；三是规范项目管理，建立健全各项管理制度。</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楷体_GB2312" w:hAnsi="楷体_GB2312" w:eastAsia="楷体_GB2312" w:cs="楷体_GB2312"/>
          <w:b/>
          <w:color w:val="auto"/>
          <w:kern w:val="0"/>
          <w:sz w:val="32"/>
          <w:szCs w:val="32"/>
        </w:rPr>
      </w:pPr>
      <w:r>
        <w:rPr>
          <w:rFonts w:hint="eastAsia" w:ascii="楷体_GB2312" w:hAnsi="楷体_GB2312" w:eastAsia="楷体_GB2312" w:cs="楷体_GB2312"/>
          <w:b/>
          <w:color w:val="auto"/>
          <w:kern w:val="0"/>
          <w:sz w:val="32"/>
          <w:szCs w:val="32"/>
        </w:rPr>
        <w:t>（3）部门评价项目绩效评价结果。</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专项资金已经开专绩效评价，并已经进行公开，见附件。</w:t>
      </w:r>
    </w:p>
    <w:p>
      <w:pPr>
        <w:pStyle w:val="11"/>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p>
    <w:p>
      <w:pPr>
        <w:pStyle w:val="11"/>
        <w:jc w:val="both"/>
        <w:rPr>
          <w:rFonts w:hint="eastAsia"/>
          <w:color w:val="auto"/>
          <w:sz w:val="72"/>
          <w:szCs w:val="72"/>
        </w:rPr>
      </w:pPr>
    </w:p>
    <w:p>
      <w:pPr>
        <w:pStyle w:val="11"/>
        <w:jc w:val="center"/>
        <w:rPr>
          <w:rFonts w:ascii="黑体" w:eastAsia="黑体" w:cs="黑体"/>
          <w:color w:val="auto"/>
          <w:kern w:val="0"/>
          <w:sz w:val="44"/>
          <w:szCs w:val="44"/>
        </w:rPr>
      </w:pPr>
      <w:r>
        <w:rPr>
          <w:rFonts w:hint="eastAsia"/>
          <w:color w:val="auto"/>
          <w:sz w:val="44"/>
          <w:szCs w:val="44"/>
        </w:rPr>
        <w:t>第四部分</w:t>
      </w:r>
      <w:r>
        <w:rPr>
          <w:rFonts w:hint="eastAsia" w:ascii="黑体" w:eastAsia="黑体" w:cs="黑体"/>
          <w:color w:val="auto"/>
          <w:kern w:val="0"/>
          <w:sz w:val="44"/>
          <w:szCs w:val="44"/>
        </w:rPr>
        <w:t>名词解释</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一、基本支出：指单位为保障其机构正常运转、完成日常工作任务而发生的人员支出和公用支出。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二、项目支出：指单位为完成特定行政任务和事业发展目标在基本支出之外所发生的支出。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三、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color w:val="auto"/>
          <w:sz w:val="72"/>
          <w:szCs w:val="72"/>
        </w:rPr>
      </w:pPr>
      <w:r>
        <w:rPr>
          <w:rFonts w:hint="eastAsia" w:ascii="仿宋_GB2312" w:hAnsi="仿宋_GB2312" w:eastAsia="仿宋_GB2312" w:cs="仿宋_GB2312"/>
          <w:color w:val="auto"/>
          <w:kern w:val="0"/>
          <w:sz w:val="32"/>
          <w:szCs w:val="32"/>
          <w:lang w:val="en-US" w:eastAsia="zh-CN" w:bidi="ar-SA"/>
        </w:rPr>
        <w:t>四、“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1"/>
        <w:jc w:val="center"/>
        <w:rPr>
          <w:rFonts w:cs="黑体" w:asciiTheme="minorEastAsia" w:hAnsiTheme="minorEastAsia"/>
          <w:b/>
          <w:color w:val="auto"/>
          <w:kern w:val="0"/>
          <w:sz w:val="32"/>
          <w:szCs w:val="32"/>
        </w:rPr>
      </w:pPr>
      <w:r>
        <w:rPr>
          <w:rFonts w:hint="eastAsia"/>
          <w:color w:val="auto"/>
          <w:sz w:val="44"/>
          <w:szCs w:val="44"/>
        </w:rPr>
        <w:t>第五部分</w:t>
      </w:r>
      <w:r>
        <w:rPr>
          <w:rFonts w:hint="eastAsia"/>
          <w:color w:val="auto"/>
          <w:sz w:val="44"/>
          <w:szCs w:val="44"/>
          <w:lang w:val="en-US" w:eastAsia="zh-CN"/>
        </w:rPr>
        <w:t xml:space="preserve"> </w:t>
      </w:r>
      <w:r>
        <w:rPr>
          <w:rFonts w:hint="eastAsia" w:ascii="黑体" w:eastAsia="黑体" w:cs="黑体"/>
          <w:color w:val="auto"/>
          <w:kern w:val="0"/>
          <w:sz w:val="44"/>
          <w:szCs w:val="44"/>
        </w:rPr>
        <w:t>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4E4088"/>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639B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C0478"/>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76ABE"/>
    <w:rsid w:val="00E8683C"/>
    <w:rsid w:val="00EA2B72"/>
    <w:rsid w:val="00F74360"/>
    <w:rsid w:val="00FB462F"/>
    <w:rsid w:val="00FE16FA"/>
    <w:rsid w:val="00FE328A"/>
    <w:rsid w:val="00FE6269"/>
    <w:rsid w:val="00FF5CD6"/>
    <w:rsid w:val="0236335D"/>
    <w:rsid w:val="026058EC"/>
    <w:rsid w:val="04F95F66"/>
    <w:rsid w:val="07826817"/>
    <w:rsid w:val="089C3B4E"/>
    <w:rsid w:val="09CC4391"/>
    <w:rsid w:val="0A3F6A0C"/>
    <w:rsid w:val="0CAB6BBF"/>
    <w:rsid w:val="0DE05797"/>
    <w:rsid w:val="0E455182"/>
    <w:rsid w:val="0EEA79A9"/>
    <w:rsid w:val="0F242255"/>
    <w:rsid w:val="0F4B3FBB"/>
    <w:rsid w:val="0FA76370"/>
    <w:rsid w:val="10433815"/>
    <w:rsid w:val="108F21E9"/>
    <w:rsid w:val="11A93B4C"/>
    <w:rsid w:val="11F36B75"/>
    <w:rsid w:val="12935112"/>
    <w:rsid w:val="12C81C4F"/>
    <w:rsid w:val="14105032"/>
    <w:rsid w:val="141A440D"/>
    <w:rsid w:val="147246C9"/>
    <w:rsid w:val="1545108F"/>
    <w:rsid w:val="158521DA"/>
    <w:rsid w:val="15A5462A"/>
    <w:rsid w:val="16DD5701"/>
    <w:rsid w:val="174A65A2"/>
    <w:rsid w:val="18624A54"/>
    <w:rsid w:val="18BC67D2"/>
    <w:rsid w:val="19605D5F"/>
    <w:rsid w:val="1A132F6C"/>
    <w:rsid w:val="1A3E312E"/>
    <w:rsid w:val="1B065B6B"/>
    <w:rsid w:val="1BA33337"/>
    <w:rsid w:val="1BDF7F48"/>
    <w:rsid w:val="1C737917"/>
    <w:rsid w:val="1CB45D35"/>
    <w:rsid w:val="1F495F00"/>
    <w:rsid w:val="1F541726"/>
    <w:rsid w:val="1F78690B"/>
    <w:rsid w:val="21324275"/>
    <w:rsid w:val="21EB5ABA"/>
    <w:rsid w:val="23AC3027"/>
    <w:rsid w:val="24424570"/>
    <w:rsid w:val="24AA1B72"/>
    <w:rsid w:val="25DB6F52"/>
    <w:rsid w:val="293407A9"/>
    <w:rsid w:val="2A7B4602"/>
    <w:rsid w:val="2B966A97"/>
    <w:rsid w:val="2D2B1461"/>
    <w:rsid w:val="2DEA4ADC"/>
    <w:rsid w:val="2E6050AB"/>
    <w:rsid w:val="2EBD2037"/>
    <w:rsid w:val="302453B6"/>
    <w:rsid w:val="32776ADB"/>
    <w:rsid w:val="34AB35B3"/>
    <w:rsid w:val="35216A30"/>
    <w:rsid w:val="357E405D"/>
    <w:rsid w:val="35AD2F3A"/>
    <w:rsid w:val="377D0B0B"/>
    <w:rsid w:val="378E2E2A"/>
    <w:rsid w:val="38A81741"/>
    <w:rsid w:val="394B7130"/>
    <w:rsid w:val="396B5955"/>
    <w:rsid w:val="3F3B2B26"/>
    <w:rsid w:val="400B75FC"/>
    <w:rsid w:val="41786651"/>
    <w:rsid w:val="41C434DE"/>
    <w:rsid w:val="42A94D50"/>
    <w:rsid w:val="437159C8"/>
    <w:rsid w:val="438925BD"/>
    <w:rsid w:val="46D83820"/>
    <w:rsid w:val="47BC14CC"/>
    <w:rsid w:val="495379F5"/>
    <w:rsid w:val="4A8F0E29"/>
    <w:rsid w:val="4B332897"/>
    <w:rsid w:val="5317270E"/>
    <w:rsid w:val="55F52488"/>
    <w:rsid w:val="57A33439"/>
    <w:rsid w:val="58AB28B9"/>
    <w:rsid w:val="59194821"/>
    <w:rsid w:val="59975605"/>
    <w:rsid w:val="5A8E508B"/>
    <w:rsid w:val="5AEE74A6"/>
    <w:rsid w:val="5BC15EBE"/>
    <w:rsid w:val="5E710B1A"/>
    <w:rsid w:val="5F41229A"/>
    <w:rsid w:val="5F54221C"/>
    <w:rsid w:val="5F6B2CB4"/>
    <w:rsid w:val="5FBE7D8F"/>
    <w:rsid w:val="60991F41"/>
    <w:rsid w:val="610F0176"/>
    <w:rsid w:val="62960DCB"/>
    <w:rsid w:val="629E3FFC"/>
    <w:rsid w:val="635F7FDB"/>
    <w:rsid w:val="63693A11"/>
    <w:rsid w:val="63860BC4"/>
    <w:rsid w:val="64BE5271"/>
    <w:rsid w:val="654E557D"/>
    <w:rsid w:val="65EA62EB"/>
    <w:rsid w:val="67A41618"/>
    <w:rsid w:val="697B2EAF"/>
    <w:rsid w:val="6A6F4A47"/>
    <w:rsid w:val="6A7D62D5"/>
    <w:rsid w:val="6B99097B"/>
    <w:rsid w:val="6BC413F0"/>
    <w:rsid w:val="6D3231FF"/>
    <w:rsid w:val="6FD9207B"/>
    <w:rsid w:val="71670C52"/>
    <w:rsid w:val="7289399B"/>
    <w:rsid w:val="73233351"/>
    <w:rsid w:val="754D1D87"/>
    <w:rsid w:val="76BA3966"/>
    <w:rsid w:val="77183DD1"/>
    <w:rsid w:val="773879D3"/>
    <w:rsid w:val="791410B3"/>
    <w:rsid w:val="7B4231CA"/>
    <w:rsid w:val="7BEE6EAE"/>
    <w:rsid w:val="7D5E1E12"/>
    <w:rsid w:val="7DF764EE"/>
    <w:rsid w:val="7E341B9D"/>
    <w:rsid w:val="7FB8599C"/>
    <w:rsid w:val="7FE62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paragraph" w:customStyle="1" w:styleId="14">
    <w:name w:val="p0"/>
    <w:basedOn w:val="1"/>
    <w:qFormat/>
    <w:uiPriority w:val="0"/>
    <w:pPr>
      <w:widowControl/>
      <w:spacing w:before="100" w:beforeAutospacing="1" w:after="100" w:afterAutospacing="1" w:line="400" w:lineRule="exact"/>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14A5D-04AB-4407-A22D-635D53FD9BE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7470</Words>
  <Characters>8092</Characters>
  <Lines>69</Lines>
  <Paragraphs>19</Paragraphs>
  <TotalTime>16</TotalTime>
  <ScaleCrop>false</ScaleCrop>
  <LinksUpToDate>false</LinksUpToDate>
  <CharactersWithSpaces>8096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2022-08-29T08:45:00Z</dcterms:created>
  <dc:creator>李航 null</dc:creator>
  <cp:lastModifiedBy>非鱼</cp:lastModifiedBy>
  <cp:lastPrinted>2022-07-27T12:55:00Z</cp:lastPrinted>
  <dcterms:modified xsi:type="dcterms:W3CDTF">2023-09-24T03:00:16Z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A15BFEAF58E245F48FFCAEA228883DA2</vt:lpwstr>
  </property>
</Properties>
</file>