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5D112">
      <w:pPr>
        <w:pStyle w:val="10"/>
        <w:jc w:val="center"/>
        <w:rPr>
          <w:sz w:val="56"/>
          <w:szCs w:val="56"/>
          <w:highlight w:val="none"/>
        </w:rPr>
      </w:pPr>
    </w:p>
    <w:p w14:paraId="58F2C185">
      <w:pPr>
        <w:pStyle w:val="10"/>
        <w:jc w:val="center"/>
        <w:rPr>
          <w:sz w:val="56"/>
          <w:szCs w:val="56"/>
          <w:highlight w:val="none"/>
        </w:rPr>
      </w:pPr>
    </w:p>
    <w:p w14:paraId="68170E65">
      <w:pPr>
        <w:pStyle w:val="10"/>
        <w:jc w:val="center"/>
        <w:rPr>
          <w:sz w:val="84"/>
          <w:szCs w:val="84"/>
          <w:highlight w:val="none"/>
        </w:rPr>
      </w:pPr>
    </w:p>
    <w:p w14:paraId="719A8914">
      <w:pPr>
        <w:pStyle w:val="10"/>
        <w:jc w:val="center"/>
        <w:rPr>
          <w:sz w:val="84"/>
          <w:szCs w:val="84"/>
          <w:highlight w:val="none"/>
        </w:rPr>
      </w:pPr>
    </w:p>
    <w:p w14:paraId="31669D55">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lang w:val="en-US" w:eastAsia="zh-CN"/>
        </w:rPr>
        <w:t>2022年度</w:t>
      </w:r>
    </w:p>
    <w:p w14:paraId="6ADAD7F9">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lang w:val="en-US" w:eastAsia="zh-CN"/>
        </w:rPr>
        <w:t>怀化市生态环境局（市本级）部门决算</w:t>
      </w:r>
    </w:p>
    <w:p w14:paraId="1EEE4E97">
      <w:pPr>
        <w:pStyle w:val="10"/>
        <w:jc w:val="center"/>
        <w:rPr>
          <w:rFonts w:hint="eastAsia" w:ascii="方正小标宋_GBK" w:hAnsi="方正小标宋_GBK" w:eastAsia="方正小标宋_GBK" w:cs="方正小标宋_GBK"/>
          <w:sz w:val="56"/>
          <w:szCs w:val="56"/>
          <w:highlight w:val="none"/>
        </w:rPr>
      </w:pPr>
    </w:p>
    <w:p w14:paraId="6B74505D">
      <w:pPr>
        <w:pStyle w:val="10"/>
        <w:jc w:val="center"/>
        <w:rPr>
          <w:sz w:val="56"/>
          <w:szCs w:val="56"/>
          <w:highlight w:val="none"/>
        </w:rPr>
      </w:pPr>
    </w:p>
    <w:p w14:paraId="499FB251">
      <w:pPr>
        <w:pStyle w:val="10"/>
        <w:jc w:val="center"/>
        <w:rPr>
          <w:sz w:val="56"/>
          <w:szCs w:val="56"/>
          <w:highlight w:val="none"/>
        </w:rPr>
      </w:pPr>
    </w:p>
    <w:p w14:paraId="27150423">
      <w:pPr>
        <w:pStyle w:val="10"/>
        <w:jc w:val="center"/>
        <w:rPr>
          <w:sz w:val="56"/>
          <w:szCs w:val="56"/>
          <w:highlight w:val="none"/>
        </w:rPr>
      </w:pPr>
    </w:p>
    <w:p w14:paraId="1FDB5A2A">
      <w:pPr>
        <w:pStyle w:val="10"/>
        <w:jc w:val="center"/>
        <w:rPr>
          <w:sz w:val="32"/>
          <w:szCs w:val="32"/>
          <w:highlight w:val="none"/>
        </w:rPr>
      </w:pPr>
    </w:p>
    <w:p w14:paraId="18B5DA74">
      <w:pPr>
        <w:pStyle w:val="10"/>
        <w:jc w:val="center"/>
        <w:rPr>
          <w:sz w:val="32"/>
          <w:szCs w:val="32"/>
          <w:highlight w:val="none"/>
        </w:rPr>
      </w:pPr>
    </w:p>
    <w:p w14:paraId="208EB8B2">
      <w:pPr>
        <w:pStyle w:val="10"/>
        <w:spacing w:line="540" w:lineRule="exact"/>
        <w:jc w:val="both"/>
        <w:rPr>
          <w:sz w:val="56"/>
          <w:szCs w:val="56"/>
          <w:highlight w:val="none"/>
        </w:rPr>
      </w:pPr>
    </w:p>
    <w:p w14:paraId="28E0F993">
      <w:pPr>
        <w:pStyle w:val="10"/>
        <w:spacing w:line="500" w:lineRule="exact"/>
        <w:jc w:val="both"/>
        <w:rPr>
          <w:b/>
          <w:sz w:val="36"/>
          <w:szCs w:val="28"/>
          <w:highlight w:val="none"/>
        </w:rPr>
      </w:pPr>
    </w:p>
    <w:p w14:paraId="14577498">
      <w:pPr>
        <w:pStyle w:val="10"/>
        <w:spacing w:line="500" w:lineRule="exact"/>
        <w:jc w:val="center"/>
        <w:rPr>
          <w:rFonts w:hint="eastAsia"/>
          <w:b/>
          <w:sz w:val="36"/>
          <w:szCs w:val="36"/>
          <w:highlight w:val="none"/>
        </w:rPr>
      </w:pPr>
      <w:r>
        <w:rPr>
          <w:rFonts w:hint="eastAsia"/>
          <w:b/>
          <w:sz w:val="36"/>
          <w:szCs w:val="36"/>
          <w:highlight w:val="none"/>
        </w:rPr>
        <w:t>目录</w:t>
      </w:r>
    </w:p>
    <w:p w14:paraId="0F35FE8E">
      <w:pPr>
        <w:pStyle w:val="10"/>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32"/>
          <w:szCs w:val="32"/>
          <w:highlight w:val="none"/>
        </w:rPr>
      </w:pPr>
    </w:p>
    <w:p w14:paraId="6AEEFE39">
      <w:pPr>
        <w:pStyle w:val="10"/>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第一部分</w:t>
      </w:r>
      <w:r>
        <w:rPr>
          <w:rFonts w:hint="eastAsia" w:ascii="黑体" w:hAnsi="黑体" w:eastAsia="黑体" w:cs="黑体"/>
          <w:b w:val="0"/>
          <w:bCs/>
          <w:sz w:val="32"/>
          <w:szCs w:val="32"/>
          <w:highlight w:val="none"/>
          <w:lang w:val="en-US" w:eastAsia="zh-CN"/>
        </w:rPr>
        <w:t xml:space="preserve"> </w:t>
      </w:r>
      <w:r>
        <w:rPr>
          <w:rFonts w:hint="eastAsia" w:hAnsi="黑体" w:cs="黑体"/>
          <w:b w:val="0"/>
          <w:bCs/>
          <w:sz w:val="32"/>
          <w:szCs w:val="32"/>
          <w:highlight w:val="none"/>
          <w:lang w:eastAsia="zh-CN"/>
        </w:rPr>
        <w:t>怀化市生态环境局（市本级）</w:t>
      </w:r>
      <w:r>
        <w:rPr>
          <w:rFonts w:hint="eastAsia" w:ascii="黑体" w:hAnsi="黑体" w:eastAsia="黑体" w:cs="黑体"/>
          <w:b w:val="0"/>
          <w:bCs/>
          <w:sz w:val="32"/>
          <w:szCs w:val="32"/>
          <w:highlight w:val="none"/>
        </w:rPr>
        <w:t>概况</w:t>
      </w:r>
    </w:p>
    <w:p w14:paraId="7C52A8F7">
      <w:pPr>
        <w:pStyle w:val="10"/>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一、部门职责</w:t>
      </w:r>
    </w:p>
    <w:p w14:paraId="5A1B89D9">
      <w:pPr>
        <w:pStyle w:val="10"/>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二、机构设置</w:t>
      </w:r>
    </w:p>
    <w:p w14:paraId="58D2E443">
      <w:pPr>
        <w:pStyle w:val="10"/>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第二部分</w:t>
      </w:r>
      <w:r>
        <w:rPr>
          <w:rFonts w:hint="eastAsia" w:ascii="黑体" w:hAnsi="黑体" w:eastAsia="黑体" w:cs="黑体"/>
          <w:b w:val="0"/>
          <w:bCs/>
          <w:sz w:val="32"/>
          <w:szCs w:val="32"/>
          <w:highlight w:val="none"/>
          <w:lang w:val="en-US" w:eastAsia="zh-CN"/>
        </w:rPr>
        <w:t xml:space="preserve"> </w:t>
      </w:r>
      <w:r>
        <w:rPr>
          <w:rFonts w:hint="eastAsia" w:ascii="黑体" w:hAnsi="黑体" w:eastAsia="黑体" w:cs="黑体"/>
          <w:b w:val="0"/>
          <w:bCs/>
          <w:sz w:val="32"/>
          <w:szCs w:val="32"/>
          <w:highlight w:val="none"/>
        </w:rPr>
        <w:t>部门决算表</w:t>
      </w:r>
    </w:p>
    <w:p w14:paraId="07AECA77">
      <w:pPr>
        <w:pStyle w:val="10"/>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一、收入支出决算总表</w:t>
      </w:r>
    </w:p>
    <w:p w14:paraId="23FF79C8">
      <w:pPr>
        <w:pStyle w:val="10"/>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二、收入决算表</w:t>
      </w:r>
    </w:p>
    <w:p w14:paraId="5976E8C3">
      <w:pPr>
        <w:pStyle w:val="10"/>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三、支出决算表</w:t>
      </w:r>
    </w:p>
    <w:p w14:paraId="042DAE08">
      <w:pPr>
        <w:pStyle w:val="10"/>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四、财政拨款收入支出决算总表</w:t>
      </w:r>
    </w:p>
    <w:p w14:paraId="33A0FE7F">
      <w:pPr>
        <w:pStyle w:val="10"/>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五、一般公共预算财政拨款支出决算表</w:t>
      </w:r>
    </w:p>
    <w:p w14:paraId="469A8093">
      <w:pPr>
        <w:pStyle w:val="10"/>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六、一般公共预算财政拨款基本支出决算明细表</w:t>
      </w:r>
    </w:p>
    <w:p w14:paraId="52FECE41">
      <w:pPr>
        <w:pStyle w:val="10"/>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七、政府性基金预算财政拨款收入支出决算表</w:t>
      </w:r>
    </w:p>
    <w:p w14:paraId="4B512541">
      <w:pPr>
        <w:pStyle w:val="10"/>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八、国有资本经营预算财政拨款支出决算表</w:t>
      </w:r>
    </w:p>
    <w:p w14:paraId="130B0D2B">
      <w:pPr>
        <w:pStyle w:val="10"/>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九、财政拨款“三公”经费支出决算表</w:t>
      </w:r>
    </w:p>
    <w:p w14:paraId="21F9F736">
      <w:pPr>
        <w:pStyle w:val="10"/>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第三部分</w:t>
      </w:r>
      <w:r>
        <w:rPr>
          <w:rFonts w:hint="eastAsia" w:ascii="黑体" w:hAnsi="黑体" w:eastAsia="黑体" w:cs="黑体"/>
          <w:b w:val="0"/>
          <w:bCs/>
          <w:sz w:val="32"/>
          <w:szCs w:val="32"/>
          <w:highlight w:val="none"/>
          <w:lang w:val="en-US" w:eastAsia="zh-CN"/>
        </w:rPr>
        <w:t xml:space="preserve"> </w:t>
      </w:r>
      <w:r>
        <w:rPr>
          <w:rFonts w:hint="eastAsia" w:ascii="黑体" w:hAnsi="黑体" w:eastAsia="黑体" w:cs="黑体"/>
          <w:b w:val="0"/>
          <w:bCs/>
          <w:sz w:val="32"/>
          <w:szCs w:val="32"/>
          <w:highlight w:val="none"/>
        </w:rPr>
        <w:t>部门决算情况说明</w:t>
      </w:r>
    </w:p>
    <w:p w14:paraId="3EF86CA7">
      <w:pPr>
        <w:pStyle w:val="10"/>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一、收入支出决算总体情况说明</w:t>
      </w:r>
    </w:p>
    <w:p w14:paraId="5C76EC8A">
      <w:pPr>
        <w:keepNext w:val="0"/>
        <w:keepLines w:val="0"/>
        <w:pageBreakBefore w:val="0"/>
        <w:widowControl w:val="0"/>
        <w:kinsoku/>
        <w:wordWrap/>
        <w:overflowPunct/>
        <w:topLinePunct w:val="0"/>
        <w:bidi w:val="0"/>
        <w:snapToGrid/>
        <w:spacing w:line="470" w:lineRule="exact"/>
        <w:ind w:firstLine="800" w:firstLineChars="25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二、收入决算情况说明</w:t>
      </w:r>
    </w:p>
    <w:p w14:paraId="5C42A222">
      <w:pPr>
        <w:keepNext w:val="0"/>
        <w:keepLines w:val="0"/>
        <w:pageBreakBefore w:val="0"/>
        <w:widowControl w:val="0"/>
        <w:kinsoku/>
        <w:wordWrap/>
        <w:overflowPunct/>
        <w:topLinePunct w:val="0"/>
        <w:autoSpaceDE w:val="0"/>
        <w:autoSpaceDN w:val="0"/>
        <w:bidi w:val="0"/>
        <w:adjustRightInd w:val="0"/>
        <w:snapToGrid/>
        <w:spacing w:line="47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三、支出决算情况说明</w:t>
      </w:r>
    </w:p>
    <w:p w14:paraId="21905FFC">
      <w:pPr>
        <w:keepNext w:val="0"/>
        <w:keepLines w:val="0"/>
        <w:pageBreakBefore w:val="0"/>
        <w:widowControl w:val="0"/>
        <w:kinsoku/>
        <w:wordWrap/>
        <w:overflowPunct/>
        <w:topLinePunct w:val="0"/>
        <w:autoSpaceDE w:val="0"/>
        <w:autoSpaceDN w:val="0"/>
        <w:bidi w:val="0"/>
        <w:adjustRightInd w:val="0"/>
        <w:snapToGrid/>
        <w:spacing w:line="47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四、财政拨款收入支出决算总体情况说明</w:t>
      </w:r>
    </w:p>
    <w:p w14:paraId="1C143D0A">
      <w:pPr>
        <w:keepNext w:val="0"/>
        <w:keepLines w:val="0"/>
        <w:pageBreakBefore w:val="0"/>
        <w:widowControl w:val="0"/>
        <w:kinsoku/>
        <w:wordWrap/>
        <w:overflowPunct/>
        <w:topLinePunct w:val="0"/>
        <w:autoSpaceDE w:val="0"/>
        <w:autoSpaceDN w:val="0"/>
        <w:bidi w:val="0"/>
        <w:adjustRightInd w:val="0"/>
        <w:snapToGrid/>
        <w:spacing w:line="47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五、一般公共预算财政拨款支出决算情况说明</w:t>
      </w:r>
    </w:p>
    <w:p w14:paraId="31D99327">
      <w:pPr>
        <w:keepNext w:val="0"/>
        <w:keepLines w:val="0"/>
        <w:pageBreakBefore w:val="0"/>
        <w:widowControl w:val="0"/>
        <w:kinsoku/>
        <w:wordWrap/>
        <w:overflowPunct/>
        <w:topLinePunct w:val="0"/>
        <w:autoSpaceDE w:val="0"/>
        <w:autoSpaceDN w:val="0"/>
        <w:bidi w:val="0"/>
        <w:adjustRightInd w:val="0"/>
        <w:snapToGrid/>
        <w:spacing w:line="47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六、一般公共预算财政拨款基本支出决算情况说明</w:t>
      </w:r>
    </w:p>
    <w:p w14:paraId="1B291210">
      <w:pPr>
        <w:keepNext w:val="0"/>
        <w:keepLines w:val="0"/>
        <w:pageBreakBefore w:val="0"/>
        <w:widowControl w:val="0"/>
        <w:kinsoku/>
        <w:wordWrap/>
        <w:overflowPunct/>
        <w:topLinePunct w:val="0"/>
        <w:autoSpaceDE w:val="0"/>
        <w:autoSpaceDN w:val="0"/>
        <w:bidi w:val="0"/>
        <w:adjustRightInd w:val="0"/>
        <w:snapToGrid/>
        <w:spacing w:line="47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七、一般公共预算财政拨款三公经费支出决算情况说明</w:t>
      </w:r>
    </w:p>
    <w:p w14:paraId="4FBB00DA">
      <w:pPr>
        <w:keepNext w:val="0"/>
        <w:keepLines w:val="0"/>
        <w:pageBreakBefore w:val="0"/>
        <w:widowControl w:val="0"/>
        <w:kinsoku/>
        <w:wordWrap/>
        <w:overflowPunct/>
        <w:topLinePunct w:val="0"/>
        <w:autoSpaceDE w:val="0"/>
        <w:autoSpaceDN w:val="0"/>
        <w:bidi w:val="0"/>
        <w:adjustRightInd w:val="0"/>
        <w:snapToGrid/>
        <w:spacing w:line="47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八、政府性基金预算收入支出决算情况</w:t>
      </w:r>
    </w:p>
    <w:p w14:paraId="16DAE9F8">
      <w:pPr>
        <w:keepNext w:val="0"/>
        <w:keepLines w:val="0"/>
        <w:pageBreakBefore w:val="0"/>
        <w:widowControl w:val="0"/>
        <w:kinsoku/>
        <w:wordWrap/>
        <w:overflowPunct/>
        <w:topLinePunct w:val="0"/>
        <w:autoSpaceDE w:val="0"/>
        <w:autoSpaceDN w:val="0"/>
        <w:bidi w:val="0"/>
        <w:adjustRightInd w:val="0"/>
        <w:snapToGrid/>
        <w:spacing w:line="47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lang w:val="en-US" w:eastAsia="zh-CN"/>
        </w:rPr>
        <w:t>九、国有资本经营预算财政拨款支出决算情况</w:t>
      </w:r>
    </w:p>
    <w:p w14:paraId="5FB5EF67">
      <w:pPr>
        <w:keepNext w:val="0"/>
        <w:keepLines w:val="0"/>
        <w:pageBreakBefore w:val="0"/>
        <w:widowControl w:val="0"/>
        <w:kinsoku/>
        <w:wordWrap/>
        <w:overflowPunct/>
        <w:topLinePunct w:val="0"/>
        <w:autoSpaceDE w:val="0"/>
        <w:autoSpaceDN w:val="0"/>
        <w:bidi w:val="0"/>
        <w:adjustRightInd w:val="0"/>
        <w:snapToGrid/>
        <w:spacing w:line="47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lang w:eastAsia="zh-CN"/>
        </w:rPr>
        <w:t>十</w:t>
      </w:r>
      <w:r>
        <w:rPr>
          <w:rFonts w:hint="eastAsia" w:ascii="仿宋_GB2312" w:hAnsi="仿宋_GB2312" w:eastAsia="仿宋_GB2312" w:cs="仿宋_GB2312"/>
          <w:color w:val="000000"/>
          <w:kern w:val="0"/>
          <w:sz w:val="32"/>
          <w:szCs w:val="32"/>
          <w:highlight w:val="none"/>
        </w:rPr>
        <w:t>、关于机关运行经费支出说明</w:t>
      </w:r>
    </w:p>
    <w:p w14:paraId="7817C8C8">
      <w:pPr>
        <w:keepNext w:val="0"/>
        <w:keepLines w:val="0"/>
        <w:pageBreakBefore w:val="0"/>
        <w:widowControl w:val="0"/>
        <w:kinsoku/>
        <w:wordWrap/>
        <w:overflowPunct/>
        <w:topLinePunct w:val="0"/>
        <w:autoSpaceDE w:val="0"/>
        <w:autoSpaceDN w:val="0"/>
        <w:bidi w:val="0"/>
        <w:adjustRightInd w:val="0"/>
        <w:snapToGrid/>
        <w:spacing w:line="47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w:t>
      </w:r>
      <w:r>
        <w:rPr>
          <w:rFonts w:hint="eastAsia" w:ascii="仿宋_GB2312" w:hAnsi="仿宋_GB2312" w:eastAsia="仿宋_GB2312" w:cs="仿宋_GB2312"/>
          <w:color w:val="000000"/>
          <w:kern w:val="0"/>
          <w:sz w:val="32"/>
          <w:szCs w:val="32"/>
          <w:highlight w:val="none"/>
          <w:lang w:eastAsia="zh-CN"/>
        </w:rPr>
        <w:t>一</w:t>
      </w:r>
      <w:r>
        <w:rPr>
          <w:rFonts w:hint="eastAsia" w:ascii="仿宋_GB2312" w:hAnsi="仿宋_GB2312" w:eastAsia="仿宋_GB2312" w:cs="仿宋_GB2312"/>
          <w:color w:val="000000"/>
          <w:kern w:val="0"/>
          <w:sz w:val="32"/>
          <w:szCs w:val="32"/>
          <w:highlight w:val="none"/>
        </w:rPr>
        <w:t>、一般性支出情况说明</w:t>
      </w:r>
    </w:p>
    <w:p w14:paraId="63D23AD0">
      <w:pPr>
        <w:keepNext w:val="0"/>
        <w:keepLines w:val="0"/>
        <w:pageBreakBefore w:val="0"/>
        <w:widowControl w:val="0"/>
        <w:kinsoku/>
        <w:wordWrap/>
        <w:overflowPunct/>
        <w:topLinePunct w:val="0"/>
        <w:autoSpaceDE w:val="0"/>
        <w:autoSpaceDN w:val="0"/>
        <w:bidi w:val="0"/>
        <w:adjustRightInd w:val="0"/>
        <w:snapToGrid/>
        <w:spacing w:line="47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w:t>
      </w:r>
      <w:r>
        <w:rPr>
          <w:rFonts w:hint="eastAsia" w:ascii="仿宋_GB2312" w:hAnsi="仿宋_GB2312" w:eastAsia="仿宋_GB2312" w:cs="仿宋_GB2312"/>
          <w:color w:val="000000"/>
          <w:kern w:val="0"/>
          <w:sz w:val="32"/>
          <w:szCs w:val="32"/>
          <w:highlight w:val="none"/>
          <w:lang w:eastAsia="zh-CN"/>
        </w:rPr>
        <w:t>二</w:t>
      </w:r>
      <w:r>
        <w:rPr>
          <w:rFonts w:hint="eastAsia" w:ascii="仿宋_GB2312" w:hAnsi="仿宋_GB2312" w:eastAsia="仿宋_GB2312" w:cs="仿宋_GB2312"/>
          <w:color w:val="000000"/>
          <w:kern w:val="0"/>
          <w:sz w:val="32"/>
          <w:szCs w:val="32"/>
          <w:highlight w:val="none"/>
        </w:rPr>
        <w:t>、关于政府采购支出说明</w:t>
      </w:r>
    </w:p>
    <w:p w14:paraId="7A905A21">
      <w:pPr>
        <w:pStyle w:val="10"/>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十</w:t>
      </w:r>
      <w:r>
        <w:rPr>
          <w:rFonts w:hint="eastAsia" w:ascii="仿宋_GB2312" w:hAnsi="仿宋_GB2312" w:eastAsia="仿宋_GB2312" w:cs="仿宋_GB2312"/>
          <w:sz w:val="32"/>
          <w:szCs w:val="32"/>
          <w:highlight w:val="none"/>
          <w:lang w:eastAsia="zh-CN"/>
        </w:rPr>
        <w:t>三</w:t>
      </w:r>
      <w:r>
        <w:rPr>
          <w:rFonts w:hint="eastAsia" w:ascii="仿宋_GB2312" w:hAnsi="仿宋_GB2312" w:eastAsia="仿宋_GB2312" w:cs="仿宋_GB2312"/>
          <w:sz w:val="32"/>
          <w:szCs w:val="32"/>
          <w:highlight w:val="none"/>
        </w:rPr>
        <w:t>、关于国有资产占用情况说明</w:t>
      </w:r>
    </w:p>
    <w:p w14:paraId="48907708">
      <w:pPr>
        <w:pStyle w:val="10"/>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十</w:t>
      </w:r>
      <w:r>
        <w:rPr>
          <w:rFonts w:hint="eastAsia" w:ascii="仿宋_GB2312" w:hAnsi="仿宋_GB2312" w:eastAsia="仿宋_GB2312" w:cs="仿宋_GB2312"/>
          <w:sz w:val="32"/>
          <w:szCs w:val="32"/>
          <w:highlight w:val="none"/>
          <w:lang w:eastAsia="zh-CN"/>
        </w:rPr>
        <w:t>四</w:t>
      </w:r>
      <w:r>
        <w:rPr>
          <w:rFonts w:hint="eastAsia" w:ascii="仿宋_GB2312" w:hAnsi="仿宋_GB2312" w:eastAsia="仿宋_GB2312" w:cs="仿宋_GB2312"/>
          <w:sz w:val="32"/>
          <w:szCs w:val="32"/>
          <w:highlight w:val="none"/>
        </w:rPr>
        <w:t>、关于预算绩效情况的说明</w:t>
      </w:r>
    </w:p>
    <w:p w14:paraId="50C54B0E">
      <w:pPr>
        <w:pStyle w:val="10"/>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第四部分</w:t>
      </w:r>
      <w:r>
        <w:rPr>
          <w:rFonts w:hint="eastAsia" w:ascii="黑体" w:hAnsi="黑体" w:eastAsia="黑体" w:cs="黑体"/>
          <w:b w:val="0"/>
          <w:bCs/>
          <w:sz w:val="32"/>
          <w:szCs w:val="32"/>
          <w:highlight w:val="none"/>
          <w:lang w:val="en-US" w:eastAsia="zh-CN"/>
        </w:rPr>
        <w:t xml:space="preserve"> </w:t>
      </w:r>
      <w:r>
        <w:rPr>
          <w:rFonts w:hint="eastAsia" w:ascii="黑体" w:hAnsi="黑体" w:eastAsia="黑体" w:cs="黑体"/>
          <w:b w:val="0"/>
          <w:bCs/>
          <w:sz w:val="32"/>
          <w:szCs w:val="32"/>
          <w:highlight w:val="none"/>
        </w:rPr>
        <w:t>名词解释</w:t>
      </w:r>
    </w:p>
    <w:p w14:paraId="27748942">
      <w:pPr>
        <w:pStyle w:val="10"/>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Cs/>
          <w:sz w:val="32"/>
          <w:szCs w:val="32"/>
          <w:highlight w:val="none"/>
        </w:rPr>
      </w:pPr>
      <w:r>
        <w:rPr>
          <w:rFonts w:hint="eastAsia" w:ascii="黑体" w:hAnsi="黑体" w:eastAsia="黑体" w:cs="黑体"/>
          <w:bCs/>
          <w:sz w:val="32"/>
          <w:szCs w:val="32"/>
          <w:highlight w:val="none"/>
        </w:rPr>
        <w:t>第五部分</w:t>
      </w:r>
      <w:r>
        <w:rPr>
          <w:rFonts w:hint="eastAsia" w:hAnsi="黑体" w:cs="黑体"/>
          <w:bCs/>
          <w:sz w:val="32"/>
          <w:szCs w:val="32"/>
          <w:highlight w:val="none"/>
          <w:lang w:val="en-US" w:eastAsia="zh-CN"/>
        </w:rPr>
        <w:t xml:space="preserve"> </w:t>
      </w:r>
      <w:r>
        <w:rPr>
          <w:rFonts w:hint="eastAsia" w:ascii="黑体" w:hAnsi="黑体" w:eastAsia="黑体" w:cs="黑体"/>
          <w:bCs/>
          <w:sz w:val="32"/>
          <w:szCs w:val="32"/>
          <w:highlight w:val="none"/>
        </w:rPr>
        <w:t>附件</w:t>
      </w:r>
    </w:p>
    <w:p w14:paraId="0CDC50C3">
      <w:pPr>
        <w:jc w:val="center"/>
        <w:rPr>
          <w:sz w:val="72"/>
          <w:szCs w:val="72"/>
          <w:highlight w:val="none"/>
        </w:rPr>
      </w:pPr>
    </w:p>
    <w:p w14:paraId="44D847EB">
      <w:pPr>
        <w:jc w:val="center"/>
        <w:rPr>
          <w:sz w:val="72"/>
          <w:szCs w:val="72"/>
          <w:highlight w:val="none"/>
        </w:rPr>
      </w:pPr>
    </w:p>
    <w:p w14:paraId="7E55F7E1">
      <w:pPr>
        <w:jc w:val="center"/>
        <w:rPr>
          <w:sz w:val="72"/>
          <w:szCs w:val="72"/>
          <w:highlight w:val="none"/>
        </w:rPr>
      </w:pPr>
    </w:p>
    <w:p w14:paraId="56FC3652">
      <w:pPr>
        <w:jc w:val="center"/>
        <w:rPr>
          <w:sz w:val="72"/>
          <w:szCs w:val="72"/>
          <w:highlight w:val="none"/>
        </w:rPr>
      </w:pPr>
    </w:p>
    <w:p w14:paraId="2093D3D9">
      <w:pPr>
        <w:jc w:val="center"/>
        <w:rPr>
          <w:sz w:val="72"/>
          <w:szCs w:val="72"/>
          <w:highlight w:val="none"/>
        </w:rPr>
      </w:pPr>
    </w:p>
    <w:p w14:paraId="20D7C7A5">
      <w:pPr>
        <w:rPr>
          <w:rFonts w:hint="eastAsia" w:ascii="方正小标宋_GBK" w:hAnsi="方正小标宋_GBK" w:eastAsia="方正小标宋_GBK" w:cs="方正小标宋_GBK"/>
          <w:sz w:val="72"/>
          <w:szCs w:val="72"/>
          <w:highlight w:val="none"/>
        </w:rPr>
      </w:pPr>
    </w:p>
    <w:p w14:paraId="448BD26E">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 xml:space="preserve">第一部分 </w:t>
      </w:r>
    </w:p>
    <w:p w14:paraId="362176E9">
      <w:pPr>
        <w:pStyle w:val="10"/>
        <w:jc w:val="center"/>
        <w:rPr>
          <w:rFonts w:hint="eastAsia" w:ascii="方正小标宋_GBK" w:hAnsi="方正小标宋_GBK" w:eastAsia="方正小标宋_GBK" w:cs="方正小标宋_GBK"/>
          <w:sz w:val="84"/>
          <w:szCs w:val="84"/>
          <w:highlight w:val="none"/>
        </w:rPr>
      </w:pPr>
    </w:p>
    <w:p w14:paraId="4F701A99">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怀化市生态环境局</w:t>
      </w:r>
    </w:p>
    <w:p w14:paraId="7624B74B">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w:t>
      </w:r>
      <w:r>
        <w:rPr>
          <w:rFonts w:hint="eastAsia" w:ascii="方正小标宋_GBK" w:hAnsi="方正小标宋_GBK" w:eastAsia="方正小标宋_GBK" w:cs="方正小标宋_GBK"/>
          <w:sz w:val="84"/>
          <w:szCs w:val="84"/>
          <w:highlight w:val="none"/>
          <w:lang w:val="en-US" w:eastAsia="zh-CN"/>
        </w:rPr>
        <w:t>市</w:t>
      </w:r>
      <w:r>
        <w:rPr>
          <w:rFonts w:hint="eastAsia" w:ascii="方正小标宋_GBK" w:hAnsi="方正小标宋_GBK" w:eastAsia="方正小标宋_GBK" w:cs="方正小标宋_GBK"/>
          <w:sz w:val="84"/>
          <w:szCs w:val="84"/>
          <w:highlight w:val="none"/>
        </w:rPr>
        <w:t>本级）概况</w:t>
      </w:r>
    </w:p>
    <w:p w14:paraId="7E4FB16C">
      <w:pPr>
        <w:jc w:val="center"/>
        <w:rPr>
          <w:rFonts w:hint="eastAsia" w:ascii="方正小标宋_GBK" w:hAnsi="方正小标宋_GBK" w:eastAsia="方正小标宋_GBK" w:cs="方正小标宋_GBK"/>
          <w:sz w:val="72"/>
          <w:szCs w:val="72"/>
          <w:highlight w:val="none"/>
        </w:rPr>
      </w:pPr>
    </w:p>
    <w:p w14:paraId="554E785A">
      <w:pPr>
        <w:jc w:val="both"/>
        <w:rPr>
          <w:rFonts w:hint="eastAsia" w:ascii="方正小标宋_GBK" w:hAnsi="方正小标宋_GBK" w:eastAsia="方正小标宋_GBK" w:cs="方正小标宋_GBK"/>
          <w:sz w:val="72"/>
          <w:szCs w:val="72"/>
          <w:highlight w:val="none"/>
        </w:rPr>
      </w:pPr>
    </w:p>
    <w:p w14:paraId="4DD41906">
      <w:pPr>
        <w:pStyle w:val="1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b w:val="0"/>
          <w:bCs w:val="0"/>
          <w:sz w:val="32"/>
          <w:szCs w:val="32"/>
          <w:highlight w:val="none"/>
          <w:lang w:eastAsia="zh-CN"/>
        </w:rPr>
      </w:pPr>
    </w:p>
    <w:p w14:paraId="4EBD5152">
      <w:pPr>
        <w:pStyle w:val="1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eastAsia="zh-CN"/>
        </w:rPr>
        <w:t>一、</w:t>
      </w:r>
      <w:r>
        <w:rPr>
          <w:rFonts w:hint="eastAsia" w:ascii="黑体" w:hAnsi="黑体" w:eastAsia="黑体" w:cs="黑体"/>
          <w:b w:val="0"/>
          <w:bCs w:val="0"/>
          <w:sz w:val="32"/>
          <w:szCs w:val="32"/>
          <w:highlight w:val="none"/>
        </w:rPr>
        <w:t>部门职责</w:t>
      </w:r>
    </w:p>
    <w:p w14:paraId="51D98A8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一）贯彻执行国家生态环境基本制度。会同有关部门拟订生态环境政策、规划并组织实施，起草生态环境有关地方性法规和市政府规章草案；会同有关部门编制并监督实施重点区域、流域、饮用水水源地生态环境规划和水功能区划。</w:t>
      </w:r>
    </w:p>
    <w:p w14:paraId="203CAA1A">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负责重大生态环境问题的统筹协调和监督管理。牵头协调较大和重大环境污染事故和生态破坏事件的调查处理，指导协调较大和重大突发生态环境事件的应急、预警工作，牵头指导实施生态环境损害赔偿制度，协调解决有关跨区域环境污染纠纷；统筹协调重点区域、流域生态环境保护工作。</w:t>
      </w:r>
    </w:p>
    <w:p w14:paraId="6F948C9B">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三</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负责监督管理减排目标的落实。组织拟订各类污染物排放总量控制、排污许可证制度并监督实施，确定大气、水等纳污能力，提出实施总量控制的污染物名称和控制指标，监督检查地方污染物减排任务完成情况，实施生态环境保护目标责任制。</w:t>
      </w:r>
    </w:p>
    <w:p w14:paraId="0DB1B1D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四</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负责提出生态环境领域固定资产投资规模和方向、生态环境部管理的中央专项资金和省市财政性资金安排的意见，按规定权限审批、核准规划内和年度计划规模内生态环境领域固定资产投资项目，配合有关部门做好组织实施和监督工作。参与指导推动循环经济和生态环保产业发展。</w:t>
      </w:r>
    </w:p>
    <w:p w14:paraId="1D76E9FE">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五</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负责环境污染防治的监督管理。组织拟订大气、水、土壤、噪声、光、恶臭、固体废物、废弃化学品、机动车等的污染防治管理制度并监督实施。会同有关部门监督管理饮用水水源地生态环境保护工作，组织指导城乡生态环境综合整治工作，监督指导农业面源污染治理工作。监督指导区域大气环境保护工作，组织实施区域大气污染联防联控协作机制。</w:t>
      </w:r>
    </w:p>
    <w:p w14:paraId="614816A3">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六</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指导协调和监督生态保护修复工作。组织编制生态保护规划，监督对生态环境有影响的自然资源开发利用活动、重要生态环境建设和生态破坏恢复工作。组织拟订各类自然保护地生态环境监管制度并监督执法。监督野生动植物保护、湿地生态环境保护、荒漠化防治等工作。指导协调和监督农村生态环境保护，监督生物技术环境安全，牵头生物物种(含遗传资源)工作，组织协调生物多样性保护工作，参与生态保护补偿工作。</w:t>
      </w:r>
    </w:p>
    <w:p w14:paraId="4D633B4D">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七</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负责核与辐射安全的监督管理。贯彻实施国家核与辐射安全政策、规划、标准，牵头负责核安全工作协调机制有关工作，参与核事故应急处理，负责辐射环境事故应急处理工作。监督管理核设施和放射源安全，监督管理核设施、核技术应用、电磁辐射、伴有放射性矿产资源开发利用中的污染防治。对核材料管制和民用核安全设备设计、制造、安装及无损检验活动实施监督管理。</w:t>
      </w:r>
    </w:p>
    <w:p w14:paraId="11E8DEE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八</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负责生态环境准入的监督管理。受市政府委托对重大经济和技术政策、发展规划以及重大经济开发计划进行环境影响评价。按规定审批或审查重大开发建设区域、规划、项目环境影响评价文件。拟订并组织实施生态环境准入清单。</w:t>
      </w:r>
    </w:p>
    <w:p w14:paraId="0DEC3063">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九</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负责生态环境监测工作。监督实施生态环境监测制度和规范、拟订相关标准。会同有关部门统一规划生态环境质量监测站点设置，组织实施生态环境质量监测、污染源监督性监测、温室气体减排监测、应急监测。组织对生态环境质量状况进行调查评价、预警预测，组织建设和管理生态环境监测网和生态环境信息网。建立和实行生态环境质量公告制度，统一发布生态环境综合性报告和重大生态环境信息。</w:t>
      </w:r>
    </w:p>
    <w:p w14:paraId="6DDE57A1">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十</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负责应对气候变化工作。组织实施应对气候变化及温室气体减排重大战略、规划和政策，组织协调履行国家、省应对气候变化市内相关义务。</w:t>
      </w:r>
    </w:p>
    <w:p w14:paraId="7B8901D8">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十一</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组织开展生态环境保护督察。组织协调生态环境保护督察工作，根据市委、市政府授权，对各级党委和政府及有关部门贯彻落实中央和省委生态环境保护决策部署情况进行督查。</w:t>
      </w:r>
    </w:p>
    <w:p w14:paraId="47C9456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十二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统一负责生态环境监督执法。组织开展生态环境保护执法检查活动。查处重大生态环境违法问题。指导全市生态环境保护综合执法队伍建设和业务工作。</w:t>
      </w:r>
    </w:p>
    <w:p w14:paraId="102F027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十三</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组织指导和协调生态环境宣传教育工作，贯彻实施生态环境保护宣传教育纲要，推动社会组织和公众参与生态环境保护。开展生态环境科技工作，组织生态环境重大科学研究和技术工程示范，推动生态环境技术管理体系建设。</w:t>
      </w:r>
    </w:p>
    <w:p w14:paraId="776FF7DB">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十四</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开展生态环境对外合作交流，研究提出生态环境对外合作中有关问题的建议，组织协调有关生态环境国际条约的市内履约工作，参与处理涉外生态环境事务。</w:t>
      </w:r>
    </w:p>
    <w:p w14:paraId="36244F08">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十五</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完成市委、市政府交办的其他任务。</w:t>
      </w:r>
    </w:p>
    <w:p w14:paraId="1D455EFD">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十六</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职能转变。市生态环境局要统一行使生态和城乡各类污染排放监管与行政执法职责，切实履行监管责任，全面落实大气、水、土壤污染防治行动计划，大幅减少进口固体废物种类和数量直至全面禁止洋垃圾入境。构建政府为主导、企业为主体、社会组织和公众共同参与的生态环境治理体系，实行最严格的生态环境保护制度，严守生态保护红线和环境质量底线，坚决打好污染防治攻坚战，保障全市生态安全，建设富饶美丽幸福新怀化。</w:t>
      </w:r>
    </w:p>
    <w:p w14:paraId="00D4F8F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kern w:val="0"/>
          <w:sz w:val="32"/>
          <w:szCs w:val="32"/>
          <w:highlight w:val="none"/>
        </w:rPr>
      </w:pPr>
      <w:r>
        <w:rPr>
          <w:rFonts w:hint="eastAsia" w:ascii="黑体" w:hAnsi="黑体" w:eastAsia="黑体" w:cs="黑体"/>
          <w:b w:val="0"/>
          <w:bCs/>
          <w:kern w:val="0"/>
          <w:sz w:val="32"/>
          <w:szCs w:val="32"/>
          <w:highlight w:val="none"/>
        </w:rPr>
        <w:t>二、机构设置及决算单位构成</w:t>
      </w:r>
    </w:p>
    <w:p w14:paraId="7AB14B0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（一）内设机构设置。</w:t>
      </w:r>
      <w:r>
        <w:rPr>
          <w:rFonts w:hint="eastAsia" w:ascii="Times New Roman" w:hAnsi="Times New Roman" w:eastAsia="仿宋_GB2312" w:cs="仿宋_GB2312"/>
          <w:bCs/>
          <w:kern w:val="0"/>
          <w:sz w:val="32"/>
          <w:szCs w:val="32"/>
          <w:highlight w:val="none"/>
          <w:lang w:val="en-US" w:eastAsia="zh-CN"/>
        </w:rPr>
        <w:t>怀化市生态环境局作为一级预算部门，</w:t>
      </w:r>
      <w:r>
        <w:rPr>
          <w:rFonts w:hint="eastAsia" w:ascii="Times New Roman" w:hAnsi="Times New Roman" w:eastAsia="仿宋_GB2312" w:cs="仿宋_GB2312"/>
          <w:bCs/>
          <w:kern w:val="0"/>
          <w:sz w:val="32"/>
          <w:szCs w:val="32"/>
          <w:highlight w:val="none"/>
        </w:rPr>
        <w:t>内设机构包括：办公室、法规与标准科、人事科、计划科技与监测科、大气环境与应对气候变化科、水生态环境科、土壤环境管理科、固体废物与化学品科、环境影响评价与排放管理科、市生态环境保护督察办公室、机关党委。</w:t>
      </w:r>
    </w:p>
    <w:p w14:paraId="61FBABD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highlight w:val="none"/>
          <w:lang w:eastAsia="zh-CN"/>
        </w:rPr>
      </w:pPr>
      <w:r>
        <w:rPr>
          <w:rFonts w:hint="eastAsia" w:ascii="Times New Roman" w:hAnsi="Times New Roman" w:eastAsia="仿宋_GB2312" w:cs="仿宋_GB2312"/>
          <w:bCs/>
          <w:kern w:val="0"/>
          <w:sz w:val="32"/>
          <w:szCs w:val="32"/>
          <w:highlight w:val="none"/>
        </w:rPr>
        <w:t>（二）决算单位构成。怀化市生态环境局202</w:t>
      </w:r>
      <w:r>
        <w:rPr>
          <w:rFonts w:hint="eastAsia" w:ascii="Times New Roman" w:hAnsi="Times New Roman" w:eastAsia="仿宋_GB2312" w:cs="仿宋_GB2312"/>
          <w:bCs/>
          <w:kern w:val="0"/>
          <w:sz w:val="32"/>
          <w:szCs w:val="32"/>
          <w:highlight w:val="none"/>
          <w:lang w:val="en-US" w:eastAsia="zh-CN"/>
        </w:rPr>
        <w:t>2</w:t>
      </w:r>
      <w:r>
        <w:rPr>
          <w:rFonts w:hint="eastAsia" w:ascii="Times New Roman" w:hAnsi="Times New Roman" w:eastAsia="仿宋_GB2312" w:cs="仿宋_GB2312"/>
          <w:bCs/>
          <w:kern w:val="0"/>
          <w:sz w:val="32"/>
          <w:szCs w:val="32"/>
          <w:highlight w:val="none"/>
        </w:rPr>
        <w:t>年部门决算汇总公开单位构成包括：怀化市生态环境局</w:t>
      </w:r>
      <w:r>
        <w:rPr>
          <w:rFonts w:hint="eastAsia" w:ascii="Times New Roman" w:hAnsi="Times New Roman" w:eastAsia="仿宋_GB2312" w:cs="仿宋_GB2312"/>
          <w:bCs/>
          <w:kern w:val="0"/>
          <w:sz w:val="32"/>
          <w:szCs w:val="32"/>
          <w:highlight w:val="none"/>
          <w:lang w:eastAsia="zh-CN"/>
        </w:rPr>
        <w:t>市</w:t>
      </w:r>
      <w:r>
        <w:rPr>
          <w:rFonts w:hint="eastAsia" w:ascii="Times New Roman" w:hAnsi="Times New Roman" w:eastAsia="仿宋_GB2312" w:cs="仿宋_GB2312"/>
          <w:bCs/>
          <w:kern w:val="0"/>
          <w:sz w:val="32"/>
          <w:szCs w:val="32"/>
          <w:highlight w:val="none"/>
        </w:rPr>
        <w:t>本级</w:t>
      </w:r>
      <w:r>
        <w:rPr>
          <w:rFonts w:hint="eastAsia" w:ascii="Times New Roman" w:hAnsi="Times New Roman" w:eastAsia="仿宋_GB2312" w:cs="仿宋_GB2312"/>
          <w:bCs/>
          <w:kern w:val="0"/>
          <w:sz w:val="32"/>
          <w:szCs w:val="32"/>
          <w:highlight w:val="none"/>
          <w:lang w:eastAsia="zh-CN"/>
        </w:rPr>
        <w:t>。</w:t>
      </w:r>
    </w:p>
    <w:p w14:paraId="555E1706">
      <w:pPr>
        <w:keepNext w:val="0"/>
        <w:keepLines w:val="0"/>
        <w:pageBreakBefore w:val="0"/>
        <w:kinsoku/>
        <w:wordWrap/>
        <w:overflowPunct/>
        <w:topLinePunct w:val="0"/>
        <w:autoSpaceDE/>
        <w:autoSpaceDN/>
        <w:bidi w:val="0"/>
        <w:adjustRightInd/>
        <w:snapToGrid/>
        <w:spacing w:line="600" w:lineRule="exact"/>
        <w:jc w:val="left"/>
        <w:textAlignment w:val="auto"/>
        <w:rPr>
          <w:rFonts w:ascii="仿宋_GB2312" w:eastAsia="仿宋_GB2312" w:hAnsiTheme="minorEastAsia"/>
          <w:sz w:val="28"/>
          <w:szCs w:val="32"/>
          <w:highlight w:val="none"/>
        </w:rPr>
      </w:pPr>
    </w:p>
    <w:p w14:paraId="371AFC74">
      <w:pPr>
        <w:jc w:val="center"/>
        <w:rPr>
          <w:rFonts w:ascii="黑体" w:hAnsi="黑体" w:eastAsia="黑体"/>
          <w:sz w:val="28"/>
          <w:szCs w:val="28"/>
          <w:highlight w:val="none"/>
        </w:rPr>
      </w:pPr>
    </w:p>
    <w:p w14:paraId="775C2A2D">
      <w:pPr>
        <w:jc w:val="center"/>
        <w:rPr>
          <w:rFonts w:ascii="黑体" w:hAnsi="黑体" w:eastAsia="黑体"/>
          <w:sz w:val="28"/>
          <w:szCs w:val="28"/>
          <w:highlight w:val="none"/>
        </w:rPr>
      </w:pPr>
    </w:p>
    <w:p w14:paraId="08088D41">
      <w:pPr>
        <w:jc w:val="center"/>
        <w:rPr>
          <w:rFonts w:ascii="黑体" w:hAnsi="黑体" w:eastAsia="黑体"/>
          <w:sz w:val="28"/>
          <w:szCs w:val="28"/>
          <w:highlight w:val="none"/>
        </w:rPr>
      </w:pPr>
    </w:p>
    <w:p w14:paraId="21F8444E">
      <w:pPr>
        <w:jc w:val="center"/>
        <w:rPr>
          <w:rFonts w:ascii="黑体" w:hAnsi="黑体" w:eastAsia="黑体"/>
          <w:sz w:val="28"/>
          <w:szCs w:val="28"/>
          <w:highlight w:val="none"/>
        </w:rPr>
      </w:pPr>
    </w:p>
    <w:p w14:paraId="318B774C">
      <w:pPr>
        <w:jc w:val="center"/>
        <w:rPr>
          <w:rFonts w:ascii="黑体" w:hAnsi="黑体" w:eastAsia="黑体"/>
          <w:sz w:val="28"/>
          <w:szCs w:val="28"/>
          <w:highlight w:val="none"/>
        </w:rPr>
      </w:pPr>
    </w:p>
    <w:p w14:paraId="6ACDF70F">
      <w:pPr>
        <w:jc w:val="center"/>
        <w:rPr>
          <w:rFonts w:ascii="黑体" w:hAnsi="黑体" w:eastAsia="黑体"/>
          <w:sz w:val="28"/>
          <w:szCs w:val="28"/>
          <w:highlight w:val="none"/>
        </w:rPr>
      </w:pPr>
    </w:p>
    <w:p w14:paraId="27826DB9">
      <w:pPr>
        <w:jc w:val="center"/>
        <w:rPr>
          <w:rFonts w:ascii="黑体" w:hAnsi="黑体" w:eastAsia="黑体"/>
          <w:sz w:val="28"/>
          <w:szCs w:val="28"/>
          <w:highlight w:val="none"/>
        </w:rPr>
      </w:pPr>
    </w:p>
    <w:p w14:paraId="401835F1">
      <w:pPr>
        <w:jc w:val="center"/>
        <w:rPr>
          <w:rFonts w:ascii="黑体" w:hAnsi="黑体" w:eastAsia="黑体"/>
          <w:sz w:val="28"/>
          <w:szCs w:val="28"/>
          <w:highlight w:val="none"/>
        </w:rPr>
      </w:pPr>
    </w:p>
    <w:p w14:paraId="31BA224F">
      <w:pPr>
        <w:jc w:val="center"/>
        <w:rPr>
          <w:rFonts w:ascii="黑体" w:hAnsi="黑体" w:eastAsia="黑体"/>
          <w:sz w:val="28"/>
          <w:szCs w:val="28"/>
          <w:highlight w:val="none"/>
        </w:rPr>
      </w:pPr>
    </w:p>
    <w:p w14:paraId="1AC33E18">
      <w:pPr>
        <w:jc w:val="center"/>
        <w:rPr>
          <w:rFonts w:ascii="黑体" w:hAnsi="黑体" w:eastAsia="黑体"/>
          <w:sz w:val="28"/>
          <w:szCs w:val="28"/>
          <w:highlight w:val="none"/>
        </w:rPr>
      </w:pPr>
    </w:p>
    <w:p w14:paraId="3FF57078">
      <w:pPr>
        <w:jc w:val="center"/>
        <w:rPr>
          <w:rFonts w:ascii="黑体" w:hAnsi="黑体" w:eastAsia="黑体"/>
          <w:sz w:val="28"/>
          <w:szCs w:val="28"/>
          <w:highlight w:val="none"/>
        </w:rPr>
      </w:pPr>
    </w:p>
    <w:p w14:paraId="2D7AF701">
      <w:pPr>
        <w:jc w:val="center"/>
        <w:rPr>
          <w:rFonts w:ascii="黑体" w:hAnsi="黑体" w:eastAsia="黑体"/>
          <w:sz w:val="28"/>
          <w:szCs w:val="28"/>
          <w:highlight w:val="none"/>
        </w:rPr>
      </w:pPr>
    </w:p>
    <w:p w14:paraId="4AF65FBF">
      <w:pPr>
        <w:jc w:val="center"/>
        <w:rPr>
          <w:sz w:val="72"/>
          <w:szCs w:val="72"/>
          <w:highlight w:val="none"/>
        </w:rPr>
      </w:pPr>
    </w:p>
    <w:p w14:paraId="7684EDDC">
      <w:pPr>
        <w:jc w:val="center"/>
        <w:rPr>
          <w:sz w:val="72"/>
          <w:szCs w:val="72"/>
          <w:highlight w:val="none"/>
        </w:rPr>
      </w:pPr>
    </w:p>
    <w:p w14:paraId="4D03EB0E">
      <w:pPr>
        <w:jc w:val="center"/>
        <w:rPr>
          <w:sz w:val="72"/>
          <w:szCs w:val="72"/>
          <w:highlight w:val="none"/>
        </w:rPr>
      </w:pPr>
    </w:p>
    <w:p w14:paraId="66D0F7A9">
      <w:pPr>
        <w:jc w:val="center"/>
        <w:rPr>
          <w:sz w:val="72"/>
          <w:szCs w:val="72"/>
          <w:highlight w:val="none"/>
        </w:rPr>
      </w:pPr>
    </w:p>
    <w:p w14:paraId="5E6088D5">
      <w:pPr>
        <w:pStyle w:val="10"/>
        <w:jc w:val="center"/>
        <w:rPr>
          <w:rFonts w:hint="eastAsia" w:ascii="方正小标宋_GBK" w:hAnsi="方正小标宋_GBK" w:eastAsia="方正小标宋_GBK" w:cs="方正小标宋_GBK"/>
          <w:sz w:val="84"/>
          <w:szCs w:val="84"/>
          <w:highlight w:val="none"/>
        </w:rPr>
      </w:pPr>
    </w:p>
    <w:p w14:paraId="748E4C26">
      <w:pPr>
        <w:pStyle w:val="10"/>
        <w:jc w:val="center"/>
        <w:rPr>
          <w:rFonts w:hint="eastAsia" w:ascii="方正小标宋_GBK" w:hAnsi="方正小标宋_GBK" w:eastAsia="方正小标宋_GBK" w:cs="方正小标宋_GBK"/>
          <w:sz w:val="84"/>
          <w:szCs w:val="84"/>
          <w:highlight w:val="none"/>
        </w:rPr>
      </w:pPr>
    </w:p>
    <w:p w14:paraId="6F5F33B4">
      <w:pPr>
        <w:pStyle w:val="10"/>
        <w:jc w:val="center"/>
        <w:rPr>
          <w:rFonts w:hint="eastAsia" w:ascii="方正小标宋_GBK" w:hAnsi="方正小标宋_GBK" w:eastAsia="方正小标宋_GBK" w:cs="方正小标宋_GBK"/>
          <w:sz w:val="84"/>
          <w:szCs w:val="84"/>
          <w:highlight w:val="none"/>
        </w:rPr>
      </w:pPr>
    </w:p>
    <w:p w14:paraId="34FCD931">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第二部分</w:t>
      </w:r>
    </w:p>
    <w:p w14:paraId="4CE1E42B">
      <w:pPr>
        <w:pStyle w:val="10"/>
        <w:jc w:val="center"/>
        <w:rPr>
          <w:rFonts w:hint="eastAsia" w:ascii="方正小标宋_GBK" w:hAnsi="方正小标宋_GBK" w:eastAsia="方正小标宋_GBK" w:cs="方正小标宋_GBK"/>
          <w:sz w:val="84"/>
          <w:szCs w:val="84"/>
          <w:highlight w:val="none"/>
        </w:rPr>
      </w:pPr>
    </w:p>
    <w:p w14:paraId="6F06255C">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部门决算表</w:t>
      </w:r>
    </w:p>
    <w:p w14:paraId="707B4A73">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（表格见附件）</w:t>
      </w:r>
    </w:p>
    <w:p w14:paraId="0244E5D6">
      <w:pPr>
        <w:jc w:val="center"/>
        <w:rPr>
          <w:sz w:val="72"/>
          <w:szCs w:val="72"/>
          <w:highlight w:val="none"/>
        </w:rPr>
      </w:pPr>
    </w:p>
    <w:p w14:paraId="73915AAE">
      <w:pPr>
        <w:jc w:val="center"/>
        <w:rPr>
          <w:sz w:val="72"/>
          <w:szCs w:val="72"/>
          <w:highlight w:val="none"/>
        </w:rPr>
      </w:pPr>
    </w:p>
    <w:p w14:paraId="6246BD3B">
      <w:pPr>
        <w:jc w:val="center"/>
        <w:rPr>
          <w:sz w:val="72"/>
          <w:szCs w:val="72"/>
          <w:highlight w:val="none"/>
        </w:rPr>
      </w:pPr>
    </w:p>
    <w:p w14:paraId="0FF7E2A9">
      <w:pPr>
        <w:jc w:val="center"/>
        <w:rPr>
          <w:sz w:val="72"/>
          <w:szCs w:val="72"/>
          <w:highlight w:val="none"/>
        </w:rPr>
      </w:pPr>
    </w:p>
    <w:p w14:paraId="05E5F0AB">
      <w:pPr>
        <w:jc w:val="center"/>
        <w:rPr>
          <w:sz w:val="72"/>
          <w:szCs w:val="72"/>
          <w:highlight w:val="none"/>
        </w:rPr>
      </w:pPr>
    </w:p>
    <w:p w14:paraId="69A9711B">
      <w:pPr>
        <w:jc w:val="left"/>
        <w:rPr>
          <w:sz w:val="32"/>
          <w:szCs w:val="32"/>
          <w:highlight w:val="none"/>
        </w:rPr>
      </w:pPr>
    </w:p>
    <w:p w14:paraId="5DECD962">
      <w:pPr>
        <w:jc w:val="left"/>
        <w:rPr>
          <w:rFonts w:asciiTheme="minorEastAsia" w:hAnsiTheme="minorEastAsia"/>
          <w:sz w:val="32"/>
          <w:szCs w:val="32"/>
          <w:highlight w:val="none"/>
        </w:rPr>
      </w:pPr>
    </w:p>
    <w:p w14:paraId="72DF22F3">
      <w:pPr>
        <w:pStyle w:val="10"/>
        <w:rPr>
          <w:sz w:val="72"/>
          <w:szCs w:val="72"/>
          <w:highlight w:val="none"/>
        </w:rPr>
      </w:pPr>
    </w:p>
    <w:p w14:paraId="1E67576E">
      <w:pPr>
        <w:pStyle w:val="10"/>
        <w:rPr>
          <w:sz w:val="72"/>
          <w:szCs w:val="72"/>
          <w:highlight w:val="none"/>
        </w:rPr>
      </w:pPr>
    </w:p>
    <w:p w14:paraId="1C6CD161">
      <w:pPr>
        <w:pStyle w:val="10"/>
        <w:jc w:val="center"/>
        <w:rPr>
          <w:sz w:val="72"/>
          <w:szCs w:val="72"/>
          <w:highlight w:val="none"/>
        </w:rPr>
      </w:pPr>
    </w:p>
    <w:p w14:paraId="20DC1C53">
      <w:pPr>
        <w:pStyle w:val="10"/>
        <w:jc w:val="center"/>
        <w:rPr>
          <w:rFonts w:hint="eastAsia" w:ascii="方正小标宋_GBK" w:hAnsi="方正小标宋_GBK" w:eastAsia="方正小标宋_GBK" w:cs="方正小标宋_GBK"/>
          <w:sz w:val="72"/>
          <w:szCs w:val="72"/>
          <w:highlight w:val="none"/>
        </w:rPr>
      </w:pPr>
    </w:p>
    <w:p w14:paraId="344AC00C">
      <w:pPr>
        <w:pStyle w:val="10"/>
        <w:jc w:val="center"/>
        <w:rPr>
          <w:rFonts w:hint="eastAsia" w:ascii="方正小标宋_GBK" w:hAnsi="方正小标宋_GBK" w:eastAsia="方正小标宋_GBK" w:cs="方正小标宋_GBK"/>
          <w:sz w:val="72"/>
          <w:szCs w:val="72"/>
          <w:highlight w:val="none"/>
        </w:rPr>
      </w:pPr>
      <w:r>
        <w:rPr>
          <w:rFonts w:hint="eastAsia" w:ascii="方正小标宋_GBK" w:hAnsi="方正小标宋_GBK" w:eastAsia="方正小标宋_GBK" w:cs="方正小标宋_GBK"/>
          <w:sz w:val="72"/>
          <w:szCs w:val="72"/>
          <w:highlight w:val="none"/>
        </w:rPr>
        <w:t>第三部分</w:t>
      </w:r>
    </w:p>
    <w:p w14:paraId="0D155617">
      <w:pPr>
        <w:pStyle w:val="10"/>
        <w:jc w:val="center"/>
        <w:rPr>
          <w:rFonts w:hint="eastAsia" w:ascii="方正小标宋_GBK" w:hAnsi="方正小标宋_GBK" w:eastAsia="方正小标宋_GBK" w:cs="方正小标宋_GBK"/>
          <w:sz w:val="70"/>
          <w:szCs w:val="70"/>
          <w:highlight w:val="none"/>
        </w:rPr>
      </w:pPr>
    </w:p>
    <w:p w14:paraId="330FC70C">
      <w:pPr>
        <w:pStyle w:val="10"/>
        <w:jc w:val="center"/>
        <w:rPr>
          <w:rFonts w:hint="eastAsia" w:ascii="方正小标宋_GBK" w:hAnsi="方正小标宋_GBK" w:eastAsia="方正小标宋_GBK" w:cs="方正小标宋_GBK"/>
          <w:sz w:val="70"/>
          <w:szCs w:val="70"/>
          <w:highlight w:val="none"/>
        </w:rPr>
      </w:pPr>
      <w:r>
        <w:rPr>
          <w:rFonts w:hint="eastAsia" w:ascii="方正小标宋_GBK" w:hAnsi="方正小标宋_GBK" w:eastAsia="方正小标宋_GBK" w:cs="方正小标宋_GBK"/>
          <w:sz w:val="70"/>
          <w:szCs w:val="70"/>
          <w:highlight w:val="none"/>
        </w:rPr>
        <w:t>202</w:t>
      </w:r>
      <w:r>
        <w:rPr>
          <w:rFonts w:hint="eastAsia" w:ascii="方正小标宋_GBK" w:hAnsi="方正小标宋_GBK" w:eastAsia="方正小标宋_GBK" w:cs="方正小标宋_GBK"/>
          <w:sz w:val="70"/>
          <w:szCs w:val="70"/>
          <w:highlight w:val="none"/>
          <w:lang w:val="en-US" w:eastAsia="zh-CN"/>
        </w:rPr>
        <w:t>2</w:t>
      </w:r>
      <w:r>
        <w:rPr>
          <w:rFonts w:hint="eastAsia" w:ascii="方正小标宋_GBK" w:hAnsi="方正小标宋_GBK" w:eastAsia="方正小标宋_GBK" w:cs="方正小标宋_GBK"/>
          <w:sz w:val="70"/>
          <w:szCs w:val="70"/>
          <w:highlight w:val="none"/>
        </w:rPr>
        <w:t>年度部门决算情况说明</w:t>
      </w:r>
    </w:p>
    <w:p w14:paraId="26C4302A">
      <w:pPr>
        <w:widowControl/>
        <w:jc w:val="left"/>
        <w:rPr>
          <w:rFonts w:asciiTheme="minorEastAsia" w:hAnsiTheme="minorEastAsia" w:eastAsiaTheme="minorEastAsia"/>
          <w:sz w:val="32"/>
          <w:szCs w:val="32"/>
          <w:highlight w:val="none"/>
        </w:rPr>
      </w:pPr>
      <w:r>
        <w:rPr>
          <w:rFonts w:hint="eastAsia" w:ascii="方正小标宋_GBK" w:hAnsi="方正小标宋_GBK" w:eastAsia="方正小标宋_GBK" w:cs="方正小标宋_GBK"/>
          <w:sz w:val="70"/>
          <w:szCs w:val="70"/>
          <w:highlight w:val="none"/>
        </w:rPr>
        <w:br w:type="page"/>
      </w:r>
    </w:p>
    <w:p w14:paraId="2328D395">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b/>
          <w:bCs w:val="0"/>
          <w:sz w:val="32"/>
          <w:szCs w:val="32"/>
          <w:highlight w:val="none"/>
        </w:rPr>
      </w:pPr>
      <w:r>
        <w:rPr>
          <w:rFonts w:hint="eastAsia" w:ascii="仿宋" w:hAnsi="仿宋" w:eastAsia="仿宋" w:cs="仿宋"/>
          <w:b/>
          <w:bCs w:val="0"/>
          <w:sz w:val="32"/>
          <w:szCs w:val="32"/>
          <w:highlight w:val="none"/>
        </w:rPr>
        <w:t>一、收入支出决算总体情况说明</w:t>
      </w:r>
    </w:p>
    <w:p w14:paraId="01DAB1C9">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年度收、支总计</w:t>
      </w:r>
      <w:r>
        <w:rPr>
          <w:rFonts w:hint="eastAsia" w:ascii="仿宋" w:hAnsi="仿宋" w:eastAsia="仿宋" w:cs="仿宋"/>
          <w:sz w:val="32"/>
          <w:szCs w:val="32"/>
          <w:highlight w:val="none"/>
          <w:lang w:eastAsia="zh-CN"/>
        </w:rPr>
        <w:t>均为</w:t>
      </w:r>
      <w:r>
        <w:rPr>
          <w:rFonts w:hint="eastAsia" w:ascii="仿宋" w:hAnsi="仿宋" w:eastAsia="仿宋" w:cs="仿宋"/>
          <w:sz w:val="32"/>
          <w:szCs w:val="32"/>
          <w:highlight w:val="none"/>
        </w:rPr>
        <w:t>4,321.27万元。与上年相比，增加</w:t>
      </w:r>
      <w:r>
        <w:rPr>
          <w:rFonts w:hint="eastAsia" w:ascii="仿宋" w:hAnsi="仿宋" w:eastAsia="仿宋" w:cs="仿宋"/>
          <w:sz w:val="32"/>
          <w:szCs w:val="32"/>
          <w:highlight w:val="none"/>
          <w:lang w:val="en-US" w:eastAsia="zh-CN"/>
        </w:rPr>
        <w:t>1634.42</w:t>
      </w:r>
      <w:r>
        <w:rPr>
          <w:rFonts w:hint="eastAsia" w:ascii="仿宋" w:hAnsi="仿宋" w:eastAsia="仿宋" w:cs="仿宋"/>
          <w:sz w:val="32"/>
          <w:szCs w:val="32"/>
          <w:highlight w:val="none"/>
        </w:rPr>
        <w:t>万元，增长</w:t>
      </w:r>
      <w:r>
        <w:rPr>
          <w:rFonts w:hint="eastAsia" w:ascii="仿宋" w:hAnsi="仿宋" w:eastAsia="仿宋" w:cs="仿宋"/>
          <w:sz w:val="32"/>
          <w:szCs w:val="32"/>
          <w:highlight w:val="none"/>
          <w:lang w:val="en-US" w:eastAsia="zh-CN"/>
        </w:rPr>
        <w:t>60.83</w:t>
      </w:r>
      <w:r>
        <w:rPr>
          <w:rFonts w:hint="eastAsia" w:ascii="仿宋" w:hAnsi="仿宋" w:eastAsia="仿宋" w:cs="仿宋"/>
          <w:sz w:val="32"/>
          <w:szCs w:val="32"/>
          <w:highlight w:val="none"/>
        </w:rPr>
        <w:t>%，主要是因为人员经费和项目经费</w:t>
      </w:r>
      <w:r>
        <w:rPr>
          <w:rFonts w:hint="eastAsia" w:ascii="仿宋" w:hAnsi="仿宋" w:eastAsia="仿宋" w:cs="仿宋"/>
          <w:sz w:val="32"/>
          <w:szCs w:val="32"/>
          <w:highlight w:val="none"/>
          <w:lang w:val="en-US" w:eastAsia="zh-CN"/>
        </w:rPr>
        <w:t>增加。</w:t>
      </w:r>
    </w:p>
    <w:p w14:paraId="070CBF61">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b/>
          <w:bCs w:val="0"/>
          <w:sz w:val="32"/>
          <w:szCs w:val="32"/>
          <w:highlight w:val="none"/>
        </w:rPr>
      </w:pPr>
      <w:r>
        <w:rPr>
          <w:rFonts w:hint="eastAsia" w:ascii="仿宋" w:hAnsi="仿宋" w:eastAsia="仿宋" w:cs="仿宋"/>
          <w:b/>
          <w:bCs w:val="0"/>
          <w:sz w:val="32"/>
          <w:szCs w:val="32"/>
          <w:highlight w:val="none"/>
        </w:rPr>
        <w:t>二、收入决算情况说明</w:t>
      </w:r>
    </w:p>
    <w:p w14:paraId="47E62995">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年度收入合计4,321.27万元，其中：财政拨款收入4,321.27万元，占</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w:t>
      </w:r>
    </w:p>
    <w:p w14:paraId="55780AE1">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b/>
          <w:bCs w:val="0"/>
          <w:sz w:val="32"/>
          <w:szCs w:val="32"/>
          <w:highlight w:val="none"/>
        </w:rPr>
      </w:pPr>
      <w:r>
        <w:rPr>
          <w:rFonts w:hint="eastAsia" w:ascii="仿宋" w:hAnsi="仿宋" w:eastAsia="仿宋" w:cs="仿宋"/>
          <w:b/>
          <w:bCs w:val="0"/>
          <w:sz w:val="32"/>
          <w:szCs w:val="32"/>
          <w:highlight w:val="none"/>
        </w:rPr>
        <w:t>三、支出决算情况说明</w:t>
      </w:r>
    </w:p>
    <w:p w14:paraId="1016A8C9">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年度支出合计4,321.27万元，其中：基本支出</w:t>
      </w:r>
      <w:r>
        <w:rPr>
          <w:rFonts w:hint="eastAsia" w:ascii="仿宋" w:hAnsi="仿宋" w:eastAsia="仿宋" w:cs="仿宋"/>
          <w:sz w:val="32"/>
          <w:szCs w:val="32"/>
          <w:highlight w:val="none"/>
          <w:lang w:val="en-US" w:eastAsia="zh-CN"/>
        </w:rPr>
        <w:t>2503.54</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57.91</w:t>
      </w:r>
      <w:r>
        <w:rPr>
          <w:rFonts w:hint="eastAsia" w:ascii="仿宋" w:hAnsi="仿宋" w:eastAsia="仿宋" w:cs="仿宋"/>
          <w:sz w:val="32"/>
          <w:szCs w:val="32"/>
          <w:highlight w:val="none"/>
        </w:rPr>
        <w:t>%；项目支出</w:t>
      </w:r>
      <w:r>
        <w:rPr>
          <w:rFonts w:hint="eastAsia" w:ascii="仿宋" w:hAnsi="仿宋" w:eastAsia="仿宋" w:cs="仿宋"/>
          <w:sz w:val="32"/>
          <w:szCs w:val="32"/>
          <w:highlight w:val="none"/>
          <w:lang w:val="en-US" w:eastAsia="zh-CN"/>
        </w:rPr>
        <w:t>1817.74</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42.09</w:t>
      </w:r>
      <w:r>
        <w:rPr>
          <w:rFonts w:hint="eastAsia" w:ascii="仿宋" w:hAnsi="仿宋" w:eastAsia="仿宋" w:cs="仿宋"/>
          <w:sz w:val="32"/>
          <w:szCs w:val="32"/>
          <w:highlight w:val="none"/>
        </w:rPr>
        <w:t>%。</w:t>
      </w:r>
    </w:p>
    <w:p w14:paraId="3DCFEFE2">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b/>
          <w:bCs w:val="0"/>
          <w:sz w:val="32"/>
          <w:szCs w:val="32"/>
          <w:highlight w:val="none"/>
        </w:rPr>
      </w:pPr>
      <w:r>
        <w:rPr>
          <w:rFonts w:hint="eastAsia" w:ascii="仿宋" w:hAnsi="仿宋" w:eastAsia="仿宋" w:cs="仿宋"/>
          <w:b/>
          <w:bCs w:val="0"/>
          <w:sz w:val="32"/>
          <w:szCs w:val="32"/>
          <w:highlight w:val="none"/>
        </w:rPr>
        <w:t>四、财政拨款收入支出决算总体情况说明</w:t>
      </w:r>
    </w:p>
    <w:p w14:paraId="5A66E071">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年度财政拨款收、支总计</w:t>
      </w:r>
      <w:r>
        <w:rPr>
          <w:rFonts w:hint="eastAsia" w:ascii="仿宋" w:hAnsi="仿宋" w:eastAsia="仿宋" w:cs="仿宋"/>
          <w:sz w:val="32"/>
          <w:szCs w:val="32"/>
          <w:highlight w:val="none"/>
          <w:lang w:eastAsia="zh-CN"/>
        </w:rPr>
        <w:t>均为</w:t>
      </w:r>
      <w:r>
        <w:rPr>
          <w:rFonts w:hint="eastAsia" w:ascii="仿宋" w:hAnsi="仿宋" w:eastAsia="仿宋" w:cs="仿宋"/>
          <w:sz w:val="32"/>
          <w:szCs w:val="32"/>
          <w:highlight w:val="none"/>
        </w:rPr>
        <w:t>4,321.27万元，与上年相比，增加</w:t>
      </w:r>
      <w:r>
        <w:rPr>
          <w:rFonts w:hint="eastAsia" w:ascii="仿宋" w:hAnsi="仿宋" w:eastAsia="仿宋" w:cs="仿宋"/>
          <w:sz w:val="32"/>
          <w:szCs w:val="32"/>
          <w:highlight w:val="none"/>
          <w:lang w:val="en-US" w:eastAsia="zh-CN"/>
        </w:rPr>
        <w:t>767.48</w:t>
      </w:r>
      <w:r>
        <w:rPr>
          <w:rFonts w:hint="eastAsia" w:ascii="仿宋" w:hAnsi="仿宋" w:eastAsia="仿宋" w:cs="仿宋"/>
          <w:sz w:val="32"/>
          <w:szCs w:val="32"/>
          <w:highlight w:val="none"/>
        </w:rPr>
        <w:t>万元,增长</w:t>
      </w:r>
      <w:r>
        <w:rPr>
          <w:rFonts w:hint="eastAsia" w:ascii="仿宋" w:hAnsi="仿宋" w:eastAsia="仿宋" w:cs="仿宋"/>
          <w:sz w:val="32"/>
          <w:szCs w:val="32"/>
          <w:highlight w:val="none"/>
          <w:lang w:val="en-US" w:eastAsia="zh-CN"/>
        </w:rPr>
        <w:t>21.69</w:t>
      </w:r>
      <w:r>
        <w:rPr>
          <w:rFonts w:hint="eastAsia" w:ascii="仿宋" w:hAnsi="仿宋" w:eastAsia="仿宋" w:cs="仿宋"/>
          <w:sz w:val="32"/>
          <w:szCs w:val="32"/>
          <w:highlight w:val="none"/>
        </w:rPr>
        <w:t>%，主要是因为人员经费和项目经费增加</w:t>
      </w:r>
      <w:r>
        <w:rPr>
          <w:rFonts w:hint="eastAsia" w:ascii="仿宋" w:hAnsi="仿宋" w:eastAsia="仿宋" w:cs="仿宋"/>
          <w:sz w:val="32"/>
          <w:szCs w:val="32"/>
          <w:highlight w:val="none"/>
          <w:lang w:eastAsia="zh-CN"/>
        </w:rPr>
        <w:t>。</w:t>
      </w:r>
    </w:p>
    <w:p w14:paraId="64C6BBCF">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b/>
          <w:bCs w:val="0"/>
          <w:sz w:val="32"/>
          <w:szCs w:val="32"/>
          <w:highlight w:val="none"/>
        </w:rPr>
      </w:pPr>
      <w:r>
        <w:rPr>
          <w:rFonts w:hint="eastAsia" w:ascii="仿宋" w:hAnsi="仿宋" w:eastAsia="仿宋" w:cs="仿宋"/>
          <w:b/>
          <w:bCs w:val="0"/>
          <w:sz w:val="32"/>
          <w:szCs w:val="32"/>
          <w:highlight w:val="none"/>
        </w:rPr>
        <w:t>五、一般公共预算财政拨款支出决算情况说明</w:t>
      </w:r>
    </w:p>
    <w:p w14:paraId="4077DA72">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（一）财政拨款支出决算总体情况</w:t>
      </w:r>
    </w:p>
    <w:p w14:paraId="5729F079">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年度财政拨款支出4,321.27万元，占本年支出合计的</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%，与上年相比，财政拨款支出增加</w:t>
      </w:r>
      <w:r>
        <w:rPr>
          <w:rFonts w:hint="eastAsia" w:ascii="仿宋" w:hAnsi="仿宋" w:eastAsia="仿宋" w:cs="仿宋"/>
          <w:sz w:val="32"/>
          <w:szCs w:val="32"/>
          <w:highlight w:val="none"/>
          <w:lang w:val="en-US" w:eastAsia="zh-CN"/>
        </w:rPr>
        <w:t>767.48</w:t>
      </w:r>
      <w:r>
        <w:rPr>
          <w:rFonts w:hint="eastAsia" w:ascii="仿宋" w:hAnsi="仿宋" w:eastAsia="仿宋" w:cs="仿宋"/>
          <w:sz w:val="32"/>
          <w:szCs w:val="32"/>
          <w:highlight w:val="none"/>
        </w:rPr>
        <w:t>万元，增长</w:t>
      </w:r>
      <w:r>
        <w:rPr>
          <w:rFonts w:hint="eastAsia" w:ascii="仿宋" w:hAnsi="仿宋" w:eastAsia="仿宋" w:cs="仿宋"/>
          <w:sz w:val="32"/>
          <w:szCs w:val="32"/>
          <w:highlight w:val="none"/>
          <w:lang w:val="en-US" w:eastAsia="zh-CN"/>
        </w:rPr>
        <w:t>21.69</w:t>
      </w:r>
      <w:r>
        <w:rPr>
          <w:rFonts w:hint="eastAsia" w:ascii="仿宋" w:hAnsi="仿宋" w:eastAsia="仿宋" w:cs="仿宋"/>
          <w:sz w:val="32"/>
          <w:szCs w:val="32"/>
          <w:highlight w:val="none"/>
        </w:rPr>
        <w:t>%，主要是因为人员经费和项目经费增加</w:t>
      </w:r>
      <w:r>
        <w:rPr>
          <w:rFonts w:hint="eastAsia" w:ascii="仿宋" w:hAnsi="仿宋" w:eastAsia="仿宋" w:cs="仿宋"/>
          <w:sz w:val="32"/>
          <w:szCs w:val="32"/>
          <w:highlight w:val="none"/>
          <w:lang w:eastAsia="zh-CN"/>
        </w:rPr>
        <w:t>。</w:t>
      </w:r>
    </w:p>
    <w:p w14:paraId="7EB331B5">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（二）财政拨款支出决算结构情况</w:t>
      </w:r>
    </w:p>
    <w:p w14:paraId="3FC38B66">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b w:val="0"/>
          <w:bCs/>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年度财政拨款支出4,321.27万元，主要用于以下方面：一般公共服务（类）支出</w:t>
      </w:r>
      <w:r>
        <w:rPr>
          <w:rFonts w:hint="eastAsia" w:ascii="仿宋" w:hAnsi="仿宋" w:eastAsia="仿宋" w:cs="仿宋"/>
          <w:sz w:val="32"/>
          <w:szCs w:val="32"/>
          <w:highlight w:val="none"/>
          <w:lang w:val="en-US" w:eastAsia="zh-CN"/>
        </w:rPr>
        <w:t>12.00</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0.28</w:t>
      </w:r>
      <w:r>
        <w:rPr>
          <w:rFonts w:hint="eastAsia" w:ascii="仿宋" w:hAnsi="仿宋" w:eastAsia="仿宋" w:cs="仿宋"/>
          <w:sz w:val="32"/>
          <w:szCs w:val="32"/>
          <w:highlight w:val="none"/>
        </w:rPr>
        <w:t>%；社会保障和就业（类）支出249.53万元，占</w:t>
      </w:r>
      <w:r>
        <w:rPr>
          <w:rFonts w:hint="eastAsia" w:ascii="仿宋" w:hAnsi="仿宋" w:eastAsia="仿宋" w:cs="仿宋"/>
          <w:sz w:val="32"/>
          <w:szCs w:val="32"/>
          <w:highlight w:val="none"/>
          <w:lang w:val="en-US" w:eastAsia="zh-CN"/>
        </w:rPr>
        <w:t>5.77</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卫生健康</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类</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支出</w:t>
      </w:r>
      <w:r>
        <w:rPr>
          <w:rFonts w:hint="eastAsia" w:ascii="仿宋" w:hAnsi="仿宋" w:eastAsia="仿宋" w:cs="仿宋"/>
          <w:sz w:val="32"/>
          <w:szCs w:val="32"/>
          <w:highlight w:val="none"/>
          <w:lang w:val="en-US" w:eastAsia="zh-CN"/>
        </w:rPr>
        <w:t>99.22万元；节能环保（类）支出3,912.38万元，占90.54%；城乡社区（类）支出48.14万元，占1.11%。</w:t>
      </w:r>
    </w:p>
    <w:p w14:paraId="6E19BB4F">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（三）财政拨款支出决算具体情况</w:t>
      </w:r>
    </w:p>
    <w:p w14:paraId="10B2F3B6">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年度财政拨款支出年初预算数为</w:t>
      </w:r>
      <w:r>
        <w:rPr>
          <w:rFonts w:hint="eastAsia" w:ascii="仿宋" w:hAnsi="仿宋" w:eastAsia="仿宋" w:cs="仿宋"/>
          <w:sz w:val="32"/>
          <w:szCs w:val="32"/>
          <w:highlight w:val="none"/>
          <w:lang w:val="en-US" w:eastAsia="zh-CN"/>
        </w:rPr>
        <w:t>1801.61</w:t>
      </w:r>
      <w:r>
        <w:rPr>
          <w:rFonts w:hint="eastAsia" w:ascii="仿宋" w:hAnsi="仿宋" w:eastAsia="仿宋" w:cs="仿宋"/>
          <w:sz w:val="32"/>
          <w:szCs w:val="32"/>
          <w:highlight w:val="none"/>
        </w:rPr>
        <w:t>万元，支出决算数为4,321.27万元，完成年初预算的</w:t>
      </w:r>
      <w:r>
        <w:rPr>
          <w:rFonts w:hint="eastAsia" w:ascii="仿宋" w:hAnsi="仿宋" w:eastAsia="仿宋" w:cs="仿宋"/>
          <w:sz w:val="32"/>
          <w:szCs w:val="32"/>
          <w:highlight w:val="none"/>
          <w:lang w:val="en-US" w:eastAsia="zh-CN"/>
        </w:rPr>
        <w:t>239.86</w:t>
      </w:r>
      <w:r>
        <w:rPr>
          <w:rFonts w:hint="eastAsia" w:ascii="仿宋" w:hAnsi="仿宋" w:eastAsia="仿宋" w:cs="仿宋"/>
          <w:sz w:val="32"/>
          <w:szCs w:val="32"/>
          <w:highlight w:val="none"/>
        </w:rPr>
        <w:t>%，其中：</w:t>
      </w:r>
    </w:p>
    <w:p w14:paraId="1375E3CC">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1、一般公共服务（类）组织事务（款） 其他组织事务支出</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项</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w:t>
      </w:r>
    </w:p>
    <w:p w14:paraId="5E5F2891">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万元，支出决算为12.00万元，决算数大于年初预算数的主要原因是：</w:t>
      </w:r>
      <w:r>
        <w:rPr>
          <w:rFonts w:hint="eastAsia" w:ascii="仿宋" w:hAnsi="仿宋" w:eastAsia="仿宋" w:cs="仿宋"/>
          <w:sz w:val="32"/>
          <w:szCs w:val="32"/>
          <w:highlight w:val="none"/>
          <w:lang w:val="en-US" w:eastAsia="zh-CN"/>
        </w:rPr>
        <w:t>业务需要增加支出。</w:t>
      </w:r>
    </w:p>
    <w:p w14:paraId="6DF11747">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2、社会保障和就业（类）行政事业单位养老支出（款）机关事业单位基本养老保险缴费支出（项）。</w:t>
      </w:r>
    </w:p>
    <w:p w14:paraId="19C0A0E8">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万元，支出决算为171.78万元，决算数大于年初预算数的主要原因是：</w:t>
      </w:r>
      <w:r>
        <w:rPr>
          <w:rFonts w:hint="eastAsia" w:ascii="仿宋" w:hAnsi="仿宋" w:eastAsia="仿宋" w:cs="仿宋"/>
          <w:sz w:val="32"/>
          <w:szCs w:val="32"/>
          <w:highlight w:val="none"/>
          <w:lang w:val="en-US" w:eastAsia="zh-CN"/>
        </w:rPr>
        <w:t>业务需要增加支出。</w:t>
      </w:r>
    </w:p>
    <w:p w14:paraId="2C876C33">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社会保障和就业（类）行政事业单位养老支出（款）其他行政事业单位养老支出（项）。</w:t>
      </w:r>
    </w:p>
    <w:p w14:paraId="0349AA41">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万元，支出决算为77.75万元，决算数大于年初预算数的主要原因是：</w:t>
      </w:r>
      <w:r>
        <w:rPr>
          <w:rFonts w:hint="eastAsia" w:ascii="仿宋" w:hAnsi="仿宋" w:eastAsia="仿宋" w:cs="仿宋"/>
          <w:sz w:val="32"/>
          <w:szCs w:val="32"/>
          <w:highlight w:val="none"/>
          <w:lang w:val="en-US" w:eastAsia="zh-CN"/>
        </w:rPr>
        <w:t>业务需要增加支出。</w:t>
      </w:r>
    </w:p>
    <w:p w14:paraId="6EB91DF9">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卫生健康（类）公共卫生（款） 突发公共卫生事件应急处理（项）。</w:t>
      </w:r>
    </w:p>
    <w:p w14:paraId="76767B8D">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万元，支出决算为9.70万元，决算数大于年初预算数的主要原因是：</w:t>
      </w:r>
      <w:r>
        <w:rPr>
          <w:rFonts w:hint="eastAsia" w:ascii="仿宋" w:hAnsi="仿宋" w:eastAsia="仿宋" w:cs="仿宋"/>
          <w:sz w:val="32"/>
          <w:szCs w:val="32"/>
          <w:highlight w:val="none"/>
          <w:lang w:val="en-US" w:eastAsia="zh-CN"/>
        </w:rPr>
        <w:t>业务需要增加支出。</w:t>
      </w:r>
    </w:p>
    <w:p w14:paraId="73802F34">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5、卫生健康（类）行政事业单位医疗（款）行政单位医疗（项）。</w:t>
      </w:r>
    </w:p>
    <w:p w14:paraId="6F4D8FC5">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年初预算为0万元，支出决算为89.52万元，决算数大于年初预算数的主要原因是：业务需要增加支出。</w:t>
      </w:r>
    </w:p>
    <w:p w14:paraId="0BE34B4C">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6、节能环保（类）环境保护管理事务（款）行政运行（项）。</w:t>
      </w:r>
    </w:p>
    <w:p w14:paraId="04E83F90">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年初预算为1,742.81万元，支出决算为1,737.10万元，完成年初预算99.67%，决算数小于年初预算数的主要原因是：基本按预算执行。</w:t>
      </w:r>
    </w:p>
    <w:p w14:paraId="3A5F31B7">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7、节能环保（类）环境保护管理事务（款）生态环境保护宣传（项）。</w:t>
      </w:r>
    </w:p>
    <w:p w14:paraId="68931325">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年初预算为0万元，支出决算为15.00万元，决算数大于年初预算数的主要原因是：业务需要增加支出。</w:t>
      </w:r>
    </w:p>
    <w:p w14:paraId="64381450">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8、节能环保（类）环境保护管理事务（款）其他环境保护管理事务支出（项）。</w:t>
      </w:r>
    </w:p>
    <w:p w14:paraId="684772DE">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年初预算为58.80万元，支出决算为373.43万元，完成年初预算635.09%，决算数大于年初预算数的主要原因是：业务需要增加支出。</w:t>
      </w:r>
    </w:p>
    <w:p w14:paraId="59BAC9D3">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9、节能环保（类）环境监测与监察（款）其他环境监测与监察支出（项）。</w:t>
      </w:r>
    </w:p>
    <w:p w14:paraId="04D05BFC">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年初预算为0万元，支出决算为25.50万元，决算数大于年初预算数的主要原因是：业务需要增加支出。</w:t>
      </w:r>
    </w:p>
    <w:p w14:paraId="60BE6FA4">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10、节能环保（类）污染防治（款）大气（项）。</w:t>
      </w:r>
    </w:p>
    <w:p w14:paraId="5CEDD41D">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年初预算为0万元，支出决算为87.78万元，决算数大于年初预算数的主要原因是：业务需要增加支出。</w:t>
      </w:r>
    </w:p>
    <w:p w14:paraId="7F24FB0D">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11、节能环保（类）污染防治（款）水体（项）。</w:t>
      </w:r>
    </w:p>
    <w:p w14:paraId="29A1AAE2">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年初预算为0万元，支出决算为20.00万元，决算数大于年初预算数的主要原因是：业务需要增加支出。</w:t>
      </w:r>
    </w:p>
    <w:p w14:paraId="0A68FC1E">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12、节能环保（类）污染防治（款）其他污染防治支出（项）。</w:t>
      </w:r>
    </w:p>
    <w:p w14:paraId="104C85C7">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年初预算为0万元，支出决算为718.70万元，决算数大于年初预算数的主要原因是：业务需要增加支出。</w:t>
      </w:r>
    </w:p>
    <w:p w14:paraId="7CD8C520">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13、节能环保（类）自然生态保护（款）其他自然生态保护支出（项）。</w:t>
      </w:r>
    </w:p>
    <w:p w14:paraId="5890472B">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年初预算为0万元，支出决算为103.27万元，决算数大于年初预算数的主要原因是：业务需要增加支出。</w:t>
      </w:r>
    </w:p>
    <w:p w14:paraId="5E501242">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14、节能环保（类）其他节能环保支出（款）其他节能环保支出（项）。</w:t>
      </w:r>
    </w:p>
    <w:p w14:paraId="084DE3F2">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年初预算为0万元，支出决算为831.61万元，决算数大于年初预算数的主要原因是：业务需要增加支出。</w:t>
      </w:r>
    </w:p>
    <w:p w14:paraId="240F1EE7">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15、城乡社区（类）城乡社区管理事务（款）行政运行（项）。</w:t>
      </w:r>
    </w:p>
    <w:p w14:paraId="5C09B098">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年初预算为0万元，支出决算为48.14万元，决算数大于年初预算数的主要原因是：业务需要增加支出。</w:t>
      </w:r>
    </w:p>
    <w:p w14:paraId="02A805F4">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b/>
          <w:bCs w:val="0"/>
          <w:sz w:val="32"/>
          <w:szCs w:val="32"/>
          <w:highlight w:val="none"/>
        </w:rPr>
      </w:pPr>
      <w:r>
        <w:rPr>
          <w:rFonts w:hint="eastAsia" w:ascii="仿宋" w:hAnsi="仿宋" w:eastAsia="仿宋" w:cs="仿宋"/>
          <w:b/>
          <w:bCs w:val="0"/>
          <w:sz w:val="32"/>
          <w:szCs w:val="32"/>
          <w:highlight w:val="none"/>
        </w:rPr>
        <w:t>六、一般公共预算财政拨款基本支出决算情况说明</w:t>
      </w:r>
    </w:p>
    <w:p w14:paraId="1C4C7122">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年度财政拨款基本支出2,503.54万元，其中：</w:t>
      </w:r>
    </w:p>
    <w:p w14:paraId="31DDA179">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b/>
          <w:bCs/>
          <w:sz w:val="32"/>
          <w:szCs w:val="32"/>
          <w:highlight w:val="none"/>
        </w:rPr>
        <w:t>人员经费</w:t>
      </w:r>
      <w:r>
        <w:rPr>
          <w:rFonts w:hint="eastAsia" w:ascii="仿宋" w:hAnsi="仿宋" w:eastAsia="仿宋" w:cs="仿宋"/>
          <w:sz w:val="32"/>
          <w:szCs w:val="32"/>
          <w:highlight w:val="none"/>
        </w:rPr>
        <w:t>2,221.72万元，占基本支出的</w:t>
      </w:r>
      <w:r>
        <w:rPr>
          <w:rFonts w:hint="eastAsia" w:ascii="仿宋" w:hAnsi="仿宋" w:eastAsia="仿宋" w:cs="仿宋"/>
          <w:sz w:val="32"/>
          <w:szCs w:val="32"/>
          <w:highlight w:val="none"/>
          <w:lang w:val="en-US" w:eastAsia="zh-CN"/>
        </w:rPr>
        <w:t>88.74</w:t>
      </w:r>
      <w:r>
        <w:rPr>
          <w:rFonts w:hint="eastAsia" w:ascii="仿宋" w:hAnsi="仿宋" w:eastAsia="仿宋" w:cs="仿宋"/>
          <w:sz w:val="32"/>
          <w:szCs w:val="32"/>
          <w:highlight w:val="none"/>
        </w:rPr>
        <w:t>%,主要包括基本工资、津贴补贴、奖金、伙食补助费</w:t>
      </w:r>
      <w:r>
        <w:rPr>
          <w:rFonts w:hint="eastAsia" w:ascii="仿宋" w:hAnsi="仿宋" w:eastAsia="仿宋" w:cs="仿宋"/>
          <w:sz w:val="32"/>
          <w:szCs w:val="32"/>
          <w:highlight w:val="none"/>
          <w:lang w:eastAsia="zh-CN"/>
        </w:rPr>
        <w:t>、绩效工资、机关事业单位基本养老保险缴费、职工基本医疗保险缴费、其他社会保障缴费、其他工资福利支出、抚恤金、生活补助、其他对个人和家庭的补助。</w:t>
      </w:r>
    </w:p>
    <w:p w14:paraId="0F12E825">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公用经费</w:t>
      </w:r>
      <w:r>
        <w:rPr>
          <w:rFonts w:hint="eastAsia" w:ascii="仿宋" w:hAnsi="仿宋" w:eastAsia="仿宋" w:cs="仿宋"/>
          <w:sz w:val="32"/>
          <w:szCs w:val="32"/>
          <w:highlight w:val="none"/>
        </w:rPr>
        <w:t>281.81万元，占基本支出的</w:t>
      </w:r>
      <w:r>
        <w:rPr>
          <w:rFonts w:hint="eastAsia" w:ascii="仿宋" w:hAnsi="仿宋" w:eastAsia="仿宋" w:cs="仿宋"/>
          <w:sz w:val="32"/>
          <w:szCs w:val="32"/>
          <w:highlight w:val="none"/>
          <w:lang w:val="en-US" w:eastAsia="zh-CN"/>
        </w:rPr>
        <w:t>11.26</w:t>
      </w:r>
      <w:r>
        <w:rPr>
          <w:rFonts w:hint="eastAsia" w:ascii="仿宋" w:hAnsi="仿宋" w:eastAsia="仿宋" w:cs="仿宋"/>
          <w:sz w:val="32"/>
          <w:szCs w:val="32"/>
          <w:highlight w:val="none"/>
        </w:rPr>
        <w:t>%，主要包括办公费、</w:t>
      </w:r>
      <w:r>
        <w:rPr>
          <w:rFonts w:hint="eastAsia" w:ascii="仿宋" w:hAnsi="仿宋" w:eastAsia="仿宋" w:cs="仿宋"/>
          <w:sz w:val="32"/>
          <w:szCs w:val="32"/>
          <w:highlight w:val="none"/>
          <w:lang w:val="en-US" w:eastAsia="zh-CN"/>
        </w:rPr>
        <w:t>水费、电费、邮电费、物业管理费、差旅费、维修（护）费、会议费、培训费、公务接待费、劳务费、委托业务费、工会经费、公务用车运行维护费、其他交通费用、其他商品和服务支出、办公设备购置</w:t>
      </w:r>
      <w:r>
        <w:rPr>
          <w:rFonts w:hint="eastAsia" w:ascii="仿宋" w:hAnsi="仿宋" w:eastAsia="仿宋" w:cs="仿宋"/>
          <w:sz w:val="32"/>
          <w:szCs w:val="32"/>
          <w:highlight w:val="none"/>
        </w:rPr>
        <w:t>。</w:t>
      </w:r>
    </w:p>
    <w:p w14:paraId="4F185519">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b/>
          <w:bCs w:val="0"/>
          <w:sz w:val="32"/>
          <w:szCs w:val="32"/>
          <w:highlight w:val="none"/>
        </w:rPr>
      </w:pPr>
      <w:r>
        <w:rPr>
          <w:rFonts w:hint="eastAsia" w:ascii="仿宋" w:hAnsi="仿宋" w:eastAsia="仿宋" w:cs="仿宋"/>
          <w:b/>
          <w:bCs w:val="0"/>
          <w:sz w:val="32"/>
          <w:szCs w:val="32"/>
          <w:highlight w:val="none"/>
        </w:rPr>
        <w:t>七、财政拨款三公经费支出决算情况说明</w:t>
      </w:r>
    </w:p>
    <w:p w14:paraId="2DBABF4C">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b/>
          <w:bCs w:val="0"/>
          <w:sz w:val="32"/>
          <w:szCs w:val="32"/>
          <w:highlight w:val="none"/>
        </w:rPr>
      </w:pPr>
      <w:r>
        <w:rPr>
          <w:rFonts w:hint="eastAsia" w:ascii="仿宋" w:hAnsi="仿宋" w:eastAsia="仿宋" w:cs="仿宋"/>
          <w:b/>
          <w:bCs w:val="0"/>
          <w:sz w:val="32"/>
          <w:szCs w:val="32"/>
          <w:highlight w:val="none"/>
        </w:rPr>
        <w:t>（一）“三公”经费财政拨款支出决算总体情况说明</w:t>
      </w:r>
    </w:p>
    <w:p w14:paraId="293958B6">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“三公”经费财政拨款支出预算为</w:t>
      </w:r>
      <w:r>
        <w:rPr>
          <w:rFonts w:hint="eastAsia" w:ascii="仿宋" w:hAnsi="仿宋" w:eastAsia="仿宋" w:cs="仿宋"/>
          <w:sz w:val="32"/>
          <w:szCs w:val="32"/>
          <w:highlight w:val="none"/>
          <w:lang w:val="en-US" w:eastAsia="zh-CN"/>
        </w:rPr>
        <w:t>29.32</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29.32</w:t>
      </w:r>
      <w:r>
        <w:rPr>
          <w:rFonts w:hint="eastAsia" w:ascii="仿宋" w:hAnsi="仿宋" w:eastAsia="仿宋" w:cs="仿宋"/>
          <w:sz w:val="32"/>
          <w:szCs w:val="32"/>
          <w:highlight w:val="none"/>
        </w:rPr>
        <w:t>万元，完成预算的</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%，决算数</w:t>
      </w:r>
      <w:r>
        <w:rPr>
          <w:rFonts w:hint="eastAsia" w:ascii="仿宋" w:hAnsi="仿宋" w:eastAsia="仿宋" w:cs="仿宋"/>
          <w:sz w:val="32"/>
          <w:szCs w:val="32"/>
          <w:highlight w:val="none"/>
          <w:lang w:val="en-US" w:eastAsia="zh-CN"/>
        </w:rPr>
        <w:t>等</w:t>
      </w:r>
      <w:r>
        <w:rPr>
          <w:rFonts w:hint="eastAsia" w:ascii="仿宋" w:hAnsi="仿宋" w:eastAsia="仿宋" w:cs="仿宋"/>
          <w:sz w:val="32"/>
          <w:szCs w:val="32"/>
          <w:highlight w:val="none"/>
        </w:rPr>
        <w:t>于预算数的主要原因是</w:t>
      </w:r>
      <w:r>
        <w:rPr>
          <w:rFonts w:hint="eastAsia" w:ascii="仿宋" w:hAnsi="仿宋" w:eastAsia="仿宋" w:cs="仿宋"/>
          <w:sz w:val="32"/>
          <w:szCs w:val="32"/>
          <w:highlight w:val="none"/>
          <w:lang w:val="en-US" w:eastAsia="zh-CN"/>
        </w:rPr>
        <w:t>严格按预算执行；</w:t>
      </w:r>
      <w:r>
        <w:rPr>
          <w:rFonts w:hint="eastAsia" w:ascii="仿宋" w:hAnsi="仿宋" w:eastAsia="仿宋" w:cs="仿宋"/>
          <w:sz w:val="32"/>
          <w:szCs w:val="32"/>
          <w:highlight w:val="none"/>
        </w:rPr>
        <w:t>与上年相比</w:t>
      </w:r>
      <w:r>
        <w:rPr>
          <w:rFonts w:hint="eastAsia" w:ascii="仿宋" w:hAnsi="仿宋" w:eastAsia="仿宋" w:cs="仿宋"/>
          <w:sz w:val="32"/>
          <w:szCs w:val="32"/>
          <w:highlight w:val="none"/>
          <w:lang w:eastAsia="zh-CN"/>
        </w:rPr>
        <w:t>增加</w:t>
      </w:r>
      <w:r>
        <w:rPr>
          <w:rFonts w:hint="eastAsia" w:ascii="仿宋" w:hAnsi="仿宋" w:eastAsia="仿宋" w:cs="仿宋"/>
          <w:sz w:val="32"/>
          <w:szCs w:val="32"/>
          <w:highlight w:val="none"/>
          <w:lang w:val="en-US" w:eastAsia="zh-CN"/>
        </w:rPr>
        <w:t>9.14</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val="en-US" w:eastAsia="zh-CN"/>
        </w:rPr>
        <w:t>增加45.29</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，增加</w:t>
      </w:r>
      <w:r>
        <w:rPr>
          <w:rFonts w:hint="eastAsia" w:ascii="仿宋" w:hAnsi="仿宋" w:eastAsia="仿宋" w:cs="仿宋"/>
          <w:sz w:val="32"/>
          <w:szCs w:val="32"/>
          <w:highlight w:val="none"/>
        </w:rPr>
        <w:t>的主要原因是公务用车使用年限长维修维护费用</w:t>
      </w:r>
      <w:r>
        <w:rPr>
          <w:rFonts w:hint="eastAsia" w:ascii="仿宋" w:hAnsi="仿宋" w:eastAsia="仿宋" w:cs="仿宋"/>
          <w:sz w:val="32"/>
          <w:szCs w:val="32"/>
          <w:highlight w:val="none"/>
          <w:lang w:eastAsia="zh-CN"/>
        </w:rPr>
        <w:t>增加</w:t>
      </w:r>
      <w:r>
        <w:rPr>
          <w:rFonts w:hint="eastAsia" w:ascii="仿宋" w:hAnsi="仿宋" w:eastAsia="仿宋" w:cs="仿宋"/>
          <w:sz w:val="32"/>
          <w:szCs w:val="32"/>
          <w:highlight w:val="none"/>
        </w:rPr>
        <w:t>。其中：</w:t>
      </w:r>
    </w:p>
    <w:p w14:paraId="5EC0FCC3">
      <w:pPr>
        <w:pStyle w:val="10"/>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因公出国(境)费支出预算为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万元，预算决算金额均</w:t>
      </w:r>
      <w:r>
        <w:rPr>
          <w:rFonts w:hint="eastAsia" w:ascii="仿宋" w:hAnsi="仿宋" w:eastAsia="仿宋" w:cs="仿宋"/>
          <w:sz w:val="32"/>
          <w:szCs w:val="32"/>
          <w:highlight w:val="none"/>
          <w:lang w:val="en-US" w:eastAsia="zh-CN"/>
        </w:rPr>
        <w:t>为0万元</w:t>
      </w:r>
      <w:r>
        <w:rPr>
          <w:rFonts w:hint="eastAsia" w:ascii="仿宋" w:hAnsi="仿宋" w:eastAsia="仿宋" w:cs="仿宋"/>
          <w:sz w:val="32"/>
          <w:szCs w:val="32"/>
          <w:highlight w:val="none"/>
        </w:rPr>
        <w:t>，无法计算完成百分比，主要原因</w:t>
      </w:r>
      <w:r>
        <w:rPr>
          <w:rFonts w:hint="eastAsia" w:ascii="仿宋" w:hAnsi="仿宋" w:eastAsia="仿宋" w:cs="仿宋"/>
          <w:sz w:val="32"/>
          <w:szCs w:val="32"/>
          <w:highlight w:val="none"/>
          <w:lang w:val="en-US" w:eastAsia="zh-CN"/>
        </w:rPr>
        <w:t>是单位未</w:t>
      </w:r>
      <w:r>
        <w:rPr>
          <w:rFonts w:hint="eastAsia" w:ascii="仿宋" w:hAnsi="仿宋" w:eastAsia="仿宋" w:cs="仿宋"/>
          <w:sz w:val="32"/>
          <w:szCs w:val="32"/>
          <w:highlight w:val="none"/>
        </w:rPr>
        <w:t>因公出国（境），</w:t>
      </w:r>
      <w:r>
        <w:rPr>
          <w:rFonts w:hint="eastAsia" w:ascii="仿宋" w:hAnsi="仿宋" w:eastAsia="仿宋" w:cs="仿宋"/>
          <w:sz w:val="32"/>
          <w:szCs w:val="32"/>
          <w:highlight w:val="none"/>
          <w:lang w:val="en-US" w:eastAsia="zh-CN"/>
        </w:rPr>
        <w:t>与上年相比持平均为0万元，</w:t>
      </w:r>
      <w:r>
        <w:rPr>
          <w:rFonts w:hint="eastAsia" w:ascii="仿宋" w:hAnsi="仿宋" w:eastAsia="仿宋" w:cs="仿宋"/>
          <w:sz w:val="32"/>
          <w:szCs w:val="32"/>
          <w:highlight w:val="none"/>
        </w:rPr>
        <w:t>无法计算完成百分比</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主要原因是单位未</w:t>
      </w:r>
      <w:r>
        <w:rPr>
          <w:rFonts w:hint="eastAsia" w:ascii="仿宋" w:hAnsi="仿宋" w:eastAsia="仿宋" w:cs="仿宋"/>
          <w:sz w:val="32"/>
          <w:szCs w:val="32"/>
          <w:highlight w:val="none"/>
        </w:rPr>
        <w:t>因公出国（境）。</w:t>
      </w:r>
    </w:p>
    <w:p w14:paraId="359D32D9">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公务接待费支出预算为</w:t>
      </w:r>
      <w:r>
        <w:rPr>
          <w:rFonts w:hint="eastAsia" w:ascii="仿宋" w:hAnsi="仿宋" w:eastAsia="仿宋" w:cs="仿宋"/>
          <w:sz w:val="32"/>
          <w:szCs w:val="32"/>
          <w:highlight w:val="none"/>
          <w:lang w:val="en-US" w:eastAsia="zh-CN"/>
        </w:rPr>
        <w:t>2.16</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2.16</w:t>
      </w:r>
      <w:r>
        <w:rPr>
          <w:rFonts w:hint="eastAsia" w:ascii="仿宋" w:hAnsi="仿宋" w:eastAsia="仿宋" w:cs="仿宋"/>
          <w:sz w:val="32"/>
          <w:szCs w:val="32"/>
          <w:highlight w:val="none"/>
        </w:rPr>
        <w:t>万元，完成预算的</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%，决算数</w:t>
      </w:r>
      <w:r>
        <w:rPr>
          <w:rFonts w:hint="eastAsia" w:ascii="仿宋" w:hAnsi="仿宋" w:eastAsia="仿宋" w:cs="仿宋"/>
          <w:sz w:val="32"/>
          <w:szCs w:val="32"/>
          <w:highlight w:val="none"/>
          <w:lang w:val="en-US" w:eastAsia="zh-CN"/>
        </w:rPr>
        <w:t>等</w:t>
      </w:r>
      <w:r>
        <w:rPr>
          <w:rFonts w:hint="eastAsia" w:ascii="仿宋" w:hAnsi="仿宋" w:eastAsia="仿宋" w:cs="仿宋"/>
          <w:sz w:val="32"/>
          <w:szCs w:val="32"/>
          <w:highlight w:val="none"/>
        </w:rPr>
        <w:t>于预算数的主要原因是</w:t>
      </w:r>
      <w:r>
        <w:rPr>
          <w:rFonts w:hint="eastAsia" w:ascii="仿宋" w:hAnsi="仿宋" w:eastAsia="仿宋" w:cs="仿宋"/>
          <w:sz w:val="32"/>
          <w:szCs w:val="32"/>
          <w:highlight w:val="none"/>
          <w:lang w:val="en-US" w:eastAsia="zh-CN"/>
        </w:rPr>
        <w:t>严格按预算执行；</w:t>
      </w:r>
      <w:r>
        <w:rPr>
          <w:rFonts w:hint="eastAsia" w:ascii="仿宋" w:hAnsi="仿宋" w:eastAsia="仿宋" w:cs="仿宋"/>
          <w:sz w:val="32"/>
          <w:szCs w:val="32"/>
          <w:highlight w:val="none"/>
        </w:rPr>
        <w:t>与上年相比</w:t>
      </w:r>
      <w:r>
        <w:rPr>
          <w:rFonts w:hint="eastAsia" w:ascii="仿宋" w:hAnsi="仿宋" w:eastAsia="仿宋" w:cs="仿宋"/>
          <w:sz w:val="32"/>
          <w:szCs w:val="32"/>
          <w:highlight w:val="none"/>
          <w:lang w:val="en-US" w:eastAsia="zh-CN"/>
        </w:rPr>
        <w:t>减少2.43</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val="en-US" w:eastAsia="zh-CN"/>
        </w:rPr>
        <w:t>减少52.88</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减少</w:t>
      </w:r>
      <w:r>
        <w:rPr>
          <w:rFonts w:hint="eastAsia" w:ascii="仿宋" w:hAnsi="仿宋" w:eastAsia="仿宋" w:cs="仿宋"/>
          <w:sz w:val="32"/>
          <w:szCs w:val="32"/>
          <w:highlight w:val="none"/>
        </w:rPr>
        <w:t>的主要原因是按照“三公”经费“只减不增”原则，从严从紧安排“三公”经费。</w:t>
      </w:r>
    </w:p>
    <w:p w14:paraId="25795303">
      <w:pPr>
        <w:pStyle w:val="10"/>
        <w:keepNext w:val="0"/>
        <w:keepLines w:val="0"/>
        <w:pageBreakBefore w:val="0"/>
        <w:widowControl w:val="0"/>
        <w:kinsoku/>
        <w:wordWrap/>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公务用车购置费支出预算为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万元，预算决算金额均</w:t>
      </w:r>
      <w:r>
        <w:rPr>
          <w:rFonts w:hint="eastAsia" w:ascii="仿宋" w:hAnsi="仿宋" w:eastAsia="仿宋" w:cs="仿宋"/>
          <w:sz w:val="32"/>
          <w:szCs w:val="32"/>
          <w:highlight w:val="none"/>
          <w:lang w:val="en-US" w:eastAsia="zh-CN"/>
        </w:rPr>
        <w:t>为0万元</w:t>
      </w:r>
      <w:r>
        <w:rPr>
          <w:rFonts w:hint="eastAsia" w:ascii="仿宋" w:hAnsi="仿宋" w:eastAsia="仿宋" w:cs="仿宋"/>
          <w:sz w:val="32"/>
          <w:szCs w:val="32"/>
          <w:highlight w:val="none"/>
        </w:rPr>
        <w:t>，无法计算完成百分比，主要原因</w:t>
      </w:r>
      <w:r>
        <w:rPr>
          <w:rFonts w:hint="eastAsia" w:ascii="仿宋" w:hAnsi="仿宋" w:eastAsia="仿宋" w:cs="仿宋"/>
          <w:sz w:val="32"/>
          <w:szCs w:val="32"/>
          <w:highlight w:val="none"/>
          <w:lang w:val="en-US" w:eastAsia="zh-CN"/>
        </w:rPr>
        <w:t>是未</w:t>
      </w:r>
      <w:r>
        <w:rPr>
          <w:rFonts w:hint="eastAsia" w:ascii="仿宋" w:hAnsi="仿宋" w:eastAsia="仿宋" w:cs="仿宋"/>
          <w:sz w:val="32"/>
          <w:szCs w:val="32"/>
          <w:highlight w:val="none"/>
        </w:rPr>
        <w:t>购置公务用车</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与上年相比持平均为0万元，</w:t>
      </w:r>
      <w:r>
        <w:rPr>
          <w:rFonts w:hint="eastAsia" w:ascii="仿宋" w:hAnsi="仿宋" w:eastAsia="仿宋" w:cs="仿宋"/>
          <w:sz w:val="32"/>
          <w:szCs w:val="32"/>
          <w:highlight w:val="none"/>
        </w:rPr>
        <w:t>无法计算完成百分比</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主要原因</w:t>
      </w:r>
      <w:r>
        <w:rPr>
          <w:rFonts w:hint="eastAsia" w:ascii="仿宋" w:hAnsi="仿宋" w:eastAsia="仿宋" w:cs="仿宋"/>
          <w:sz w:val="32"/>
          <w:szCs w:val="32"/>
          <w:highlight w:val="none"/>
          <w:lang w:val="en-US" w:eastAsia="zh-CN"/>
        </w:rPr>
        <w:t>是未</w:t>
      </w:r>
      <w:r>
        <w:rPr>
          <w:rFonts w:hint="eastAsia" w:ascii="仿宋" w:hAnsi="仿宋" w:eastAsia="仿宋" w:cs="仿宋"/>
          <w:sz w:val="32"/>
          <w:szCs w:val="32"/>
          <w:highlight w:val="none"/>
        </w:rPr>
        <w:t>购置公务用车</w:t>
      </w:r>
      <w:r>
        <w:rPr>
          <w:rFonts w:hint="eastAsia" w:ascii="仿宋" w:hAnsi="仿宋" w:eastAsia="仿宋" w:cs="仿宋"/>
          <w:sz w:val="32"/>
          <w:szCs w:val="32"/>
          <w:highlight w:val="none"/>
          <w:lang w:eastAsia="zh-CN"/>
        </w:rPr>
        <w:t>。</w:t>
      </w:r>
    </w:p>
    <w:p w14:paraId="70A2A41E">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公务用车运行维护费支出预算为</w:t>
      </w:r>
      <w:r>
        <w:rPr>
          <w:rFonts w:hint="eastAsia" w:ascii="仿宋" w:hAnsi="仿宋" w:eastAsia="仿宋" w:cs="仿宋"/>
          <w:sz w:val="32"/>
          <w:szCs w:val="32"/>
          <w:highlight w:val="none"/>
          <w:lang w:val="en-US" w:eastAsia="zh-CN"/>
        </w:rPr>
        <w:t>27.16</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27.16</w:t>
      </w:r>
      <w:r>
        <w:rPr>
          <w:rFonts w:hint="eastAsia" w:ascii="仿宋" w:hAnsi="仿宋" w:eastAsia="仿宋" w:cs="仿宋"/>
          <w:sz w:val="32"/>
          <w:szCs w:val="32"/>
          <w:highlight w:val="none"/>
        </w:rPr>
        <w:t>万元，完成预算的</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%，决算数</w:t>
      </w:r>
      <w:r>
        <w:rPr>
          <w:rFonts w:hint="eastAsia" w:ascii="仿宋" w:hAnsi="仿宋" w:eastAsia="仿宋" w:cs="仿宋"/>
          <w:sz w:val="32"/>
          <w:szCs w:val="32"/>
          <w:highlight w:val="none"/>
          <w:lang w:val="en-US" w:eastAsia="zh-CN"/>
        </w:rPr>
        <w:t>等</w:t>
      </w:r>
      <w:r>
        <w:rPr>
          <w:rFonts w:hint="eastAsia" w:ascii="仿宋" w:hAnsi="仿宋" w:eastAsia="仿宋" w:cs="仿宋"/>
          <w:sz w:val="32"/>
          <w:szCs w:val="32"/>
          <w:highlight w:val="none"/>
        </w:rPr>
        <w:t>于预算数的主要原因是</w:t>
      </w:r>
      <w:r>
        <w:rPr>
          <w:rFonts w:hint="eastAsia" w:ascii="仿宋" w:hAnsi="仿宋" w:eastAsia="仿宋" w:cs="仿宋"/>
          <w:sz w:val="32"/>
          <w:szCs w:val="32"/>
          <w:highlight w:val="none"/>
          <w:lang w:val="en-US" w:eastAsia="zh-CN"/>
        </w:rPr>
        <w:t>严格按预算执行；</w:t>
      </w:r>
      <w:r>
        <w:rPr>
          <w:rFonts w:hint="eastAsia" w:ascii="仿宋" w:hAnsi="仿宋" w:eastAsia="仿宋" w:cs="仿宋"/>
          <w:sz w:val="32"/>
          <w:szCs w:val="32"/>
          <w:highlight w:val="none"/>
        </w:rPr>
        <w:t>与上年相比增加</w:t>
      </w:r>
      <w:r>
        <w:rPr>
          <w:rFonts w:hint="eastAsia" w:ascii="仿宋" w:hAnsi="仿宋" w:eastAsia="仿宋" w:cs="仿宋"/>
          <w:sz w:val="32"/>
          <w:szCs w:val="32"/>
          <w:highlight w:val="none"/>
          <w:lang w:val="en-US" w:eastAsia="zh-CN"/>
        </w:rPr>
        <w:t>11.87</w:t>
      </w:r>
      <w:r>
        <w:rPr>
          <w:rFonts w:hint="eastAsia" w:ascii="仿宋" w:hAnsi="仿宋" w:eastAsia="仿宋" w:cs="仿宋"/>
          <w:sz w:val="32"/>
          <w:szCs w:val="32"/>
          <w:highlight w:val="none"/>
        </w:rPr>
        <w:t>万元，增长</w:t>
      </w:r>
      <w:r>
        <w:rPr>
          <w:rFonts w:hint="eastAsia" w:ascii="仿宋" w:hAnsi="仿宋" w:eastAsia="仿宋" w:cs="仿宋"/>
          <w:sz w:val="32"/>
          <w:szCs w:val="32"/>
          <w:highlight w:val="none"/>
          <w:lang w:val="en-US" w:eastAsia="zh-CN"/>
        </w:rPr>
        <w:t>77.62</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增长的主要原因是公务用车使用年限长增加维修维护费用。</w:t>
      </w:r>
    </w:p>
    <w:p w14:paraId="4740C6A3">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b/>
          <w:bCs w:val="0"/>
          <w:sz w:val="32"/>
          <w:szCs w:val="32"/>
          <w:highlight w:val="none"/>
        </w:rPr>
      </w:pPr>
      <w:r>
        <w:rPr>
          <w:rFonts w:hint="eastAsia" w:ascii="仿宋" w:hAnsi="仿宋" w:eastAsia="仿宋" w:cs="仿宋"/>
          <w:b/>
          <w:bCs w:val="0"/>
          <w:sz w:val="32"/>
          <w:szCs w:val="32"/>
          <w:highlight w:val="none"/>
        </w:rPr>
        <w:t>（二）“三公”经费财政拨款支出决算具体情况说明</w:t>
      </w:r>
    </w:p>
    <w:p w14:paraId="74314167">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年度“三公”经费财政拨款支出决算中，公务接待费支出决算</w:t>
      </w:r>
      <w:r>
        <w:rPr>
          <w:rFonts w:hint="eastAsia" w:ascii="仿宋" w:hAnsi="仿宋" w:eastAsia="仿宋" w:cs="仿宋"/>
          <w:sz w:val="32"/>
          <w:szCs w:val="32"/>
          <w:highlight w:val="none"/>
          <w:lang w:val="en-US" w:eastAsia="zh-CN"/>
        </w:rPr>
        <w:t>2.16</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7.36</w:t>
      </w:r>
      <w:r>
        <w:rPr>
          <w:rFonts w:hint="eastAsia" w:ascii="仿宋" w:hAnsi="仿宋" w:eastAsia="仿宋" w:cs="仿宋"/>
          <w:sz w:val="32"/>
          <w:szCs w:val="32"/>
          <w:highlight w:val="none"/>
        </w:rPr>
        <w:t>%,因公出国（境）费支出决算</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万元，公务用车购置费及运行维护费支出决算</w:t>
      </w:r>
      <w:r>
        <w:rPr>
          <w:rFonts w:hint="eastAsia" w:ascii="仿宋" w:hAnsi="仿宋" w:eastAsia="仿宋" w:cs="仿宋"/>
          <w:sz w:val="32"/>
          <w:szCs w:val="32"/>
          <w:highlight w:val="none"/>
          <w:lang w:val="en-US" w:eastAsia="zh-CN"/>
        </w:rPr>
        <w:t>27.16</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92.64</w:t>
      </w:r>
      <w:r>
        <w:rPr>
          <w:rFonts w:hint="eastAsia" w:ascii="仿宋" w:hAnsi="仿宋" w:eastAsia="仿宋" w:cs="仿宋"/>
          <w:sz w:val="32"/>
          <w:szCs w:val="32"/>
          <w:highlight w:val="none"/>
        </w:rPr>
        <w:t>%。其中：</w:t>
      </w:r>
    </w:p>
    <w:p w14:paraId="178A2B55">
      <w:pPr>
        <w:pStyle w:val="2"/>
        <w:keepNext w:val="0"/>
        <w:keepLines w:val="0"/>
        <w:pageBreakBefore w:val="0"/>
        <w:widowControl w:val="0"/>
        <w:tabs>
          <w:tab w:val="left" w:pos="3864"/>
          <w:tab w:val="left" w:pos="6248"/>
          <w:tab w:val="left" w:pos="7386"/>
        </w:tabs>
        <w:kinsoku/>
        <w:wordWrap/>
        <w:overflowPunct w:val="0"/>
        <w:topLinePunct w:val="0"/>
        <w:bidi w:val="0"/>
        <w:adjustRightInd/>
        <w:snapToGrid/>
        <w:spacing w:line="600" w:lineRule="exact"/>
        <w:ind w:right="0" w:firstLine="640" w:firstLineChars="200"/>
        <w:textAlignment w:val="auto"/>
        <w:rPr>
          <w:rFonts w:hint="eastAsia" w:ascii="仿宋" w:hAnsi="仿宋" w:eastAsia="仿宋" w:cs="仿宋"/>
          <w:b/>
          <w:bCs/>
          <w:i/>
          <w:color w:val="auto"/>
          <w:sz w:val="32"/>
          <w:szCs w:val="32"/>
          <w:highlight w:val="none"/>
          <w:lang w:val="en-US" w:eastAsia="zh-CN"/>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因公出国（境）费支出决算为0万元，全年安排因公出国（境）团组0个，累计</w:t>
      </w:r>
      <w:bookmarkStart w:id="0" w:name="THERR_YGCGJFY_TZRS"/>
      <w:r>
        <w:rPr>
          <w:rFonts w:hint="eastAsia" w:ascii="仿宋" w:hAnsi="仿宋" w:eastAsia="仿宋" w:cs="仿宋"/>
          <w:sz w:val="32"/>
          <w:szCs w:val="32"/>
          <w:highlight w:val="none"/>
        </w:rPr>
        <w:t>0</w:t>
      </w:r>
      <w:bookmarkEnd w:id="0"/>
      <w:r>
        <w:rPr>
          <w:rFonts w:hint="eastAsia" w:ascii="仿宋" w:hAnsi="仿宋" w:eastAsia="仿宋" w:cs="仿宋"/>
          <w:sz w:val="32"/>
          <w:szCs w:val="32"/>
          <w:highlight w:val="none"/>
        </w:rPr>
        <w:t>人次，主要是</w:t>
      </w:r>
      <w:bookmarkStart w:id="1" w:name="THERR_YGCGJFY_ZYYY"/>
      <w:r>
        <w:rPr>
          <w:rFonts w:hint="eastAsia" w:ascii="仿宋" w:hAnsi="仿宋" w:eastAsia="仿宋" w:cs="仿宋"/>
          <w:sz w:val="32"/>
          <w:szCs w:val="32"/>
          <w:highlight w:val="none"/>
        </w:rPr>
        <w:t>2022年我单位没有因公出国（境）费支出</w:t>
      </w:r>
      <w:bookmarkEnd w:id="1"/>
      <w:bookmarkStart w:id="2" w:name="END_THERR_YGCGJFY_AMT"/>
      <w:bookmarkEnd w:id="2"/>
      <w:r>
        <w:rPr>
          <w:rFonts w:hint="eastAsia" w:ascii="仿宋" w:hAnsi="仿宋" w:eastAsia="仿宋" w:cs="仿宋"/>
          <w:sz w:val="32"/>
          <w:szCs w:val="32"/>
          <w:highlight w:val="none"/>
        </w:rPr>
        <w:t>。</w:t>
      </w:r>
    </w:p>
    <w:p w14:paraId="4A8E6491">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2、公务接待费支出决算为</w:t>
      </w:r>
      <w:r>
        <w:rPr>
          <w:rFonts w:hint="eastAsia" w:ascii="仿宋" w:hAnsi="仿宋" w:eastAsia="仿宋" w:cs="仿宋"/>
          <w:sz w:val="32"/>
          <w:szCs w:val="32"/>
          <w:highlight w:val="none"/>
          <w:lang w:val="en-US" w:eastAsia="zh-CN"/>
        </w:rPr>
        <w:t>2.16</w:t>
      </w:r>
      <w:r>
        <w:rPr>
          <w:rFonts w:hint="eastAsia" w:ascii="仿宋" w:hAnsi="仿宋" w:eastAsia="仿宋" w:cs="仿宋"/>
          <w:sz w:val="32"/>
          <w:szCs w:val="32"/>
          <w:highlight w:val="none"/>
        </w:rPr>
        <w:t>万元，全年共接待来访团组</w:t>
      </w:r>
      <w:r>
        <w:rPr>
          <w:rFonts w:hint="eastAsia" w:ascii="仿宋" w:hAnsi="仿宋" w:eastAsia="仿宋" w:cs="仿宋"/>
          <w:sz w:val="32"/>
          <w:szCs w:val="32"/>
          <w:highlight w:val="none"/>
          <w:lang w:val="en-US" w:eastAsia="zh-CN"/>
        </w:rPr>
        <w:t>29</w:t>
      </w:r>
      <w:r>
        <w:rPr>
          <w:rFonts w:hint="eastAsia" w:ascii="仿宋" w:hAnsi="仿宋" w:eastAsia="仿宋" w:cs="仿宋"/>
          <w:sz w:val="32"/>
          <w:szCs w:val="32"/>
          <w:highlight w:val="none"/>
        </w:rPr>
        <w:t>个、来宾</w:t>
      </w:r>
      <w:r>
        <w:rPr>
          <w:rFonts w:hint="eastAsia" w:ascii="仿宋" w:hAnsi="仿宋" w:eastAsia="仿宋" w:cs="仿宋"/>
          <w:sz w:val="32"/>
          <w:szCs w:val="32"/>
          <w:highlight w:val="none"/>
          <w:lang w:val="en-US" w:eastAsia="zh-CN"/>
        </w:rPr>
        <w:t>121</w:t>
      </w:r>
      <w:r>
        <w:rPr>
          <w:rFonts w:hint="eastAsia" w:ascii="仿宋" w:hAnsi="仿宋" w:eastAsia="仿宋" w:cs="仿宋"/>
          <w:sz w:val="32"/>
          <w:szCs w:val="32"/>
          <w:highlight w:val="none"/>
        </w:rPr>
        <w:t>人次，主要是全省环境执法交叉检查</w:t>
      </w:r>
      <w:r>
        <w:rPr>
          <w:rFonts w:hint="eastAsia" w:ascii="仿宋" w:hAnsi="仿宋" w:eastAsia="仿宋" w:cs="仿宋"/>
          <w:sz w:val="32"/>
          <w:szCs w:val="32"/>
          <w:highlight w:val="none"/>
          <w:lang w:eastAsia="zh-CN"/>
        </w:rPr>
        <w:t>、衔接汇报环保督察问题销号整改事宜、</w:t>
      </w:r>
      <w:r>
        <w:rPr>
          <w:rFonts w:hint="eastAsia" w:ascii="仿宋" w:hAnsi="仿宋" w:eastAsia="仿宋" w:cs="仿宋"/>
          <w:sz w:val="32"/>
          <w:szCs w:val="32"/>
          <w:highlight w:val="none"/>
          <w:lang w:val="en-US" w:eastAsia="zh-CN"/>
        </w:rPr>
        <w:t>省厅调研、长沙环保职业学联系院校合作相关事宜、省厅开展日常督察工作、环科院对辰州矿业公司开展专项统计督查、省厅辐射站来人对怀化核技术利用单位开展辐射安全检查、省厅及省监测中心开展2022年湖南省生态环境监测质量监督检查、省环境应急与事故中心专项督导帮扶、省厅园区环境污染第三方治理工作调研、铜仁生态环境局执法调查取证及各分局汇报等</w:t>
      </w:r>
      <w:r>
        <w:rPr>
          <w:rFonts w:hint="eastAsia" w:ascii="仿宋" w:hAnsi="仿宋" w:eastAsia="仿宋" w:cs="仿宋"/>
          <w:sz w:val="32"/>
          <w:szCs w:val="32"/>
          <w:highlight w:val="none"/>
        </w:rPr>
        <w:t>发生的接待支出。</w:t>
      </w:r>
    </w:p>
    <w:p w14:paraId="7138ED74">
      <w:pPr>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b/>
          <w:bCs/>
          <w:i/>
          <w:color w:val="auto"/>
          <w:kern w:val="0"/>
          <w:sz w:val="32"/>
          <w:szCs w:val="32"/>
          <w:highlight w:val="none"/>
          <w:lang w:val="en-US" w:eastAsia="zh-CN" w:bidi="ar-SA"/>
        </w:rPr>
      </w:pPr>
      <w:r>
        <w:rPr>
          <w:rFonts w:hint="eastAsia" w:ascii="仿宋" w:hAnsi="仿宋" w:eastAsia="仿宋" w:cs="仿宋"/>
          <w:sz w:val="32"/>
          <w:szCs w:val="32"/>
          <w:highlight w:val="none"/>
        </w:rPr>
        <w:t>3、公务用车购置费及运行维护费支出决算为</w:t>
      </w:r>
      <w:r>
        <w:rPr>
          <w:rFonts w:hint="eastAsia" w:ascii="仿宋" w:hAnsi="仿宋" w:eastAsia="仿宋" w:cs="仿宋"/>
          <w:sz w:val="32"/>
          <w:szCs w:val="32"/>
          <w:highlight w:val="none"/>
          <w:lang w:val="en-US" w:eastAsia="zh-CN"/>
        </w:rPr>
        <w:t>27.16</w:t>
      </w:r>
      <w:r>
        <w:rPr>
          <w:rFonts w:hint="eastAsia" w:ascii="仿宋" w:hAnsi="仿宋" w:eastAsia="仿宋" w:cs="仿宋"/>
          <w:sz w:val="32"/>
          <w:szCs w:val="32"/>
          <w:highlight w:val="none"/>
        </w:rPr>
        <w:t>万元，其中：公务用车购置费</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w:t>
      </w:r>
      <w:r>
        <w:rPr>
          <w:rFonts w:hint="eastAsia" w:ascii="仿宋_GB2312" w:hAnsi="仿宋_GB2312" w:eastAsia="仿宋_GB2312" w:cs="仿宋_GB2312"/>
          <w:sz w:val="32"/>
          <w:szCs w:val="32"/>
          <w:highlight w:val="none"/>
        </w:rPr>
        <w:t>更新公务用车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w:t>
      </w:r>
      <w:bookmarkStart w:id="8" w:name="_GoBack"/>
      <w:bookmarkEnd w:id="8"/>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sz w:val="32"/>
          <w:szCs w:val="32"/>
          <w:highlight w:val="none"/>
        </w:rPr>
        <w:t>公务用车运行维护费</w:t>
      </w:r>
      <w:r>
        <w:rPr>
          <w:rFonts w:hint="eastAsia" w:ascii="仿宋" w:hAnsi="仿宋" w:eastAsia="仿宋" w:cs="仿宋"/>
          <w:sz w:val="32"/>
          <w:szCs w:val="32"/>
          <w:highlight w:val="none"/>
          <w:lang w:val="en-US" w:eastAsia="zh-CN"/>
        </w:rPr>
        <w:t>27.16</w:t>
      </w:r>
      <w:r>
        <w:rPr>
          <w:rFonts w:hint="eastAsia" w:ascii="仿宋" w:hAnsi="仿宋" w:eastAsia="仿宋" w:cs="仿宋"/>
          <w:sz w:val="32"/>
          <w:szCs w:val="32"/>
          <w:highlight w:val="none"/>
        </w:rPr>
        <w:t>万元，主要是燃油费、维修费、保险费、过路费等支出，截止202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年12月31日，我单位开支财政拨款的公务用车保有量为</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辆。</w:t>
      </w:r>
    </w:p>
    <w:p w14:paraId="50A4C6DC">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b/>
          <w:bCs w:val="0"/>
          <w:sz w:val="32"/>
          <w:szCs w:val="32"/>
          <w:highlight w:val="none"/>
        </w:rPr>
      </w:pPr>
      <w:r>
        <w:rPr>
          <w:rFonts w:hint="eastAsia" w:ascii="仿宋" w:hAnsi="仿宋" w:eastAsia="仿宋" w:cs="仿宋"/>
          <w:b/>
          <w:bCs w:val="0"/>
          <w:sz w:val="32"/>
          <w:szCs w:val="32"/>
          <w:highlight w:val="none"/>
        </w:rPr>
        <w:t>八、政府性基金预算收入支出决算情况</w:t>
      </w:r>
    </w:p>
    <w:p w14:paraId="7C94A497">
      <w:pPr>
        <w:pStyle w:val="10"/>
        <w:keepNext w:val="0"/>
        <w:keepLines w:val="0"/>
        <w:pageBreakBefore w:val="0"/>
        <w:widowControl w:val="0"/>
        <w:kinsoku/>
        <w:wordWrap/>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2022年度本单位无政府性基金收支。</w:t>
      </w:r>
    </w:p>
    <w:p w14:paraId="260C37D3">
      <w:pPr>
        <w:pStyle w:val="10"/>
        <w:keepNext w:val="0"/>
        <w:keepLines w:val="0"/>
        <w:pageBreakBefore w:val="0"/>
        <w:widowControl w:val="0"/>
        <w:kinsoku/>
        <w:wordWrap/>
        <w:topLinePunct w:val="0"/>
        <w:bidi w:val="0"/>
        <w:adjustRightInd/>
        <w:snapToGrid/>
        <w:spacing w:line="600" w:lineRule="exact"/>
        <w:ind w:right="0" w:firstLine="640" w:firstLineChars="200"/>
        <w:textAlignment w:val="auto"/>
        <w:rPr>
          <w:rFonts w:hint="eastAsia" w:ascii="仿宋" w:hAnsi="仿宋" w:eastAsia="仿宋" w:cs="仿宋"/>
          <w:b/>
          <w:bCs/>
          <w:sz w:val="32"/>
          <w:szCs w:val="32"/>
          <w:highlight w:val="none"/>
        </w:rPr>
      </w:pPr>
      <w:r>
        <w:rPr>
          <w:rFonts w:hint="eastAsia" w:ascii="仿宋" w:hAnsi="仿宋" w:eastAsia="仿宋" w:cs="仿宋"/>
          <w:b/>
          <w:sz w:val="32"/>
          <w:szCs w:val="32"/>
          <w:highlight w:val="none"/>
          <w:lang w:eastAsia="zh-CN"/>
        </w:rPr>
        <w:t>九、国有资本经营预算</w:t>
      </w:r>
      <w:r>
        <w:rPr>
          <w:rFonts w:hint="eastAsia" w:ascii="仿宋" w:hAnsi="仿宋" w:eastAsia="仿宋" w:cs="仿宋"/>
          <w:b/>
          <w:bCs/>
          <w:sz w:val="32"/>
          <w:szCs w:val="32"/>
          <w:highlight w:val="none"/>
        </w:rPr>
        <w:t>财政拨款支出决算情况</w:t>
      </w:r>
    </w:p>
    <w:p w14:paraId="03ED8206">
      <w:pPr>
        <w:pStyle w:val="10"/>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2022年度本单位无国有资本经营预算</w:t>
      </w:r>
      <w:r>
        <w:rPr>
          <w:rFonts w:hint="eastAsia" w:ascii="仿宋" w:hAnsi="仿宋" w:eastAsia="仿宋" w:cs="仿宋"/>
          <w:b w:val="0"/>
          <w:bCs w:val="0"/>
          <w:sz w:val="32"/>
          <w:szCs w:val="32"/>
          <w:highlight w:val="none"/>
        </w:rPr>
        <w:t>财政拨款支出</w:t>
      </w:r>
      <w:r>
        <w:rPr>
          <w:rFonts w:hint="eastAsia" w:ascii="仿宋" w:hAnsi="仿宋" w:eastAsia="仿宋" w:cs="仿宋"/>
          <w:sz w:val="32"/>
          <w:szCs w:val="32"/>
          <w:highlight w:val="none"/>
        </w:rPr>
        <w:t>。</w:t>
      </w:r>
    </w:p>
    <w:p w14:paraId="2D60AF0E">
      <w:pPr>
        <w:pStyle w:val="10"/>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b/>
          <w:sz w:val="32"/>
          <w:szCs w:val="32"/>
          <w:highlight w:val="none"/>
        </w:rPr>
      </w:pPr>
      <w:r>
        <w:rPr>
          <w:rFonts w:hint="eastAsia" w:ascii="仿宋" w:hAnsi="仿宋" w:eastAsia="仿宋" w:cs="仿宋"/>
          <w:b/>
          <w:sz w:val="32"/>
          <w:szCs w:val="32"/>
          <w:highlight w:val="none"/>
          <w:lang w:eastAsia="zh-CN"/>
        </w:rPr>
        <w:t>十、</w:t>
      </w:r>
      <w:r>
        <w:rPr>
          <w:rFonts w:hint="eastAsia" w:ascii="仿宋" w:hAnsi="仿宋" w:eastAsia="仿宋" w:cs="仿宋"/>
          <w:b/>
          <w:sz w:val="32"/>
          <w:szCs w:val="32"/>
          <w:highlight w:val="none"/>
        </w:rPr>
        <w:t>关于机关运行经费支出说明</w:t>
      </w:r>
    </w:p>
    <w:p w14:paraId="645501B8">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本部门202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年度机关运行经费支出</w:t>
      </w:r>
      <w:r>
        <w:rPr>
          <w:rFonts w:hint="eastAsia" w:ascii="仿宋" w:hAnsi="仿宋" w:eastAsia="仿宋" w:cs="仿宋"/>
          <w:sz w:val="32"/>
          <w:szCs w:val="32"/>
          <w:highlight w:val="none"/>
          <w:lang w:val="en-US" w:eastAsia="zh-CN"/>
        </w:rPr>
        <w:t>281.81</w:t>
      </w:r>
      <w:r>
        <w:rPr>
          <w:rFonts w:hint="eastAsia" w:ascii="仿宋" w:hAnsi="仿宋" w:eastAsia="仿宋" w:cs="仿宋"/>
          <w:sz w:val="32"/>
          <w:szCs w:val="32"/>
          <w:highlight w:val="none"/>
        </w:rPr>
        <w:t>万元，比年初预算数减少</w:t>
      </w:r>
      <w:r>
        <w:rPr>
          <w:rFonts w:hint="eastAsia" w:ascii="仿宋" w:hAnsi="仿宋" w:eastAsia="仿宋" w:cs="仿宋"/>
          <w:sz w:val="32"/>
          <w:szCs w:val="32"/>
          <w:highlight w:val="none"/>
          <w:lang w:val="en-US" w:eastAsia="zh-CN"/>
        </w:rPr>
        <w:t>43.19</w:t>
      </w:r>
      <w:r>
        <w:rPr>
          <w:rFonts w:hint="eastAsia" w:ascii="仿宋" w:hAnsi="仿宋" w:eastAsia="仿宋" w:cs="仿宋"/>
          <w:sz w:val="32"/>
          <w:szCs w:val="32"/>
          <w:highlight w:val="none"/>
        </w:rPr>
        <w:t>万元，降低</w:t>
      </w:r>
      <w:r>
        <w:rPr>
          <w:rFonts w:hint="eastAsia" w:ascii="仿宋" w:hAnsi="仿宋" w:eastAsia="仿宋" w:cs="仿宋"/>
          <w:sz w:val="32"/>
          <w:szCs w:val="32"/>
          <w:highlight w:val="none"/>
          <w:lang w:val="en-US" w:eastAsia="zh-CN"/>
        </w:rPr>
        <w:t>13.29</w:t>
      </w:r>
      <w:r>
        <w:rPr>
          <w:rFonts w:hint="eastAsia" w:ascii="仿宋" w:hAnsi="仿宋" w:eastAsia="仿宋" w:cs="仿宋"/>
          <w:sz w:val="32"/>
          <w:szCs w:val="32"/>
          <w:highlight w:val="none"/>
        </w:rPr>
        <w:t>%。主要原因是：按照“公用”经费“只减不增”原则，从严从紧安排“公用”经费。</w:t>
      </w:r>
    </w:p>
    <w:p w14:paraId="368F8151">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b/>
          <w:bCs w:val="0"/>
          <w:sz w:val="32"/>
          <w:szCs w:val="32"/>
          <w:highlight w:val="none"/>
        </w:rPr>
      </w:pPr>
      <w:r>
        <w:rPr>
          <w:rFonts w:hint="eastAsia" w:ascii="仿宋" w:hAnsi="仿宋" w:eastAsia="仿宋" w:cs="仿宋"/>
          <w:b/>
          <w:bCs w:val="0"/>
          <w:sz w:val="32"/>
          <w:szCs w:val="32"/>
          <w:highlight w:val="none"/>
        </w:rPr>
        <w:t>十</w:t>
      </w:r>
      <w:r>
        <w:rPr>
          <w:rFonts w:hint="eastAsia" w:ascii="仿宋" w:hAnsi="仿宋" w:eastAsia="仿宋" w:cs="仿宋"/>
          <w:b/>
          <w:bCs w:val="0"/>
          <w:sz w:val="32"/>
          <w:szCs w:val="32"/>
          <w:highlight w:val="none"/>
          <w:lang w:eastAsia="zh-CN"/>
        </w:rPr>
        <w:t>一</w:t>
      </w:r>
      <w:r>
        <w:rPr>
          <w:rFonts w:hint="eastAsia" w:ascii="仿宋" w:hAnsi="仿宋" w:eastAsia="仿宋" w:cs="仿宋"/>
          <w:b/>
          <w:bCs w:val="0"/>
          <w:sz w:val="32"/>
          <w:szCs w:val="32"/>
          <w:highlight w:val="none"/>
        </w:rPr>
        <w:t>、一般性支出情况说明</w:t>
      </w:r>
    </w:p>
    <w:p w14:paraId="0DA57C1C">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年本部门开支会议费</w:t>
      </w:r>
      <w:r>
        <w:rPr>
          <w:rFonts w:hint="eastAsia" w:ascii="仿宋" w:hAnsi="仿宋" w:eastAsia="仿宋" w:cs="仿宋"/>
          <w:sz w:val="32"/>
          <w:szCs w:val="32"/>
          <w:highlight w:val="none"/>
          <w:lang w:val="en-US" w:eastAsia="zh-CN"/>
        </w:rPr>
        <w:t>3.59</w:t>
      </w:r>
      <w:r>
        <w:rPr>
          <w:rFonts w:hint="eastAsia" w:ascii="仿宋" w:hAnsi="仿宋" w:eastAsia="仿宋" w:cs="仿宋"/>
          <w:sz w:val="32"/>
          <w:szCs w:val="32"/>
          <w:highlight w:val="none"/>
        </w:rPr>
        <w:t>万元，用于召开生态文明县市区建设工作会议（</w:t>
      </w:r>
      <w:r>
        <w:rPr>
          <w:rFonts w:hint="eastAsia" w:ascii="仿宋" w:hAnsi="仿宋" w:eastAsia="仿宋" w:cs="仿宋"/>
          <w:sz w:val="32"/>
          <w:szCs w:val="32"/>
          <w:highlight w:val="none"/>
          <w:lang w:val="en-US" w:eastAsia="zh-CN"/>
        </w:rPr>
        <w:t>人数</w:t>
      </w:r>
      <w:r>
        <w:rPr>
          <w:rFonts w:hint="eastAsia" w:ascii="仿宋" w:hAnsi="仿宋" w:eastAsia="仿宋" w:cs="仿宋"/>
          <w:sz w:val="32"/>
          <w:szCs w:val="32"/>
          <w:highlight w:val="none"/>
        </w:rPr>
        <w:t>10人）、民主推荐会（</w:t>
      </w:r>
      <w:r>
        <w:rPr>
          <w:rFonts w:hint="eastAsia" w:ascii="仿宋" w:hAnsi="仿宋" w:eastAsia="仿宋" w:cs="仿宋"/>
          <w:sz w:val="32"/>
          <w:szCs w:val="32"/>
          <w:highlight w:val="none"/>
          <w:lang w:val="en-US" w:eastAsia="zh-CN"/>
        </w:rPr>
        <w:t>人数</w:t>
      </w:r>
      <w:r>
        <w:rPr>
          <w:rFonts w:hint="eastAsia" w:ascii="仿宋" w:hAnsi="仿宋" w:eastAsia="仿宋" w:cs="仿宋"/>
          <w:sz w:val="32"/>
          <w:szCs w:val="32"/>
          <w:highlight w:val="none"/>
        </w:rPr>
        <w:t>47人）、洞庭清波专项行动省级集中督导检查反馈会（</w:t>
      </w:r>
      <w:r>
        <w:rPr>
          <w:rFonts w:hint="eastAsia" w:ascii="仿宋" w:hAnsi="仿宋" w:eastAsia="仿宋" w:cs="仿宋"/>
          <w:sz w:val="32"/>
          <w:szCs w:val="32"/>
          <w:highlight w:val="none"/>
          <w:lang w:val="en-US" w:eastAsia="zh-CN"/>
        </w:rPr>
        <w:t>人数</w:t>
      </w:r>
      <w:r>
        <w:rPr>
          <w:rFonts w:hint="eastAsia" w:ascii="仿宋" w:hAnsi="仿宋" w:eastAsia="仿宋" w:cs="仿宋"/>
          <w:sz w:val="32"/>
          <w:szCs w:val="32"/>
          <w:highlight w:val="none"/>
        </w:rPr>
        <w:t>30人）、四严四基和夏季攻势调研会（</w:t>
      </w:r>
      <w:r>
        <w:rPr>
          <w:rFonts w:hint="eastAsia" w:ascii="仿宋" w:hAnsi="仿宋" w:eastAsia="仿宋" w:cs="仿宋"/>
          <w:sz w:val="32"/>
          <w:szCs w:val="32"/>
          <w:highlight w:val="none"/>
          <w:lang w:val="en-US" w:eastAsia="zh-CN"/>
        </w:rPr>
        <w:t>人数</w:t>
      </w:r>
      <w:r>
        <w:rPr>
          <w:rFonts w:hint="eastAsia" w:ascii="仿宋" w:hAnsi="仿宋" w:eastAsia="仿宋" w:cs="仿宋"/>
          <w:sz w:val="32"/>
          <w:szCs w:val="32"/>
          <w:highlight w:val="none"/>
        </w:rPr>
        <w:t>25人）、2022年全市生态环境保护暨市生环委第一次会（</w:t>
      </w:r>
      <w:r>
        <w:rPr>
          <w:rFonts w:hint="eastAsia" w:ascii="仿宋" w:hAnsi="仿宋" w:eastAsia="仿宋" w:cs="仿宋"/>
          <w:sz w:val="32"/>
          <w:szCs w:val="32"/>
          <w:highlight w:val="none"/>
          <w:lang w:val="en-US" w:eastAsia="zh-CN"/>
        </w:rPr>
        <w:t>人数</w:t>
      </w:r>
      <w:r>
        <w:rPr>
          <w:rFonts w:hint="eastAsia" w:ascii="仿宋" w:hAnsi="仿宋" w:eastAsia="仿宋" w:cs="仿宋"/>
          <w:sz w:val="32"/>
          <w:szCs w:val="32"/>
          <w:highlight w:val="none"/>
        </w:rPr>
        <w:t>50人）、工会联合会第一届代表会、百名专家下基层帮扶工作座谈会（</w:t>
      </w:r>
      <w:r>
        <w:rPr>
          <w:rFonts w:hint="eastAsia" w:ascii="仿宋" w:hAnsi="仿宋" w:eastAsia="仿宋" w:cs="仿宋"/>
          <w:sz w:val="32"/>
          <w:szCs w:val="32"/>
          <w:highlight w:val="none"/>
          <w:lang w:val="en-US" w:eastAsia="zh-CN"/>
        </w:rPr>
        <w:t>人数</w:t>
      </w:r>
      <w:r>
        <w:rPr>
          <w:rFonts w:hint="eastAsia" w:ascii="仿宋" w:hAnsi="仿宋" w:eastAsia="仿宋" w:cs="仿宋"/>
          <w:sz w:val="32"/>
          <w:szCs w:val="32"/>
          <w:highlight w:val="none"/>
        </w:rPr>
        <w:t>48人）、全国集中式饮用水水源地环境状技术培训班（</w:t>
      </w:r>
      <w:r>
        <w:rPr>
          <w:rFonts w:hint="eastAsia" w:ascii="仿宋" w:hAnsi="仿宋" w:eastAsia="仿宋" w:cs="仿宋"/>
          <w:sz w:val="32"/>
          <w:szCs w:val="32"/>
          <w:highlight w:val="none"/>
          <w:lang w:val="en-US" w:eastAsia="zh-CN"/>
        </w:rPr>
        <w:t>人数</w:t>
      </w:r>
      <w:r>
        <w:rPr>
          <w:rFonts w:hint="eastAsia" w:ascii="仿宋" w:hAnsi="仿宋" w:eastAsia="仿宋" w:cs="仿宋"/>
          <w:sz w:val="32"/>
          <w:szCs w:val="32"/>
          <w:highlight w:val="none"/>
        </w:rPr>
        <w:t>25人）、执行报告审核培训会议（</w:t>
      </w:r>
      <w:r>
        <w:rPr>
          <w:rFonts w:hint="eastAsia" w:ascii="仿宋" w:hAnsi="仿宋" w:eastAsia="仿宋" w:cs="仿宋"/>
          <w:sz w:val="32"/>
          <w:szCs w:val="32"/>
          <w:highlight w:val="none"/>
          <w:lang w:val="en-US" w:eastAsia="zh-CN"/>
        </w:rPr>
        <w:t>人数</w:t>
      </w:r>
      <w:r>
        <w:rPr>
          <w:rFonts w:hint="eastAsia" w:ascii="仿宋" w:hAnsi="仿宋" w:eastAsia="仿宋" w:cs="仿宋"/>
          <w:sz w:val="32"/>
          <w:szCs w:val="32"/>
          <w:highlight w:val="none"/>
        </w:rPr>
        <w:t>50人）、国重金属与尾矿库污染防治培训费（</w:t>
      </w:r>
      <w:r>
        <w:rPr>
          <w:rFonts w:hint="eastAsia" w:ascii="仿宋" w:hAnsi="仿宋" w:eastAsia="仿宋" w:cs="仿宋"/>
          <w:sz w:val="32"/>
          <w:szCs w:val="32"/>
          <w:highlight w:val="none"/>
          <w:lang w:val="en-US" w:eastAsia="zh-CN"/>
        </w:rPr>
        <w:t>人数</w:t>
      </w:r>
      <w:r>
        <w:rPr>
          <w:rFonts w:hint="eastAsia" w:ascii="仿宋" w:hAnsi="仿宋" w:eastAsia="仿宋" w:cs="仿宋"/>
          <w:sz w:val="32"/>
          <w:szCs w:val="32"/>
          <w:highlight w:val="none"/>
        </w:rPr>
        <w:t>37人）、全省生态环境执法综合办案系统培训会议（</w:t>
      </w:r>
      <w:r>
        <w:rPr>
          <w:rFonts w:hint="eastAsia" w:ascii="仿宋" w:hAnsi="仿宋" w:eastAsia="仿宋" w:cs="仿宋"/>
          <w:sz w:val="32"/>
          <w:szCs w:val="32"/>
          <w:highlight w:val="none"/>
          <w:lang w:val="en-US" w:eastAsia="zh-CN"/>
        </w:rPr>
        <w:t>人数</w:t>
      </w:r>
      <w:r>
        <w:rPr>
          <w:rFonts w:hint="eastAsia" w:ascii="仿宋" w:hAnsi="仿宋" w:eastAsia="仿宋" w:cs="仿宋"/>
          <w:sz w:val="32"/>
          <w:szCs w:val="32"/>
          <w:highlight w:val="none"/>
        </w:rPr>
        <w:t>26人）、2022年怀化市生态环境执法大练兵动员会（</w:t>
      </w:r>
      <w:r>
        <w:rPr>
          <w:rFonts w:hint="eastAsia" w:ascii="仿宋" w:hAnsi="仿宋" w:eastAsia="仿宋" w:cs="仿宋"/>
          <w:sz w:val="32"/>
          <w:szCs w:val="32"/>
          <w:highlight w:val="none"/>
          <w:lang w:val="en-US" w:eastAsia="zh-CN"/>
        </w:rPr>
        <w:t>人数</w:t>
      </w:r>
      <w:r>
        <w:rPr>
          <w:rFonts w:hint="eastAsia" w:ascii="仿宋" w:hAnsi="仿宋" w:eastAsia="仿宋" w:cs="仿宋"/>
          <w:sz w:val="32"/>
          <w:szCs w:val="32"/>
          <w:highlight w:val="none"/>
        </w:rPr>
        <w:t>75人）、垂改工作会（</w:t>
      </w:r>
      <w:r>
        <w:rPr>
          <w:rFonts w:hint="eastAsia" w:ascii="仿宋" w:hAnsi="仿宋" w:eastAsia="仿宋" w:cs="仿宋"/>
          <w:sz w:val="32"/>
          <w:szCs w:val="32"/>
          <w:highlight w:val="none"/>
          <w:lang w:val="en-US" w:eastAsia="zh-CN"/>
        </w:rPr>
        <w:t>人数</w:t>
      </w:r>
      <w:r>
        <w:rPr>
          <w:rFonts w:hint="eastAsia" w:ascii="仿宋" w:hAnsi="仿宋" w:eastAsia="仿宋" w:cs="仿宋"/>
          <w:sz w:val="32"/>
          <w:szCs w:val="32"/>
          <w:highlight w:val="none"/>
        </w:rPr>
        <w:t>12人）、2022年减排工作会议（</w:t>
      </w:r>
      <w:r>
        <w:rPr>
          <w:rFonts w:hint="eastAsia" w:ascii="仿宋" w:hAnsi="仿宋" w:eastAsia="仿宋" w:cs="仿宋"/>
          <w:sz w:val="32"/>
          <w:szCs w:val="32"/>
          <w:highlight w:val="none"/>
          <w:lang w:val="en-US" w:eastAsia="zh-CN"/>
        </w:rPr>
        <w:t>人数</w:t>
      </w:r>
      <w:r>
        <w:rPr>
          <w:rFonts w:hint="eastAsia" w:ascii="仿宋" w:hAnsi="仿宋" w:eastAsia="仿宋" w:cs="仿宋"/>
          <w:sz w:val="32"/>
          <w:szCs w:val="32"/>
          <w:highlight w:val="none"/>
        </w:rPr>
        <w:t>45人）、加快园区第三方治理工作（</w:t>
      </w:r>
      <w:r>
        <w:rPr>
          <w:rFonts w:hint="eastAsia" w:ascii="仿宋" w:hAnsi="仿宋" w:eastAsia="仿宋" w:cs="仿宋"/>
          <w:sz w:val="32"/>
          <w:szCs w:val="32"/>
          <w:highlight w:val="none"/>
          <w:lang w:val="en-US" w:eastAsia="zh-CN"/>
        </w:rPr>
        <w:t>人数</w:t>
      </w:r>
      <w:r>
        <w:rPr>
          <w:rFonts w:hint="eastAsia" w:ascii="仿宋" w:hAnsi="仿宋" w:eastAsia="仿宋" w:cs="仿宋"/>
          <w:sz w:val="32"/>
          <w:szCs w:val="32"/>
          <w:highlight w:val="none"/>
        </w:rPr>
        <w:t>30人）、召开饮用水水源地基础信息构筑物调查和国土空间规划会（</w:t>
      </w:r>
      <w:r>
        <w:rPr>
          <w:rFonts w:hint="eastAsia" w:ascii="仿宋" w:hAnsi="仿宋" w:eastAsia="仿宋" w:cs="仿宋"/>
          <w:sz w:val="32"/>
          <w:szCs w:val="32"/>
          <w:highlight w:val="none"/>
          <w:lang w:val="en-US" w:eastAsia="zh-CN"/>
        </w:rPr>
        <w:t>人数</w:t>
      </w:r>
      <w:r>
        <w:rPr>
          <w:rFonts w:hint="eastAsia" w:ascii="仿宋" w:hAnsi="仿宋" w:eastAsia="仿宋" w:cs="仿宋"/>
          <w:sz w:val="32"/>
          <w:szCs w:val="32"/>
          <w:highlight w:val="none"/>
        </w:rPr>
        <w:t>38人）、十四五重点流域水生态保护规划实施与项目管理会议（</w:t>
      </w:r>
      <w:r>
        <w:rPr>
          <w:rFonts w:hint="eastAsia" w:ascii="仿宋" w:hAnsi="仿宋" w:eastAsia="仿宋" w:cs="仿宋"/>
          <w:sz w:val="32"/>
          <w:szCs w:val="32"/>
          <w:highlight w:val="none"/>
          <w:lang w:val="en-US" w:eastAsia="zh-CN"/>
        </w:rPr>
        <w:t>人数</w:t>
      </w:r>
      <w:r>
        <w:rPr>
          <w:rFonts w:hint="eastAsia" w:ascii="仿宋" w:hAnsi="仿宋" w:eastAsia="仿宋" w:cs="仿宋"/>
          <w:sz w:val="32"/>
          <w:szCs w:val="32"/>
          <w:highlight w:val="none"/>
        </w:rPr>
        <w:t>20人）、执法稽查工作见面会议（</w:t>
      </w:r>
      <w:r>
        <w:rPr>
          <w:rFonts w:hint="eastAsia" w:ascii="仿宋" w:hAnsi="仿宋" w:eastAsia="仿宋" w:cs="仿宋"/>
          <w:sz w:val="32"/>
          <w:szCs w:val="32"/>
          <w:highlight w:val="none"/>
          <w:lang w:val="en-US" w:eastAsia="zh-CN"/>
        </w:rPr>
        <w:t>人数</w:t>
      </w:r>
      <w:r>
        <w:rPr>
          <w:rFonts w:hint="eastAsia" w:ascii="仿宋" w:hAnsi="仿宋" w:eastAsia="仿宋" w:cs="仿宋"/>
          <w:sz w:val="32"/>
          <w:szCs w:val="32"/>
          <w:highlight w:val="none"/>
        </w:rPr>
        <w:t>37人）、湘西片区督查联络会议（</w:t>
      </w:r>
      <w:r>
        <w:rPr>
          <w:rFonts w:hint="eastAsia" w:ascii="仿宋" w:hAnsi="仿宋" w:eastAsia="仿宋" w:cs="仿宋"/>
          <w:sz w:val="32"/>
          <w:szCs w:val="32"/>
          <w:highlight w:val="none"/>
          <w:lang w:val="en-US" w:eastAsia="zh-CN"/>
        </w:rPr>
        <w:t>人数</w:t>
      </w:r>
      <w:r>
        <w:rPr>
          <w:rFonts w:hint="eastAsia" w:ascii="仿宋" w:hAnsi="仿宋" w:eastAsia="仿宋" w:cs="仿宋"/>
          <w:sz w:val="32"/>
          <w:szCs w:val="32"/>
          <w:highlight w:val="none"/>
        </w:rPr>
        <w:t>40人）、2022年夏季攻势动员会（</w:t>
      </w:r>
      <w:r>
        <w:rPr>
          <w:rFonts w:hint="eastAsia" w:ascii="仿宋" w:hAnsi="仿宋" w:eastAsia="仿宋" w:cs="仿宋"/>
          <w:sz w:val="32"/>
          <w:szCs w:val="32"/>
          <w:highlight w:val="none"/>
          <w:lang w:val="en-US" w:eastAsia="zh-CN"/>
        </w:rPr>
        <w:t>人数</w:t>
      </w:r>
      <w:r>
        <w:rPr>
          <w:rFonts w:hint="eastAsia" w:ascii="仿宋" w:hAnsi="仿宋" w:eastAsia="仿宋" w:cs="仿宋"/>
          <w:sz w:val="32"/>
          <w:szCs w:val="32"/>
          <w:highlight w:val="none"/>
        </w:rPr>
        <w:t>40人）、分局局长工作会（</w:t>
      </w:r>
      <w:r>
        <w:rPr>
          <w:rFonts w:hint="eastAsia" w:ascii="仿宋" w:hAnsi="仿宋" w:eastAsia="仿宋" w:cs="仿宋"/>
          <w:sz w:val="32"/>
          <w:szCs w:val="32"/>
          <w:highlight w:val="none"/>
          <w:lang w:val="en-US" w:eastAsia="zh-CN"/>
        </w:rPr>
        <w:t>人数</w:t>
      </w:r>
      <w:r>
        <w:rPr>
          <w:rFonts w:hint="eastAsia" w:ascii="仿宋" w:hAnsi="仿宋" w:eastAsia="仿宋" w:cs="仿宋"/>
          <w:sz w:val="32"/>
          <w:szCs w:val="32"/>
          <w:highlight w:val="none"/>
        </w:rPr>
        <w:t>37人）、夏季攻势销号会、督查办会议、召开环境资金使用管理培训工作会议（</w:t>
      </w:r>
      <w:r>
        <w:rPr>
          <w:rFonts w:hint="eastAsia" w:ascii="仿宋" w:hAnsi="仿宋" w:eastAsia="仿宋" w:cs="仿宋"/>
          <w:sz w:val="32"/>
          <w:szCs w:val="32"/>
          <w:highlight w:val="none"/>
          <w:lang w:val="en-US" w:eastAsia="zh-CN"/>
        </w:rPr>
        <w:t>人数</w:t>
      </w:r>
      <w:r>
        <w:rPr>
          <w:rFonts w:hint="eastAsia" w:ascii="仿宋" w:hAnsi="仿宋" w:eastAsia="仿宋" w:cs="仿宋"/>
          <w:sz w:val="32"/>
          <w:szCs w:val="32"/>
          <w:highlight w:val="none"/>
        </w:rPr>
        <w:t>35人）、省生环厅执法稽查工作见面会暨执法监测培训会及执法稽查工作培训会议。</w:t>
      </w:r>
    </w:p>
    <w:p w14:paraId="2E8BC17B">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开支培训费</w:t>
      </w:r>
      <w:r>
        <w:rPr>
          <w:rFonts w:hint="eastAsia" w:ascii="仿宋" w:hAnsi="仿宋" w:eastAsia="仿宋" w:cs="仿宋"/>
          <w:sz w:val="32"/>
          <w:szCs w:val="32"/>
          <w:highlight w:val="none"/>
          <w:lang w:val="en-US" w:eastAsia="zh-CN"/>
        </w:rPr>
        <w:t>3.60</w:t>
      </w:r>
      <w:r>
        <w:rPr>
          <w:rFonts w:hint="eastAsia" w:ascii="仿宋" w:hAnsi="仿宋" w:eastAsia="仿宋" w:cs="仿宋"/>
          <w:sz w:val="32"/>
          <w:szCs w:val="32"/>
          <w:highlight w:val="none"/>
        </w:rPr>
        <w:t>万元，用于开展</w:t>
      </w:r>
      <w:r>
        <w:rPr>
          <w:rFonts w:hint="eastAsia" w:ascii="仿宋" w:hAnsi="仿宋" w:eastAsia="仿宋" w:cs="仿宋"/>
          <w:sz w:val="32"/>
          <w:szCs w:val="32"/>
          <w:highlight w:val="none"/>
          <w:lang w:val="en-US" w:eastAsia="zh-CN"/>
        </w:rPr>
        <w:t>事业单位人员</w:t>
      </w:r>
      <w:r>
        <w:rPr>
          <w:rFonts w:hint="eastAsia" w:ascii="仿宋" w:hAnsi="仿宋" w:eastAsia="仿宋" w:cs="仿宋"/>
          <w:sz w:val="32"/>
          <w:szCs w:val="32"/>
          <w:highlight w:val="none"/>
        </w:rPr>
        <w:t>培训</w:t>
      </w:r>
      <w:r>
        <w:rPr>
          <w:rFonts w:hint="eastAsia" w:ascii="仿宋" w:hAnsi="仿宋" w:eastAsia="仿宋" w:cs="仿宋"/>
          <w:sz w:val="32"/>
          <w:szCs w:val="32"/>
          <w:highlight w:val="none"/>
          <w:lang w:eastAsia="zh-CN"/>
        </w:rPr>
        <w:t>、2022年环境执法工作培训（</w:t>
      </w:r>
      <w:r>
        <w:rPr>
          <w:rFonts w:hint="eastAsia" w:ascii="仿宋" w:hAnsi="仿宋" w:eastAsia="仿宋" w:cs="仿宋"/>
          <w:sz w:val="32"/>
          <w:szCs w:val="32"/>
          <w:highlight w:val="none"/>
          <w:lang w:val="en-US" w:eastAsia="zh-CN"/>
        </w:rPr>
        <w:t>培训人数111人</w:t>
      </w:r>
      <w:r>
        <w:rPr>
          <w:rFonts w:hint="eastAsia" w:ascii="仿宋" w:hAnsi="仿宋" w:eastAsia="仿宋" w:cs="仿宋"/>
          <w:sz w:val="32"/>
          <w:szCs w:val="32"/>
          <w:highlight w:val="none"/>
          <w:lang w:eastAsia="zh-CN"/>
        </w:rPr>
        <w:t>）、全省生态环境监测骨干培训（</w:t>
      </w:r>
      <w:r>
        <w:rPr>
          <w:rFonts w:hint="eastAsia" w:ascii="仿宋" w:hAnsi="仿宋" w:eastAsia="仿宋" w:cs="仿宋"/>
          <w:sz w:val="32"/>
          <w:szCs w:val="32"/>
          <w:highlight w:val="none"/>
          <w:lang w:val="en-US" w:eastAsia="zh-CN"/>
        </w:rPr>
        <w:t>培训人数1人</w:t>
      </w:r>
      <w:r>
        <w:rPr>
          <w:rFonts w:hint="eastAsia" w:ascii="仿宋" w:hAnsi="仿宋" w:eastAsia="仿宋" w:cs="仿宋"/>
          <w:sz w:val="32"/>
          <w:szCs w:val="32"/>
          <w:highlight w:val="none"/>
          <w:lang w:eastAsia="zh-CN"/>
        </w:rPr>
        <w:t>）、科技与财务培训、城区监测站持证上岗现场考核培训</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未</w:t>
      </w:r>
      <w:r>
        <w:rPr>
          <w:rFonts w:hint="eastAsia" w:ascii="仿宋" w:hAnsi="仿宋" w:eastAsia="仿宋" w:cs="仿宋"/>
          <w:sz w:val="32"/>
          <w:szCs w:val="32"/>
          <w:highlight w:val="none"/>
        </w:rPr>
        <w:t>举办节庆、晚会、论坛、赛事活动。</w:t>
      </w:r>
    </w:p>
    <w:p w14:paraId="0E153947">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b/>
          <w:bCs w:val="0"/>
          <w:sz w:val="32"/>
          <w:szCs w:val="32"/>
          <w:highlight w:val="none"/>
        </w:rPr>
      </w:pPr>
      <w:r>
        <w:rPr>
          <w:rFonts w:hint="eastAsia" w:ascii="仿宋" w:hAnsi="仿宋" w:eastAsia="仿宋" w:cs="仿宋"/>
          <w:b/>
          <w:bCs w:val="0"/>
          <w:sz w:val="32"/>
          <w:szCs w:val="32"/>
          <w:highlight w:val="none"/>
        </w:rPr>
        <w:t>十</w:t>
      </w:r>
      <w:r>
        <w:rPr>
          <w:rFonts w:hint="eastAsia" w:ascii="仿宋" w:hAnsi="仿宋" w:eastAsia="仿宋" w:cs="仿宋"/>
          <w:b/>
          <w:bCs w:val="0"/>
          <w:sz w:val="32"/>
          <w:szCs w:val="32"/>
          <w:highlight w:val="none"/>
          <w:lang w:eastAsia="zh-CN"/>
        </w:rPr>
        <w:t>二</w:t>
      </w:r>
      <w:r>
        <w:rPr>
          <w:rFonts w:hint="eastAsia" w:ascii="仿宋" w:hAnsi="仿宋" w:eastAsia="仿宋" w:cs="仿宋"/>
          <w:b/>
          <w:bCs w:val="0"/>
          <w:sz w:val="32"/>
          <w:szCs w:val="32"/>
          <w:highlight w:val="none"/>
        </w:rPr>
        <w:t>、关于政府采购支出说明</w:t>
      </w:r>
    </w:p>
    <w:p w14:paraId="347E5381">
      <w:pPr>
        <w:pStyle w:val="2"/>
        <w:keepNext w:val="0"/>
        <w:keepLines w:val="0"/>
        <w:pageBreakBefore w:val="0"/>
        <w:widowControl w:val="0"/>
        <w:tabs>
          <w:tab w:val="left" w:pos="3864"/>
          <w:tab w:val="left" w:pos="6248"/>
          <w:tab w:val="left" w:pos="7386"/>
        </w:tabs>
        <w:kinsoku/>
        <w:wordWrap/>
        <w:overflowPunct w:val="0"/>
        <w:topLinePunct w:val="0"/>
        <w:bidi w:val="0"/>
        <w:adjustRightInd/>
        <w:snapToGrid/>
        <w:spacing w:line="600" w:lineRule="exact"/>
        <w:ind w:right="0" w:firstLine="640" w:firstLineChars="200"/>
        <w:textAlignment w:val="auto"/>
        <w:rPr>
          <w:rFonts w:hint="eastAsia" w:ascii="仿宋" w:hAnsi="仿宋" w:eastAsia="仿宋" w:cs="仿宋"/>
          <w:b/>
          <w:bCs/>
          <w:i/>
          <w:color w:val="auto"/>
          <w:kern w:val="0"/>
          <w:sz w:val="32"/>
          <w:szCs w:val="32"/>
          <w:highlight w:val="none"/>
          <w:lang w:val="en-US" w:eastAsia="zh-CN" w:bidi="ar-SA"/>
        </w:rPr>
      </w:pPr>
      <w:r>
        <w:rPr>
          <w:rFonts w:hint="eastAsia" w:ascii="仿宋" w:hAnsi="仿宋" w:eastAsia="仿宋" w:cs="仿宋"/>
          <w:sz w:val="32"/>
          <w:szCs w:val="32"/>
          <w:highlight w:val="none"/>
        </w:rPr>
        <w:t>本部门202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年度政府采购支出总额</w:t>
      </w:r>
      <w:r>
        <w:rPr>
          <w:rFonts w:hint="eastAsia" w:ascii="仿宋" w:hAnsi="仿宋" w:eastAsia="仿宋" w:cs="仿宋"/>
          <w:sz w:val="32"/>
          <w:szCs w:val="32"/>
          <w:highlight w:val="none"/>
          <w:lang w:val="en-US" w:eastAsia="zh-CN"/>
        </w:rPr>
        <w:t>1,168.73</w:t>
      </w:r>
      <w:r>
        <w:rPr>
          <w:rFonts w:hint="eastAsia" w:ascii="仿宋" w:hAnsi="仿宋" w:eastAsia="仿宋" w:cs="仿宋"/>
          <w:sz w:val="32"/>
          <w:szCs w:val="32"/>
          <w:highlight w:val="none"/>
        </w:rPr>
        <w:t>万元，其中：政府采购货物支出</w:t>
      </w:r>
      <w:r>
        <w:rPr>
          <w:rFonts w:hint="eastAsia" w:ascii="仿宋" w:hAnsi="仿宋" w:eastAsia="仿宋" w:cs="仿宋"/>
          <w:sz w:val="32"/>
          <w:szCs w:val="32"/>
          <w:highlight w:val="none"/>
          <w:lang w:val="en-US" w:eastAsia="zh-CN"/>
        </w:rPr>
        <w:t>489.88</w:t>
      </w:r>
      <w:r>
        <w:rPr>
          <w:rFonts w:hint="eastAsia" w:ascii="仿宋" w:hAnsi="仿宋" w:eastAsia="仿宋" w:cs="仿宋"/>
          <w:sz w:val="32"/>
          <w:szCs w:val="32"/>
          <w:highlight w:val="none"/>
        </w:rPr>
        <w:t>万元、政府采购工程支出</w:t>
      </w:r>
      <w:r>
        <w:rPr>
          <w:rFonts w:hint="eastAsia" w:ascii="仿宋" w:hAnsi="仿宋" w:eastAsia="仿宋" w:cs="仿宋"/>
          <w:sz w:val="32"/>
          <w:szCs w:val="32"/>
          <w:highlight w:val="none"/>
          <w:lang w:val="en-US" w:eastAsia="zh-CN"/>
        </w:rPr>
        <w:t>120.00</w:t>
      </w:r>
      <w:r>
        <w:rPr>
          <w:rFonts w:hint="eastAsia" w:ascii="仿宋" w:hAnsi="仿宋" w:eastAsia="仿宋" w:cs="仿宋"/>
          <w:sz w:val="32"/>
          <w:szCs w:val="32"/>
          <w:highlight w:val="none"/>
        </w:rPr>
        <w:t>万元、政府采购服务支出</w:t>
      </w:r>
      <w:r>
        <w:rPr>
          <w:rFonts w:hint="eastAsia" w:ascii="仿宋" w:hAnsi="仿宋" w:eastAsia="仿宋" w:cs="仿宋"/>
          <w:sz w:val="32"/>
          <w:szCs w:val="32"/>
          <w:highlight w:val="none"/>
          <w:lang w:val="en-US" w:eastAsia="zh-CN"/>
        </w:rPr>
        <w:t>558.86</w:t>
      </w:r>
      <w:r>
        <w:rPr>
          <w:rFonts w:hint="eastAsia" w:ascii="仿宋" w:hAnsi="仿宋" w:eastAsia="仿宋" w:cs="仿宋"/>
          <w:sz w:val="32"/>
          <w:szCs w:val="32"/>
          <w:highlight w:val="none"/>
        </w:rPr>
        <w:t>万元。授予中小企业合同金额</w:t>
      </w:r>
      <w:r>
        <w:rPr>
          <w:rFonts w:hint="eastAsia" w:ascii="仿宋" w:hAnsi="仿宋" w:eastAsia="仿宋" w:cs="仿宋"/>
          <w:sz w:val="32"/>
          <w:szCs w:val="32"/>
          <w:highlight w:val="none"/>
          <w:lang w:val="en-US" w:eastAsia="zh-CN"/>
        </w:rPr>
        <w:t>1,168.73</w:t>
      </w:r>
      <w:r>
        <w:rPr>
          <w:rFonts w:hint="eastAsia" w:ascii="仿宋" w:hAnsi="仿宋" w:eastAsia="仿宋" w:cs="仿宋"/>
          <w:sz w:val="32"/>
          <w:szCs w:val="32"/>
          <w:highlight w:val="none"/>
        </w:rPr>
        <w:t>万元，占政府采购支出总额的</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%，其中：授予小微企业合同金额</w:t>
      </w:r>
      <w:r>
        <w:rPr>
          <w:rFonts w:hint="eastAsia" w:ascii="仿宋" w:hAnsi="仿宋" w:eastAsia="仿宋" w:cs="仿宋"/>
          <w:sz w:val="32"/>
          <w:szCs w:val="32"/>
          <w:highlight w:val="none"/>
          <w:lang w:val="en-US" w:eastAsia="zh-CN"/>
        </w:rPr>
        <w:t>1,168.73</w:t>
      </w:r>
      <w:r>
        <w:rPr>
          <w:rFonts w:hint="eastAsia" w:ascii="仿宋" w:hAnsi="仿宋" w:eastAsia="仿宋" w:cs="仿宋"/>
          <w:sz w:val="32"/>
          <w:szCs w:val="32"/>
          <w:highlight w:val="none"/>
        </w:rPr>
        <w:t>万元，占政府采购支出总额的</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%。货物采购授予中小企业合同金额占货物支出金额的</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%，工程采购授予中小企业合同金额占工程支出金额的</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%，服务采购授予中小企业合同金额占服务支出金额的</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w:t>
      </w:r>
      <w:bookmarkStart w:id="3" w:name="DIS_MARK_GP_BGT_CGFW_AMT"/>
      <w:r>
        <w:rPr>
          <w:rFonts w:hint="eastAsia" w:ascii="仿宋" w:hAnsi="仿宋" w:eastAsia="仿宋" w:cs="仿宋"/>
          <w:sz w:val="32"/>
          <w:szCs w:val="32"/>
          <w:highlight w:val="none"/>
        </w:rPr>
        <w:t>。</w:t>
      </w:r>
      <w:bookmarkEnd w:id="3"/>
      <w:bookmarkStart w:id="4" w:name="DIS_MARK_GP_BGT_CGFW_AMT_1"/>
      <w:bookmarkEnd w:id="4"/>
      <w:bookmarkStart w:id="5" w:name="END_GP_BGT_CGFW_AMT"/>
      <w:bookmarkEnd w:id="5"/>
      <w:bookmarkStart w:id="6" w:name="START_GP_BGT_CGFW_AMT_1"/>
      <w:bookmarkEnd w:id="6"/>
      <w:bookmarkStart w:id="7" w:name="END_GP_BGT_CGFW_AMT_1"/>
      <w:bookmarkEnd w:id="7"/>
    </w:p>
    <w:p w14:paraId="75E1F3B7">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b/>
          <w:bCs w:val="0"/>
          <w:sz w:val="32"/>
          <w:szCs w:val="32"/>
          <w:highlight w:val="none"/>
        </w:rPr>
      </w:pPr>
      <w:r>
        <w:rPr>
          <w:rFonts w:hint="eastAsia" w:ascii="仿宋" w:hAnsi="仿宋" w:eastAsia="仿宋" w:cs="仿宋"/>
          <w:b/>
          <w:bCs w:val="0"/>
          <w:sz w:val="32"/>
          <w:szCs w:val="32"/>
          <w:highlight w:val="none"/>
        </w:rPr>
        <w:t>十</w:t>
      </w:r>
      <w:r>
        <w:rPr>
          <w:rFonts w:hint="eastAsia" w:ascii="仿宋" w:hAnsi="仿宋" w:eastAsia="仿宋" w:cs="仿宋"/>
          <w:b/>
          <w:bCs w:val="0"/>
          <w:sz w:val="32"/>
          <w:szCs w:val="32"/>
          <w:highlight w:val="none"/>
          <w:lang w:eastAsia="zh-CN"/>
        </w:rPr>
        <w:t>三</w:t>
      </w:r>
      <w:r>
        <w:rPr>
          <w:rFonts w:hint="eastAsia" w:ascii="仿宋" w:hAnsi="仿宋" w:eastAsia="仿宋" w:cs="仿宋"/>
          <w:b/>
          <w:bCs w:val="0"/>
          <w:sz w:val="32"/>
          <w:szCs w:val="32"/>
          <w:highlight w:val="none"/>
        </w:rPr>
        <w:t>、关于国有资产占用情况说明</w:t>
      </w:r>
    </w:p>
    <w:p w14:paraId="1FD07614">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截至202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年12月31日，本单位共有车辆</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辆，其中，主要领导干部用车</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辆，机要通信用车</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辆、应急保障用车</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辆、执法执勤用车</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辆、特种专业技术用车</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辆、其他用车</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辆，其他用车主要是</w:t>
      </w:r>
      <w:r>
        <w:rPr>
          <w:rFonts w:hint="eastAsia" w:ascii="仿宋" w:hAnsi="仿宋" w:eastAsia="仿宋" w:cs="仿宋"/>
          <w:sz w:val="32"/>
          <w:szCs w:val="32"/>
          <w:highlight w:val="none"/>
          <w:lang w:val="en-US" w:eastAsia="zh-CN"/>
        </w:rPr>
        <w:t>环保业务督查等</w:t>
      </w:r>
      <w:r>
        <w:rPr>
          <w:rFonts w:hint="eastAsia" w:ascii="仿宋" w:hAnsi="仿宋" w:eastAsia="仿宋" w:cs="仿宋"/>
          <w:sz w:val="32"/>
          <w:szCs w:val="32"/>
          <w:highlight w:val="none"/>
        </w:rPr>
        <w:t>；单位价值50万元以上通用设备</w:t>
      </w: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台（套）；单位价值100万元以上专用设备</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台（套）。</w:t>
      </w:r>
    </w:p>
    <w:p w14:paraId="1326F38F">
      <w:pPr>
        <w:pStyle w:val="10"/>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 w:hAnsi="仿宋" w:eastAsia="仿宋" w:cs="仿宋"/>
          <w:b/>
          <w:bCs w:val="0"/>
          <w:sz w:val="32"/>
          <w:szCs w:val="32"/>
          <w:highlight w:val="none"/>
        </w:rPr>
      </w:pPr>
      <w:r>
        <w:rPr>
          <w:rFonts w:hint="eastAsia" w:ascii="仿宋" w:hAnsi="仿宋" w:eastAsia="仿宋" w:cs="仿宋"/>
          <w:b/>
          <w:bCs w:val="0"/>
          <w:sz w:val="32"/>
          <w:szCs w:val="32"/>
          <w:highlight w:val="none"/>
        </w:rPr>
        <w:t>十</w:t>
      </w:r>
      <w:r>
        <w:rPr>
          <w:rFonts w:hint="eastAsia" w:ascii="仿宋" w:hAnsi="仿宋" w:eastAsia="仿宋" w:cs="仿宋"/>
          <w:b/>
          <w:bCs w:val="0"/>
          <w:sz w:val="32"/>
          <w:szCs w:val="32"/>
          <w:highlight w:val="none"/>
          <w:lang w:eastAsia="zh-CN"/>
        </w:rPr>
        <w:t>四</w:t>
      </w:r>
      <w:r>
        <w:rPr>
          <w:rFonts w:hint="eastAsia" w:ascii="仿宋" w:hAnsi="仿宋" w:eastAsia="仿宋" w:cs="仿宋"/>
          <w:b/>
          <w:bCs w:val="0"/>
          <w:sz w:val="32"/>
          <w:szCs w:val="32"/>
          <w:highlight w:val="none"/>
        </w:rPr>
        <w:t>、关于202</w:t>
      </w:r>
      <w:r>
        <w:rPr>
          <w:rFonts w:hint="eastAsia" w:ascii="仿宋" w:hAnsi="仿宋" w:eastAsia="仿宋" w:cs="仿宋"/>
          <w:b/>
          <w:bCs w:val="0"/>
          <w:sz w:val="32"/>
          <w:szCs w:val="32"/>
          <w:highlight w:val="none"/>
          <w:lang w:val="en-US" w:eastAsia="zh-CN"/>
        </w:rPr>
        <w:t>2</w:t>
      </w:r>
      <w:r>
        <w:rPr>
          <w:rFonts w:hint="eastAsia" w:ascii="仿宋" w:hAnsi="仿宋" w:eastAsia="仿宋" w:cs="仿宋"/>
          <w:b/>
          <w:bCs w:val="0"/>
          <w:sz w:val="32"/>
          <w:szCs w:val="32"/>
          <w:highlight w:val="none"/>
        </w:rPr>
        <w:t>年度预算绩效情况的说明</w:t>
      </w:r>
    </w:p>
    <w:p w14:paraId="07ED7541">
      <w:pPr>
        <w:pStyle w:val="10"/>
        <w:keepNext w:val="0"/>
        <w:keepLines w:val="0"/>
        <w:pageBreakBefore w:val="0"/>
        <w:widowControl w:val="0"/>
        <w:kinsoku/>
        <w:wordWrap/>
        <w:overflowPunct/>
        <w:topLinePunct w:val="0"/>
        <w:bidi w:val="0"/>
        <w:adjustRightInd/>
        <w:snapToGrid/>
        <w:spacing w:line="600" w:lineRule="exact"/>
        <w:ind w:right="0" w:firstLine="640" w:firstLineChars="200"/>
        <w:jc w:val="left"/>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eastAsia="zh-CN"/>
        </w:rPr>
        <w:t>（一）</w:t>
      </w:r>
      <w:r>
        <w:rPr>
          <w:rFonts w:hint="eastAsia" w:ascii="仿宋" w:hAnsi="仿宋" w:eastAsia="仿宋" w:cs="仿宋"/>
          <w:b/>
          <w:bCs/>
          <w:sz w:val="32"/>
          <w:szCs w:val="32"/>
          <w:highlight w:val="none"/>
        </w:rPr>
        <w:t>部门整体支出绩效情况</w:t>
      </w:r>
    </w:p>
    <w:p w14:paraId="7BD272C1">
      <w:pPr>
        <w:pStyle w:val="10"/>
        <w:keepNext w:val="0"/>
        <w:keepLines w:val="0"/>
        <w:pageBreakBefore w:val="0"/>
        <w:widowControl w:val="0"/>
        <w:kinsoku/>
        <w:wordWrap/>
        <w:overflowPunct/>
        <w:topLinePunct w:val="0"/>
        <w:bidi w:val="0"/>
        <w:adjustRightInd/>
        <w:snapToGrid/>
        <w:spacing w:line="600" w:lineRule="exact"/>
        <w:ind w:right="0"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2022年，怀化城区空气优良率为95.1%，PM2.5浓度为30μg/m3，空气综合指数3.06全省排名第三，六项考核指标均达到国家环境空气质量二级标准。全市49个地表水考核断面水质总体为优，水质达标率100%，其中，前3季度我市国考断面水环境质量在全国地级以上城市排名16位。新晃县成功创建国家级生态文明建设示范区，靖州县国家级“两山”实践创新基地，中方县成功创建省级生态文明建设示范区。沅陵县、新晃县、会同县、靖州县4个县获得2022年度省政府生态环境领域真抓实干表扬激励（全省10个）。</w:t>
      </w:r>
    </w:p>
    <w:p w14:paraId="174460D4">
      <w:pPr>
        <w:pStyle w:val="10"/>
        <w:keepNext w:val="0"/>
        <w:keepLines w:val="0"/>
        <w:pageBreakBefore w:val="0"/>
        <w:widowControl w:val="0"/>
        <w:kinsoku/>
        <w:wordWrap/>
        <w:overflowPunct/>
        <w:topLinePunct w:val="0"/>
        <w:bidi w:val="0"/>
        <w:adjustRightInd/>
        <w:snapToGrid/>
        <w:spacing w:line="600" w:lineRule="exact"/>
        <w:ind w:right="0"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我局在部门整体支出及专项资金支出中，依法合理有效的使用每一项资金，认真执行财政制度，建立严格的资金支付流程，专款专用。对怀财绩〔2022〕51号文件规定的考核指标，从经济性、效率性、有效性和可持续性等对我部门整体支出绩效开展了评价，自评得分94分。</w:t>
      </w:r>
    </w:p>
    <w:p w14:paraId="2424D02C">
      <w:pPr>
        <w:pStyle w:val="10"/>
        <w:keepNext w:val="0"/>
        <w:keepLines w:val="0"/>
        <w:pageBreakBefore w:val="0"/>
        <w:widowControl w:val="0"/>
        <w:kinsoku/>
        <w:wordWrap/>
        <w:overflowPunct/>
        <w:topLinePunct w:val="0"/>
        <w:bidi w:val="0"/>
        <w:adjustRightInd/>
        <w:snapToGrid/>
        <w:spacing w:line="600" w:lineRule="exact"/>
        <w:ind w:right="0"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项目经费的预算安排建议对接项目执行单位的相应科室，有利于单位及时掌握信息，安排工作。项目经费要下拨及时，项目经费的使用也要有相应的明细，多安排执行单位对项目资金的使用培训，使财务监督更加有效。</w:t>
      </w:r>
    </w:p>
    <w:p w14:paraId="72C4F0AD">
      <w:pPr>
        <w:pStyle w:val="10"/>
        <w:keepNext w:val="0"/>
        <w:keepLines w:val="0"/>
        <w:pageBreakBefore w:val="0"/>
        <w:widowControl w:val="0"/>
        <w:kinsoku/>
        <w:wordWrap/>
        <w:overflowPunct/>
        <w:topLinePunct w:val="0"/>
        <w:bidi w:val="0"/>
        <w:adjustRightInd/>
        <w:snapToGrid/>
        <w:spacing w:line="600" w:lineRule="exact"/>
        <w:ind w:right="0"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2022年度新增通用设备、专用设备、家具和办公用品严格按照《行政事业性国有资产管理条例》、《中华人民共和国政府采购法》、《湖南省电子卖场管理办法》、局本级及局属二级机构《内部控制规范》等进行配置管理，建立了固定资产和办公用品使用、审批、稽核等内部管理规范。2022年资本性支出决算数为464.17万元，其中办公设备购置0.25万元，专用设备购置341.99，大型修缮120万元，其他资本性支出1.93万元。固定资产均由办公室安排专门的资产管理员进行管理，并逐一登记资产台账、资产报表、计提折旧。</w:t>
      </w:r>
    </w:p>
    <w:p w14:paraId="21FE005A">
      <w:pPr>
        <w:pStyle w:val="10"/>
        <w:keepNext w:val="0"/>
        <w:keepLines w:val="0"/>
        <w:pageBreakBefore w:val="0"/>
        <w:widowControl w:val="0"/>
        <w:kinsoku/>
        <w:wordWrap/>
        <w:overflowPunct/>
        <w:topLinePunct w:val="0"/>
        <w:bidi w:val="0"/>
        <w:adjustRightInd/>
        <w:snapToGrid/>
        <w:spacing w:line="600" w:lineRule="exact"/>
        <w:ind w:right="0" w:firstLine="640" w:firstLineChars="200"/>
        <w:jc w:val="left"/>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eastAsia="zh-CN"/>
        </w:rPr>
        <w:t>（二）</w:t>
      </w:r>
      <w:r>
        <w:rPr>
          <w:rFonts w:hint="eastAsia" w:ascii="仿宋" w:hAnsi="仿宋" w:eastAsia="仿宋" w:cs="仿宋"/>
          <w:b/>
          <w:bCs/>
          <w:sz w:val="32"/>
          <w:szCs w:val="32"/>
          <w:highlight w:val="none"/>
        </w:rPr>
        <w:t>存在的问题及原因分析</w:t>
      </w:r>
    </w:p>
    <w:p w14:paraId="74B17367">
      <w:pPr>
        <w:pStyle w:val="10"/>
        <w:keepNext w:val="0"/>
        <w:keepLines w:val="0"/>
        <w:pageBreakBefore w:val="0"/>
        <w:widowControl w:val="0"/>
        <w:kinsoku/>
        <w:wordWrap/>
        <w:overflowPunct/>
        <w:topLinePunct w:val="0"/>
        <w:bidi w:val="0"/>
        <w:adjustRightInd/>
        <w:snapToGrid/>
        <w:spacing w:line="600" w:lineRule="exact"/>
        <w:ind w:right="0"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绩效管理理念不足，宣导力度不够，各科室使用资金时对绩效目标概念认识不足。</w:t>
      </w:r>
    </w:p>
    <w:p w14:paraId="178B7C86">
      <w:pPr>
        <w:pStyle w:val="10"/>
        <w:keepNext w:val="0"/>
        <w:keepLines w:val="0"/>
        <w:pageBreakBefore w:val="0"/>
        <w:widowControl w:val="0"/>
        <w:kinsoku/>
        <w:wordWrap/>
        <w:overflowPunct/>
        <w:topLinePunct w:val="0"/>
        <w:bidi w:val="0"/>
        <w:adjustRightInd/>
        <w:snapToGrid/>
        <w:spacing w:line="600" w:lineRule="exact"/>
        <w:ind w:right="0"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加强绩效管理工作的宣传力度，更新观念，强化资金使用和绩效目标意识，提高政府采购等各项工作绩效，不断提高生态环境管理工作精准度。</w:t>
      </w:r>
    </w:p>
    <w:p w14:paraId="70CEF7B8">
      <w:pPr>
        <w:pStyle w:val="10"/>
        <w:jc w:val="center"/>
        <w:rPr>
          <w:rFonts w:hint="eastAsia" w:ascii="仿宋" w:hAnsi="仿宋" w:eastAsia="仿宋" w:cs="仿宋"/>
          <w:sz w:val="32"/>
          <w:szCs w:val="32"/>
          <w:highlight w:val="none"/>
        </w:rPr>
      </w:pPr>
    </w:p>
    <w:p w14:paraId="02A3896E">
      <w:pPr>
        <w:pStyle w:val="10"/>
        <w:jc w:val="center"/>
        <w:rPr>
          <w:sz w:val="72"/>
          <w:szCs w:val="72"/>
          <w:highlight w:val="none"/>
        </w:rPr>
      </w:pPr>
    </w:p>
    <w:p w14:paraId="104D9434">
      <w:pPr>
        <w:pStyle w:val="10"/>
        <w:jc w:val="both"/>
        <w:rPr>
          <w:rFonts w:hint="eastAsia" w:ascii="方正小标宋_GBK" w:hAnsi="方正小标宋_GBK" w:eastAsia="方正小标宋_GBK" w:cs="方正小标宋_GBK"/>
          <w:sz w:val="72"/>
          <w:szCs w:val="72"/>
          <w:highlight w:val="none"/>
        </w:rPr>
      </w:pPr>
    </w:p>
    <w:p w14:paraId="5EE6BBDF">
      <w:pPr>
        <w:pStyle w:val="10"/>
        <w:jc w:val="both"/>
        <w:rPr>
          <w:rFonts w:hint="eastAsia" w:ascii="方正小标宋_GBK" w:hAnsi="方正小标宋_GBK" w:eastAsia="方正小标宋_GBK" w:cs="方正小标宋_GBK"/>
          <w:sz w:val="72"/>
          <w:szCs w:val="72"/>
          <w:highlight w:val="none"/>
        </w:rPr>
      </w:pPr>
    </w:p>
    <w:p w14:paraId="4B684613">
      <w:pPr>
        <w:pStyle w:val="10"/>
        <w:jc w:val="both"/>
        <w:rPr>
          <w:rFonts w:hint="eastAsia" w:ascii="方正小标宋_GBK" w:hAnsi="方正小标宋_GBK" w:eastAsia="方正小标宋_GBK" w:cs="方正小标宋_GBK"/>
          <w:sz w:val="72"/>
          <w:szCs w:val="72"/>
          <w:highlight w:val="none"/>
        </w:rPr>
      </w:pPr>
    </w:p>
    <w:p w14:paraId="56405A83">
      <w:pPr>
        <w:pStyle w:val="10"/>
        <w:jc w:val="both"/>
        <w:rPr>
          <w:rFonts w:hint="eastAsia" w:ascii="方正小标宋_GBK" w:hAnsi="方正小标宋_GBK" w:eastAsia="方正小标宋_GBK" w:cs="方正小标宋_GBK"/>
          <w:sz w:val="72"/>
          <w:szCs w:val="72"/>
          <w:highlight w:val="none"/>
        </w:rPr>
      </w:pPr>
    </w:p>
    <w:p w14:paraId="7F48F058">
      <w:pPr>
        <w:pStyle w:val="10"/>
        <w:jc w:val="both"/>
        <w:rPr>
          <w:rFonts w:hint="eastAsia" w:ascii="方正小标宋_GBK" w:hAnsi="方正小标宋_GBK" w:eastAsia="方正小标宋_GBK" w:cs="方正小标宋_GBK"/>
          <w:sz w:val="72"/>
          <w:szCs w:val="72"/>
          <w:highlight w:val="none"/>
        </w:rPr>
      </w:pPr>
    </w:p>
    <w:p w14:paraId="39E77A84">
      <w:pPr>
        <w:pStyle w:val="10"/>
        <w:jc w:val="both"/>
        <w:rPr>
          <w:rFonts w:hint="eastAsia" w:ascii="方正小标宋_GBK" w:hAnsi="方正小标宋_GBK" w:eastAsia="方正小标宋_GBK" w:cs="方正小标宋_GBK"/>
          <w:sz w:val="72"/>
          <w:szCs w:val="72"/>
          <w:highlight w:val="none"/>
        </w:rPr>
      </w:pPr>
    </w:p>
    <w:p w14:paraId="063124C6">
      <w:pPr>
        <w:pStyle w:val="10"/>
        <w:jc w:val="both"/>
        <w:rPr>
          <w:rFonts w:hint="eastAsia" w:ascii="方正小标宋_GBK" w:hAnsi="方正小标宋_GBK" w:eastAsia="方正小标宋_GBK" w:cs="方正小标宋_GBK"/>
          <w:sz w:val="72"/>
          <w:szCs w:val="72"/>
          <w:highlight w:val="none"/>
        </w:rPr>
      </w:pPr>
    </w:p>
    <w:p w14:paraId="1070CE2D">
      <w:pPr>
        <w:pStyle w:val="10"/>
        <w:jc w:val="center"/>
        <w:rPr>
          <w:rFonts w:hint="eastAsia" w:ascii="方正小标宋_GBK" w:hAnsi="方正小标宋_GBK" w:eastAsia="方正小标宋_GBK" w:cs="方正小标宋_GBK"/>
          <w:sz w:val="72"/>
          <w:szCs w:val="72"/>
          <w:highlight w:val="none"/>
        </w:rPr>
      </w:pPr>
    </w:p>
    <w:p w14:paraId="56998744">
      <w:pPr>
        <w:pStyle w:val="10"/>
        <w:jc w:val="center"/>
        <w:rPr>
          <w:rFonts w:hint="eastAsia" w:ascii="方正小标宋_GBK" w:hAnsi="方正小标宋_GBK" w:eastAsia="方正小标宋_GBK" w:cs="方正小标宋_GBK"/>
          <w:sz w:val="72"/>
          <w:szCs w:val="72"/>
          <w:highlight w:val="none"/>
        </w:rPr>
      </w:pPr>
      <w:r>
        <w:rPr>
          <w:rFonts w:hint="eastAsia" w:ascii="方正小标宋_GBK" w:hAnsi="方正小标宋_GBK" w:eastAsia="方正小标宋_GBK" w:cs="方正小标宋_GBK"/>
          <w:sz w:val="72"/>
          <w:szCs w:val="72"/>
          <w:highlight w:val="none"/>
        </w:rPr>
        <w:t>第四部分</w:t>
      </w:r>
    </w:p>
    <w:p w14:paraId="26A69CC6">
      <w:pPr>
        <w:jc w:val="center"/>
        <w:rPr>
          <w:rFonts w:hint="eastAsia" w:ascii="方正小标宋_GBK" w:hAnsi="方正小标宋_GBK" w:eastAsia="方正小标宋_GBK" w:cs="方正小标宋_GBK"/>
          <w:color w:val="000000"/>
          <w:kern w:val="0"/>
          <w:sz w:val="70"/>
          <w:szCs w:val="70"/>
          <w:highlight w:val="none"/>
        </w:rPr>
      </w:pPr>
    </w:p>
    <w:p w14:paraId="76651C36">
      <w:pPr>
        <w:jc w:val="center"/>
        <w:rPr>
          <w:rFonts w:hint="eastAsia" w:ascii="方正小标宋_GBK" w:hAnsi="方正小标宋_GBK" w:eastAsia="方正小标宋_GBK" w:cs="方正小标宋_GBK"/>
          <w:color w:val="000000"/>
          <w:kern w:val="0"/>
          <w:sz w:val="70"/>
          <w:szCs w:val="70"/>
          <w:highlight w:val="none"/>
        </w:rPr>
      </w:pPr>
      <w:r>
        <w:rPr>
          <w:rFonts w:hint="eastAsia" w:ascii="方正小标宋_GBK" w:hAnsi="方正小标宋_GBK" w:eastAsia="方正小标宋_GBK" w:cs="方正小标宋_GBK"/>
          <w:color w:val="000000"/>
          <w:kern w:val="0"/>
          <w:sz w:val="70"/>
          <w:szCs w:val="70"/>
          <w:highlight w:val="none"/>
        </w:rPr>
        <w:t>名词解释</w:t>
      </w:r>
    </w:p>
    <w:p w14:paraId="176304D5">
      <w:pPr>
        <w:widowControl/>
        <w:jc w:val="left"/>
        <w:rPr>
          <w:rFonts w:cs="黑体" w:asciiTheme="minorEastAsia" w:hAnsiTheme="minorEastAsia"/>
          <w:color w:val="000000"/>
          <w:kern w:val="0"/>
          <w:sz w:val="32"/>
          <w:szCs w:val="32"/>
          <w:highlight w:val="none"/>
        </w:rPr>
      </w:pPr>
      <w:r>
        <w:rPr>
          <w:rFonts w:hint="eastAsia" w:ascii="方正小标宋_GBK" w:hAnsi="方正小标宋_GBK" w:eastAsia="方正小标宋_GBK" w:cs="方正小标宋_GBK"/>
          <w:color w:val="000000"/>
          <w:kern w:val="0"/>
          <w:sz w:val="70"/>
          <w:szCs w:val="70"/>
          <w:highlight w:val="none"/>
        </w:rPr>
        <w:br w:type="page"/>
      </w:r>
    </w:p>
    <w:p w14:paraId="2A11BC6F">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 xml:space="preserve">一、财政拨款收入：指财政当年拨付的资金。 </w:t>
      </w:r>
    </w:p>
    <w:p w14:paraId="6DBEDFE1">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 xml:space="preserve">二、事业收入：指事业单位开展专业业务活动及辅助活动所取得的收入。如：中国财政杂志社的刊物发行收入，中国注册会计师协会、中国资产评估协会、中国国债协会、中国会计学会收取的会费收入等。 </w:t>
      </w:r>
    </w:p>
    <w:p w14:paraId="051F5668">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 xml:space="preserve">三、经营收入：指事业单位在专业业务活动及其辅助活动之外开展非独立核算经营活动取得的收入。如：中国财政杂志社广告收入等。 </w:t>
      </w:r>
    </w:p>
    <w:p w14:paraId="0B3DF788">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 xml:space="preserve">四、其他收入：指除上述“财政拨款收入”、“事业收入”、“经营收入”等以外的收入。主要是按规定动用的售房收入、存款利息收入等。 </w:t>
      </w:r>
    </w:p>
    <w:p w14:paraId="1C1C02C2">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 xml:space="preserve">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537A1217">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 xml:space="preserve">六、年初结转和结余：指以前年度尚未完成、结转到本年按有关规定继续使用的资金。 </w:t>
      </w:r>
    </w:p>
    <w:p w14:paraId="3491BF42">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七、结余分配：指事业单位按规定提取的职工福利基金、事业基金和缴纳的所得税，以及建设单位按规定应交回的基本建设竣工项目结余资金。</w:t>
      </w:r>
    </w:p>
    <w:p w14:paraId="32AB3664">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 xml:space="preserve">八、年末结转和结余：指本年度或以前年度预算安排、因客观条件发生变化无法按原计划实施，需要延迟到以后年度按有关规定继续使用的资金。 </w:t>
      </w:r>
    </w:p>
    <w:p w14:paraId="2B280787">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 xml:space="preserve">九、基本支出：指为保障机构正常运转、完成日常工作任务而发生的人员支出和公用支出。 </w:t>
      </w:r>
    </w:p>
    <w:p w14:paraId="2E9CE5ED">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 xml:space="preserve">十、项目支出：指在基本支出之外为完成特定行政任务和事业发展目标所发生的支出。 </w:t>
      </w:r>
    </w:p>
    <w:p w14:paraId="6E56196E">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 xml:space="preserve">十一、经营支出：指事业单位在专业业务活动及其辅助活动之外开展非独立核算经营活动发生的支出。 </w:t>
      </w:r>
    </w:p>
    <w:p w14:paraId="7A35EF40">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 xml:space="preserve">十二、“三公”经费：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490E2478">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Times New Roman" w:hAnsi="Times New Roman" w:eastAsia="仿宋_GB2312"/>
          <w:sz w:val="32"/>
          <w:szCs w:val="32"/>
          <w:highlight w:val="none"/>
          <w:lang w:eastAsia="zh-CN"/>
        </w:rPr>
        <w:t>。</w:t>
      </w:r>
    </w:p>
    <w:p w14:paraId="480158E3">
      <w:pPr>
        <w:pStyle w:val="10"/>
        <w:jc w:val="center"/>
        <w:rPr>
          <w:sz w:val="72"/>
          <w:szCs w:val="72"/>
          <w:highlight w:val="none"/>
        </w:rPr>
      </w:pPr>
    </w:p>
    <w:p w14:paraId="6ECEA49A">
      <w:pPr>
        <w:pStyle w:val="10"/>
        <w:jc w:val="center"/>
        <w:rPr>
          <w:sz w:val="72"/>
          <w:szCs w:val="72"/>
          <w:highlight w:val="none"/>
        </w:rPr>
      </w:pPr>
    </w:p>
    <w:p w14:paraId="1BC2CACD">
      <w:pPr>
        <w:pStyle w:val="10"/>
        <w:jc w:val="center"/>
        <w:rPr>
          <w:sz w:val="72"/>
          <w:szCs w:val="72"/>
          <w:highlight w:val="none"/>
        </w:rPr>
      </w:pPr>
    </w:p>
    <w:p w14:paraId="4A5D9BDB">
      <w:pPr>
        <w:pStyle w:val="10"/>
        <w:jc w:val="center"/>
        <w:rPr>
          <w:sz w:val="72"/>
          <w:szCs w:val="72"/>
          <w:highlight w:val="none"/>
        </w:rPr>
      </w:pPr>
    </w:p>
    <w:p w14:paraId="23257BA0">
      <w:pPr>
        <w:pStyle w:val="10"/>
        <w:jc w:val="center"/>
        <w:rPr>
          <w:sz w:val="72"/>
          <w:szCs w:val="72"/>
          <w:highlight w:val="none"/>
        </w:rPr>
      </w:pPr>
    </w:p>
    <w:p w14:paraId="024B92E4">
      <w:pPr>
        <w:pStyle w:val="10"/>
        <w:jc w:val="center"/>
        <w:rPr>
          <w:sz w:val="72"/>
          <w:szCs w:val="72"/>
          <w:highlight w:val="none"/>
        </w:rPr>
      </w:pPr>
    </w:p>
    <w:p w14:paraId="1E9B38A5">
      <w:pPr>
        <w:pStyle w:val="10"/>
        <w:jc w:val="center"/>
        <w:rPr>
          <w:sz w:val="72"/>
          <w:szCs w:val="72"/>
          <w:highlight w:val="none"/>
        </w:rPr>
      </w:pPr>
    </w:p>
    <w:p w14:paraId="4FA2ECDE">
      <w:pPr>
        <w:pStyle w:val="10"/>
        <w:jc w:val="center"/>
        <w:rPr>
          <w:sz w:val="72"/>
          <w:szCs w:val="72"/>
          <w:highlight w:val="none"/>
        </w:rPr>
      </w:pPr>
    </w:p>
    <w:p w14:paraId="415CE89D">
      <w:pPr>
        <w:pStyle w:val="10"/>
        <w:jc w:val="center"/>
        <w:rPr>
          <w:sz w:val="72"/>
          <w:szCs w:val="72"/>
          <w:highlight w:val="none"/>
        </w:rPr>
      </w:pPr>
    </w:p>
    <w:p w14:paraId="1D646551">
      <w:pPr>
        <w:pStyle w:val="10"/>
        <w:jc w:val="center"/>
        <w:rPr>
          <w:rFonts w:ascii="方正小标宋_GBK" w:hAnsi="方正小标宋_GBK" w:eastAsia="方正小标宋_GBK" w:cs="方正小标宋_GBK"/>
          <w:sz w:val="84"/>
          <w:szCs w:val="84"/>
          <w:highlight w:val="none"/>
        </w:rPr>
      </w:pPr>
    </w:p>
    <w:p w14:paraId="1B004C4C">
      <w:pPr>
        <w:pStyle w:val="10"/>
        <w:jc w:val="center"/>
        <w:rPr>
          <w:rFonts w:ascii="方正小标宋_GBK" w:hAnsi="方正小标宋_GBK" w:eastAsia="方正小标宋_GBK" w:cs="方正小标宋_GBK"/>
          <w:sz w:val="84"/>
          <w:szCs w:val="84"/>
          <w:highlight w:val="none"/>
        </w:rPr>
      </w:pPr>
    </w:p>
    <w:p w14:paraId="38C2EB9A">
      <w:pPr>
        <w:pStyle w:val="10"/>
        <w:jc w:val="center"/>
        <w:rPr>
          <w:rFonts w:ascii="方正小标宋_GBK" w:hAnsi="方正小标宋_GBK" w:eastAsia="方正小标宋_GBK" w:cs="方正小标宋_GBK"/>
          <w:sz w:val="84"/>
          <w:szCs w:val="84"/>
          <w:highlight w:val="none"/>
        </w:rPr>
      </w:pPr>
    </w:p>
    <w:p w14:paraId="55D6EEF5">
      <w:pPr>
        <w:pStyle w:val="10"/>
        <w:jc w:val="center"/>
        <w:rPr>
          <w:rFonts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第五部分</w:t>
      </w:r>
    </w:p>
    <w:p w14:paraId="13CA80C6">
      <w:pPr>
        <w:pStyle w:val="10"/>
        <w:jc w:val="center"/>
        <w:rPr>
          <w:rFonts w:ascii="方正小标宋_GBK" w:hAnsi="方正小标宋_GBK" w:eastAsia="方正小标宋_GBK" w:cs="方正小标宋_GBK"/>
          <w:sz w:val="84"/>
          <w:szCs w:val="84"/>
          <w:highlight w:val="none"/>
        </w:rPr>
      </w:pPr>
    </w:p>
    <w:p w14:paraId="78C337FA">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附件</w:t>
      </w:r>
    </w:p>
    <w:p w14:paraId="23B03C49">
      <w:pPr>
        <w:pStyle w:val="10"/>
        <w:jc w:val="center"/>
        <w:rPr>
          <w:rFonts w:hint="eastAsia" w:ascii="方正小标宋_GBK" w:hAnsi="方正小标宋_GBK" w:eastAsia="方正小标宋_GBK" w:cs="方正小标宋_GBK"/>
          <w:sz w:val="84"/>
          <w:szCs w:val="84"/>
          <w:highlight w:val="none"/>
        </w:rPr>
      </w:pPr>
    </w:p>
    <w:p w14:paraId="1DA253B7">
      <w:pPr>
        <w:pStyle w:val="10"/>
        <w:jc w:val="center"/>
        <w:rPr>
          <w:rFonts w:hint="eastAsia" w:ascii="方正小标宋_GBK" w:hAnsi="方正小标宋_GBK" w:eastAsia="方正小标宋_GBK" w:cs="方正小标宋_GBK"/>
          <w:sz w:val="84"/>
          <w:szCs w:val="84"/>
          <w:highlight w:val="none"/>
        </w:rPr>
      </w:pPr>
    </w:p>
    <w:p w14:paraId="4F89944F">
      <w:pPr>
        <w:pStyle w:val="10"/>
        <w:jc w:val="center"/>
        <w:rPr>
          <w:sz w:val="72"/>
          <w:szCs w:val="72"/>
          <w:highlight w:val="none"/>
        </w:rPr>
      </w:pPr>
    </w:p>
    <w:p w14:paraId="4FA63D2D">
      <w:pPr>
        <w:jc w:val="left"/>
        <w:rPr>
          <w:rFonts w:cs="黑体" w:asciiTheme="minorEastAsia" w:hAnsiTheme="minorEastAsia"/>
          <w:color w:val="000000"/>
          <w:kern w:val="0"/>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3FA742-5EB3-4DAF-A482-B940B4736A2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9D9553BF-8FB5-406C-9B89-C20C8F8D8B45}"/>
  </w:font>
  <w:font w:name="仿宋_GB2312">
    <w:panose1 w:val="02010609030101010101"/>
    <w:charset w:val="86"/>
    <w:family w:val="modern"/>
    <w:pitch w:val="default"/>
    <w:sig w:usb0="00000001" w:usb1="080E0000" w:usb2="00000000" w:usb3="00000000" w:csb0="00040000" w:csb1="00000000"/>
    <w:embedRegular r:id="rId3" w:fontKey="{071E017B-E87D-4F64-AB29-160643A6E8FA}"/>
  </w:font>
  <w:font w:name="仿宋">
    <w:panose1 w:val="02010609060101010101"/>
    <w:charset w:val="86"/>
    <w:family w:val="auto"/>
    <w:pitch w:val="default"/>
    <w:sig w:usb0="800002BF" w:usb1="38CF7CFA" w:usb2="00000016" w:usb3="00000000" w:csb0="00040001" w:csb1="00000000"/>
    <w:embedRegular r:id="rId4" w:fontKey="{F4D3E1CB-EEC8-4B68-94BF-C40C8D080ED8}"/>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62A142B"/>
    <w:rsid w:val="0D542FC8"/>
    <w:rsid w:val="1C6963B1"/>
    <w:rsid w:val="259F07D0"/>
    <w:rsid w:val="29804AC3"/>
    <w:rsid w:val="324F5BF1"/>
    <w:rsid w:val="385971C7"/>
    <w:rsid w:val="38B15CD7"/>
    <w:rsid w:val="3E703115"/>
    <w:rsid w:val="41AE5137"/>
    <w:rsid w:val="42F52074"/>
    <w:rsid w:val="439F1200"/>
    <w:rsid w:val="4969301F"/>
    <w:rsid w:val="54B004D6"/>
    <w:rsid w:val="5777D4F5"/>
    <w:rsid w:val="581530A2"/>
    <w:rsid w:val="5D3E076B"/>
    <w:rsid w:val="5FC6BB1E"/>
    <w:rsid w:val="5FF720F1"/>
    <w:rsid w:val="6DE73393"/>
    <w:rsid w:val="6EC314CB"/>
    <w:rsid w:val="70BB4329"/>
    <w:rsid w:val="73552454"/>
    <w:rsid w:val="737D59BA"/>
    <w:rsid w:val="77C37683"/>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3"/>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21</Pages>
  <Words>8448</Words>
  <Characters>9068</Characters>
  <Lines>63</Lines>
  <Paragraphs>18</Paragraphs>
  <TotalTime>0</TotalTime>
  <ScaleCrop>false</ScaleCrop>
  <LinksUpToDate>false</LinksUpToDate>
  <CharactersWithSpaces>9087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WPS_1668149522</cp:lastModifiedBy>
  <cp:lastPrinted>2023-08-15T09:28:00Z</cp:lastPrinted>
  <dcterms:modified xsi:type="dcterms:W3CDTF">2024-10-31T13:48:41Z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E679260E00B14BEDA3C7C763EDC54670_13</vt:lpwstr>
  </property>
</Properties>
</file>