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kinsoku/>
        <w:wordWrap/>
        <w:overflowPunct/>
        <w:topLinePunct w:val="0"/>
        <w:bidi w:val="0"/>
        <w:jc w:val="both"/>
        <w:textAlignment w:val="auto"/>
        <w:rPr>
          <w:color w:val="000000" w:themeColor="text1"/>
          <w:sz w:val="56"/>
          <w:szCs w:val="56"/>
          <w14:textFill>
            <w14:solidFill>
              <w14:schemeClr w14:val="tx1"/>
            </w14:solidFill>
          </w14:textFill>
        </w:rPr>
      </w:pPr>
      <w:r>
        <w:rPr>
          <w:color w:val="000000" w:themeColor="text1"/>
          <w:sz w:val="56"/>
          <w14:textFill>
            <w14:solidFill>
              <w14:schemeClr w14:val="tx1"/>
            </w14:solidFill>
          </w14:textFill>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8240;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y8CZQ1gAAAAoBAAAPAAAA&#10;AAAAAAEAIAAAADgAAABkcnMvZG93bnJldi54bWxQSwECFAAUAAAACACHTuJAQyqXjzoCAABMBAAA&#10;DgAAAAAAAAABACAAAAA7AQAAZHJzL2Uyb0RvYy54bWxQSwUGAAAAAAYABgBZAQAA5wUAAAAA&#10;">
                <v:fill on="t" focussize="0,0"/>
                <v:stroke on="f" weight="0.5pt"/>
                <v:imagedata o:title=""/>
                <o:lock v:ext="edit" aspectratio="f"/>
                <v:textbox>
                  <w:txbxContent>
                    <w:p>
                      <w:pPr>
                        <w:rPr>
                          <w:rFonts w:hint="eastAsia"/>
                          <w:lang w:val="en-US" w:eastAsia="zh-CN"/>
                        </w:rPr>
                      </w:pPr>
                    </w:p>
                  </w:txbxContent>
                </v:textbox>
              </v:shape>
            </w:pict>
          </mc:Fallback>
        </mc:AlternateContent>
      </w:r>
    </w:p>
    <w:p>
      <w:pPr>
        <w:pStyle w:val="15"/>
        <w:keepNext w:val="0"/>
        <w:keepLines w:val="0"/>
        <w:pageBreakBefore w:val="0"/>
        <w:kinsoku/>
        <w:wordWrap/>
        <w:overflowPunct/>
        <w:topLinePunct w:val="0"/>
        <w:bidi w:val="0"/>
        <w:jc w:val="both"/>
        <w:textAlignment w:val="auto"/>
        <w:rPr>
          <w:color w:val="000000" w:themeColor="text1"/>
          <w:sz w:val="56"/>
          <w:szCs w:val="56"/>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84"/>
          <w:szCs w:val="84"/>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84"/>
          <w:szCs w:val="84"/>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84"/>
          <w:szCs w:val="84"/>
          <w14:textFill>
            <w14:solidFill>
              <w14:schemeClr w14:val="tx1"/>
            </w14:solidFill>
          </w14:textFill>
        </w:rPr>
      </w:pPr>
      <w:r>
        <w:rPr>
          <w:rFonts w:hint="eastAsia" w:ascii="方正小标宋_GBK" w:hAnsi="方正小标宋_GBK" w:eastAsia="方正小标宋_GBK" w:cs="方正小标宋_GBK"/>
          <w:color w:val="000000" w:themeColor="text1"/>
          <w:sz w:val="84"/>
          <w:szCs w:val="84"/>
          <w14:textFill>
            <w14:solidFill>
              <w14:schemeClr w14:val="tx1"/>
            </w14:solidFill>
          </w14:textFill>
        </w:rPr>
        <w:t>202</w:t>
      </w:r>
      <w:r>
        <w:rPr>
          <w:rFonts w:hint="eastAsia" w:ascii="方正小标宋_GBK" w:hAnsi="方正小标宋_GBK" w:eastAsia="方正小标宋_GBK" w:cs="方正小标宋_GBK"/>
          <w:color w:val="000000" w:themeColor="text1"/>
          <w:sz w:val="84"/>
          <w:szCs w:val="84"/>
          <w:lang w:val="en-US" w:eastAsia="zh-CN"/>
          <w14:textFill>
            <w14:solidFill>
              <w14:schemeClr w14:val="tx1"/>
            </w14:solidFill>
          </w14:textFill>
        </w:rPr>
        <w:t>3</w:t>
      </w:r>
      <w:r>
        <w:rPr>
          <w:rFonts w:hint="eastAsia" w:ascii="方正小标宋_GBK" w:hAnsi="方正小标宋_GBK" w:eastAsia="方正小标宋_GBK" w:cs="方正小标宋_GBK"/>
          <w:color w:val="000000" w:themeColor="text1"/>
          <w:sz w:val="84"/>
          <w:szCs w:val="84"/>
          <w14:textFill>
            <w14:solidFill>
              <w14:schemeClr w14:val="tx1"/>
            </w14:solidFill>
          </w14:textFill>
        </w:rPr>
        <w:t>年度</w:t>
      </w:r>
    </w:p>
    <w:p>
      <w:pPr>
        <w:pStyle w:val="15"/>
        <w:keepNext w:val="0"/>
        <w:keepLines w:val="0"/>
        <w:pageBreakBefore w:val="0"/>
        <w:kinsoku/>
        <w:wordWrap/>
        <w:overflowPunct/>
        <w:topLinePunct w:val="0"/>
        <w:bidi w:val="0"/>
        <w:jc w:val="center"/>
        <w:textAlignment w:val="auto"/>
        <w:rPr>
          <w:rFonts w:hint="default" w:ascii="方正小标宋_GBK" w:hAnsi="方正小标宋_GBK" w:eastAsia="方正小标宋_GBK" w:cs="方正小标宋_GBK"/>
          <w:color w:val="000000" w:themeColor="text1"/>
          <w:sz w:val="84"/>
          <w:szCs w:val="84"/>
          <w14:textFill>
            <w14:solidFill>
              <w14:schemeClr w14:val="tx1"/>
            </w14:solidFill>
          </w14:textFill>
        </w:rPr>
      </w:pPr>
      <w:r>
        <w:rPr>
          <w:rFonts w:hint="default" w:ascii="方正小标宋_GBK" w:hAnsi="方正小标宋_GBK" w:eastAsia="方正小标宋_GBK" w:cs="方正小标宋_GBK"/>
          <w:color w:val="000000" w:themeColor="text1"/>
          <w:sz w:val="84"/>
          <w:szCs w:val="84"/>
          <w14:textFill>
            <w14:solidFill>
              <w14:schemeClr w14:val="tx1"/>
            </w14:solidFill>
          </w14:textFill>
        </w:rPr>
        <w:t>怀化市供销合作联合社</w:t>
      </w: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84"/>
          <w:szCs w:val="84"/>
          <w14:textFill>
            <w14:solidFill>
              <w14:schemeClr w14:val="tx1"/>
            </w14:solidFill>
          </w14:textFill>
        </w:rPr>
      </w:pPr>
      <w:r>
        <w:rPr>
          <w:rFonts w:hint="eastAsia" w:ascii="方正小标宋_GBK" w:hAnsi="方正小标宋_GBK" w:eastAsia="方正小标宋_GBK" w:cs="方正小标宋_GBK"/>
          <w:color w:val="000000" w:themeColor="text1"/>
          <w:sz w:val="84"/>
          <w:szCs w:val="84"/>
          <w14:textFill>
            <w14:solidFill>
              <w14:schemeClr w14:val="tx1"/>
            </w14:solidFill>
          </w14:textFill>
        </w:rPr>
        <w:t>部门决算</w:t>
      </w: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56"/>
          <w:szCs w:val="56"/>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56"/>
          <w:szCs w:val="56"/>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56"/>
          <w:szCs w:val="56"/>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56"/>
          <w:szCs w:val="56"/>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32"/>
          <w:szCs w:val="3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32"/>
          <w:szCs w:val="3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32"/>
          <w:szCs w:val="3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32"/>
          <w:szCs w:val="32"/>
          <w14:textFill>
            <w14:solidFill>
              <w14:schemeClr w14:val="tx1"/>
            </w14:solidFill>
          </w14:textFill>
        </w:rPr>
      </w:pPr>
    </w:p>
    <w:p>
      <w:pPr>
        <w:pStyle w:val="15"/>
        <w:keepNext w:val="0"/>
        <w:keepLines w:val="0"/>
        <w:pageBreakBefore w:val="0"/>
        <w:kinsoku/>
        <w:wordWrap/>
        <w:overflowPunct/>
        <w:topLinePunct w:val="0"/>
        <w:bidi w:val="0"/>
        <w:spacing w:line="500" w:lineRule="exact"/>
        <w:jc w:val="center"/>
        <w:textAlignment w:val="auto"/>
        <w:rPr>
          <w:b/>
          <w:color w:val="000000" w:themeColor="text1"/>
          <w:sz w:val="36"/>
          <w:szCs w:val="28"/>
          <w14:textFill>
            <w14:solidFill>
              <w14:schemeClr w14:val="tx1"/>
            </w14:solidFill>
          </w14:textFill>
        </w:rPr>
      </w:pPr>
      <w:r>
        <w:rPr>
          <w:rFonts w:hint="eastAsia"/>
          <w:b/>
          <w:color w:val="000000" w:themeColor="text1"/>
          <w:sz w:val="36"/>
          <w:szCs w:val="28"/>
          <w14:textFill>
            <w14:solidFill>
              <w14:schemeClr w14:val="tx1"/>
            </w14:solidFill>
          </w14:textFill>
        </w:rPr>
        <w:t>目录</w:t>
      </w:r>
    </w:p>
    <w:p>
      <w:pPr>
        <w:pStyle w:val="15"/>
        <w:keepNext w:val="0"/>
        <w:keepLines w:val="0"/>
        <w:pageBreakBefore w:val="0"/>
        <w:kinsoku/>
        <w:wordWrap/>
        <w:overflowPunct/>
        <w:topLinePunct w:val="0"/>
        <w:bidi w:val="0"/>
        <w:spacing w:line="500" w:lineRule="exact"/>
        <w:jc w:val="both"/>
        <w:textAlignment w:val="auto"/>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14:textFill>
            <w14:solidFill>
              <w14:schemeClr w14:val="tx1"/>
            </w14:solidFill>
          </w14:textFill>
        </w:rPr>
        <w:t>第一部分</w:t>
      </w:r>
      <w:r>
        <w:rPr>
          <w:rFonts w:hint="eastAsia" w:ascii="黑体" w:hAnsi="黑体" w:eastAsia="黑体" w:cs="黑体"/>
          <w:b w:val="0"/>
          <w:bCs/>
          <w:color w:val="000000" w:themeColor="text1"/>
          <w:sz w:val="28"/>
          <w:szCs w:val="28"/>
          <w:lang w:val="en-US" w:eastAsia="zh-CN"/>
          <w14:textFill>
            <w14:solidFill>
              <w14:schemeClr w14:val="tx1"/>
            </w14:solidFill>
          </w14:textFill>
        </w:rPr>
        <w:t xml:space="preserve"> </w:t>
      </w:r>
      <w:r>
        <w:rPr>
          <w:rFonts w:hint="default" w:hAnsi="黑体" w:cs="黑体"/>
          <w:b w:val="0"/>
          <w:bCs/>
          <w:color w:val="000000" w:themeColor="text1"/>
          <w:sz w:val="28"/>
          <w:szCs w:val="28"/>
          <w14:textFill>
            <w14:solidFill>
              <w14:schemeClr w14:val="tx1"/>
            </w14:solidFill>
          </w14:textFill>
        </w:rPr>
        <w:t>怀化市供销合作联合社</w:t>
      </w:r>
      <w:r>
        <w:rPr>
          <w:rFonts w:hint="eastAsia" w:ascii="黑体" w:hAnsi="黑体" w:eastAsia="黑体" w:cs="黑体"/>
          <w:b w:val="0"/>
          <w:bCs/>
          <w:color w:val="000000" w:themeColor="text1"/>
          <w:sz w:val="28"/>
          <w:szCs w:val="28"/>
          <w14:textFill>
            <w14:solidFill>
              <w14:schemeClr w14:val="tx1"/>
            </w14:solidFill>
          </w14:textFill>
        </w:rPr>
        <w:t>概况</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一、部门职责</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二、机构设置</w:t>
      </w:r>
    </w:p>
    <w:p>
      <w:pPr>
        <w:pStyle w:val="15"/>
        <w:keepNext w:val="0"/>
        <w:keepLines w:val="0"/>
        <w:pageBreakBefore w:val="0"/>
        <w:kinsoku/>
        <w:wordWrap/>
        <w:overflowPunct/>
        <w:topLinePunct w:val="0"/>
        <w:bidi w:val="0"/>
        <w:spacing w:line="500" w:lineRule="exact"/>
        <w:jc w:val="both"/>
        <w:textAlignment w:val="auto"/>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14:textFill>
            <w14:solidFill>
              <w14:schemeClr w14:val="tx1"/>
            </w14:solidFill>
          </w14:textFill>
        </w:rPr>
        <w:t>第二部分</w:t>
      </w:r>
      <w:r>
        <w:rPr>
          <w:rFonts w:hint="eastAsia" w:ascii="黑体" w:hAnsi="黑体" w:eastAsia="黑体" w:cs="黑体"/>
          <w:b w:val="0"/>
          <w:bCs/>
          <w:color w:val="000000" w:themeColor="text1"/>
          <w:sz w:val="28"/>
          <w:szCs w:val="28"/>
          <w:lang w:val="en-US" w:eastAsia="zh-CN"/>
          <w14:textFill>
            <w14:solidFill>
              <w14:schemeClr w14:val="tx1"/>
            </w14:solidFill>
          </w14:textFill>
        </w:rPr>
        <w:t xml:space="preserve"> </w:t>
      </w:r>
      <w:r>
        <w:rPr>
          <w:rFonts w:hint="eastAsia" w:ascii="黑体" w:hAnsi="黑体" w:eastAsia="黑体" w:cs="黑体"/>
          <w:b w:val="0"/>
          <w:bCs/>
          <w:color w:val="000000" w:themeColor="text1"/>
          <w:sz w:val="28"/>
          <w:szCs w:val="28"/>
          <w14:textFill>
            <w14:solidFill>
              <w14:schemeClr w14:val="tx1"/>
            </w14:solidFill>
          </w14:textFill>
        </w:rPr>
        <w:t>部门决算表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一、收入支出决算总表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二、收入决算表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三、支出决算表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四、财政拨款收入支出决算总表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五、一般公共预算财政拨款支出决算表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六、一般公共预算财政拨款基本支出决算明细表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七、政府性基金预算财政拨款收入支出决算表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八、国有资本经营预算财政拨款支出决算表</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九、财政拨款“三公”经费支出决算表</w:t>
      </w:r>
    </w:p>
    <w:p>
      <w:pPr>
        <w:pStyle w:val="15"/>
        <w:keepNext w:val="0"/>
        <w:keepLines w:val="0"/>
        <w:pageBreakBefore w:val="0"/>
        <w:kinsoku/>
        <w:wordWrap/>
        <w:overflowPunct/>
        <w:topLinePunct w:val="0"/>
        <w:bidi w:val="0"/>
        <w:spacing w:line="500" w:lineRule="exact"/>
        <w:jc w:val="both"/>
        <w:textAlignment w:val="auto"/>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14:textFill>
            <w14:solidFill>
              <w14:schemeClr w14:val="tx1"/>
            </w14:solidFill>
          </w14:textFill>
        </w:rPr>
        <w:t>第三部分</w:t>
      </w:r>
      <w:r>
        <w:rPr>
          <w:rFonts w:hint="eastAsia" w:ascii="黑体" w:hAnsi="黑体" w:eastAsia="黑体" w:cs="黑体"/>
          <w:b w:val="0"/>
          <w:bCs/>
          <w:color w:val="000000" w:themeColor="text1"/>
          <w:sz w:val="28"/>
          <w:szCs w:val="28"/>
          <w:lang w:val="en-US" w:eastAsia="zh-CN"/>
          <w14:textFill>
            <w14:solidFill>
              <w14:schemeClr w14:val="tx1"/>
            </w14:solidFill>
          </w14:textFill>
        </w:rPr>
        <w:t xml:space="preserve"> </w:t>
      </w:r>
      <w:r>
        <w:rPr>
          <w:rFonts w:hint="eastAsia" w:ascii="黑体" w:hAnsi="黑体" w:eastAsia="黑体" w:cs="黑体"/>
          <w:b w:val="0"/>
          <w:bCs/>
          <w:color w:val="000000" w:themeColor="text1"/>
          <w:sz w:val="28"/>
          <w:szCs w:val="28"/>
          <w14:textFill>
            <w14:solidFill>
              <w14:schemeClr w14:val="tx1"/>
            </w14:solidFill>
          </w14:textFill>
        </w:rPr>
        <w:t>部门决算情况说明</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一、收入支出决算总体情况说明</w:t>
      </w:r>
    </w:p>
    <w:p>
      <w:pPr>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二、收入决算情况说明</w:t>
      </w:r>
    </w:p>
    <w:p>
      <w:pPr>
        <w:keepNext w:val="0"/>
        <w:keepLines w:val="0"/>
        <w:pageBreakBefore w:val="0"/>
        <w:kinsoku/>
        <w:wordWrap/>
        <w:overflowPunct/>
        <w:topLinePunct w:val="0"/>
        <w:autoSpaceDE w:val="0"/>
        <w:autoSpaceDN w:val="0"/>
        <w:bidi w:val="0"/>
        <w:adjustRightInd w:val="0"/>
        <w:spacing w:line="500" w:lineRule="exact"/>
        <w:ind w:firstLine="700" w:firstLineChars="250"/>
        <w:jc w:val="both"/>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三、支出决算情况说明</w:t>
      </w:r>
    </w:p>
    <w:p>
      <w:pPr>
        <w:keepNext w:val="0"/>
        <w:keepLines w:val="0"/>
        <w:pageBreakBefore w:val="0"/>
        <w:kinsoku/>
        <w:wordWrap/>
        <w:overflowPunct/>
        <w:topLinePunct w:val="0"/>
        <w:autoSpaceDE w:val="0"/>
        <w:autoSpaceDN w:val="0"/>
        <w:bidi w:val="0"/>
        <w:adjustRightInd w:val="0"/>
        <w:spacing w:line="500" w:lineRule="exact"/>
        <w:ind w:firstLine="700" w:firstLineChars="250"/>
        <w:jc w:val="both"/>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四、财政拨款收入支出决算总体情况说明</w:t>
      </w:r>
    </w:p>
    <w:p>
      <w:pPr>
        <w:keepNext w:val="0"/>
        <w:keepLines w:val="0"/>
        <w:pageBreakBefore w:val="0"/>
        <w:kinsoku/>
        <w:wordWrap/>
        <w:overflowPunct/>
        <w:topLinePunct w:val="0"/>
        <w:autoSpaceDE w:val="0"/>
        <w:autoSpaceDN w:val="0"/>
        <w:bidi w:val="0"/>
        <w:adjustRightInd w:val="0"/>
        <w:spacing w:line="500" w:lineRule="exact"/>
        <w:ind w:firstLine="700" w:firstLineChars="250"/>
        <w:jc w:val="both"/>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五、一般公共预算财政拨款支出决算情况说明</w:t>
      </w:r>
    </w:p>
    <w:p>
      <w:pPr>
        <w:keepNext w:val="0"/>
        <w:keepLines w:val="0"/>
        <w:pageBreakBefore w:val="0"/>
        <w:kinsoku/>
        <w:wordWrap/>
        <w:overflowPunct/>
        <w:topLinePunct w:val="0"/>
        <w:autoSpaceDE w:val="0"/>
        <w:autoSpaceDN w:val="0"/>
        <w:bidi w:val="0"/>
        <w:adjustRightInd w:val="0"/>
        <w:spacing w:line="500" w:lineRule="exact"/>
        <w:ind w:firstLine="700" w:firstLineChars="250"/>
        <w:jc w:val="both"/>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六、一般公共预算财政拨款基本支出决算情况说明</w:t>
      </w:r>
    </w:p>
    <w:p>
      <w:pPr>
        <w:keepNext w:val="0"/>
        <w:keepLines w:val="0"/>
        <w:pageBreakBefore w:val="0"/>
        <w:kinsoku/>
        <w:wordWrap/>
        <w:overflowPunct/>
        <w:topLinePunct w:val="0"/>
        <w:autoSpaceDE w:val="0"/>
        <w:autoSpaceDN w:val="0"/>
        <w:bidi w:val="0"/>
        <w:adjustRightInd w:val="0"/>
        <w:spacing w:line="500" w:lineRule="exact"/>
        <w:ind w:firstLine="700" w:firstLineChars="250"/>
        <w:jc w:val="both"/>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七、财政拨款三公经费支出决算情况说明</w:t>
      </w:r>
    </w:p>
    <w:p>
      <w:pPr>
        <w:keepNext w:val="0"/>
        <w:keepLines w:val="0"/>
        <w:pageBreakBefore w:val="0"/>
        <w:kinsoku/>
        <w:wordWrap/>
        <w:overflowPunct/>
        <w:topLinePunct w:val="0"/>
        <w:autoSpaceDE w:val="0"/>
        <w:autoSpaceDN w:val="0"/>
        <w:bidi w:val="0"/>
        <w:adjustRightInd w:val="0"/>
        <w:spacing w:line="500" w:lineRule="exact"/>
        <w:ind w:firstLine="700" w:firstLineChars="250"/>
        <w:jc w:val="both"/>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八、政府性基金预算收入支出决算情况</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default"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九、国有资本经营预算收入支出决算情况</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default"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十、关于机关运行经费支出说明</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default"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十一、一般性支出情况说明</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default"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十二、关于政府采购支出说明</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十三、关于国有资产占用情况说明</w:t>
      </w:r>
    </w:p>
    <w:p>
      <w:pPr>
        <w:pStyle w:val="15"/>
        <w:keepNext w:val="0"/>
        <w:keepLines w:val="0"/>
        <w:pageBreakBefore w:val="0"/>
        <w:kinsoku/>
        <w:wordWrap/>
        <w:overflowPunct/>
        <w:topLinePunct w:val="0"/>
        <w:bidi w:val="0"/>
        <w:spacing w:line="500" w:lineRule="exact"/>
        <w:ind w:firstLine="700" w:firstLineChars="250"/>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十四、</w:t>
      </w:r>
      <w:r>
        <w:rPr>
          <w:rFonts w:hint="eastAsia" w:ascii="仿宋_GB2312" w:hAnsi="仿宋_GB2312" w:eastAsia="仿宋_GB2312" w:cs="仿宋_GB2312"/>
          <w:color w:val="000000" w:themeColor="text1"/>
          <w:sz w:val="28"/>
          <w:szCs w:val="28"/>
          <w14:textFill>
            <w14:solidFill>
              <w14:schemeClr w14:val="tx1"/>
            </w14:solidFill>
          </w14:textFill>
        </w:rPr>
        <w:t>关于</w:t>
      </w:r>
      <w:r>
        <w:rPr>
          <w:rFonts w:hint="default" w:ascii="仿宋_GB2312" w:hAnsi="仿宋_GB2312" w:eastAsia="仿宋_GB2312" w:cs="仿宋_GB2312"/>
          <w:color w:val="000000" w:themeColor="text1"/>
          <w:sz w:val="28"/>
          <w:szCs w:val="28"/>
          <w14:textFill>
            <w14:solidFill>
              <w14:schemeClr w14:val="tx1"/>
            </w14:solidFill>
          </w14:textFill>
        </w:rPr>
        <w:t>202</w:t>
      </w:r>
      <w:r>
        <w:rPr>
          <w:rFonts w:hint="default"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年度</w:t>
      </w:r>
      <w:r>
        <w:rPr>
          <w:rFonts w:hint="eastAsia" w:ascii="仿宋_GB2312" w:hAnsi="仿宋_GB2312" w:eastAsia="仿宋_GB2312" w:cs="仿宋_GB2312"/>
          <w:color w:val="000000" w:themeColor="text1"/>
          <w:sz w:val="28"/>
          <w:szCs w:val="28"/>
          <w:lang w:eastAsia="zh-CN"/>
          <w14:textFill>
            <w14:solidFill>
              <w14:schemeClr w14:val="tx1"/>
            </w14:solidFill>
          </w14:textFill>
        </w:rPr>
        <w:t>预算</w:t>
      </w:r>
      <w:r>
        <w:rPr>
          <w:rFonts w:hint="eastAsia" w:ascii="仿宋_GB2312" w:hAnsi="仿宋_GB2312" w:eastAsia="仿宋_GB2312" w:cs="仿宋_GB2312"/>
          <w:color w:val="000000" w:themeColor="text1"/>
          <w:sz w:val="28"/>
          <w:szCs w:val="28"/>
          <w14:textFill>
            <w14:solidFill>
              <w14:schemeClr w14:val="tx1"/>
            </w14:solidFill>
          </w14:textFill>
        </w:rPr>
        <w:t>绩效情况的说明</w:t>
      </w:r>
    </w:p>
    <w:p>
      <w:pPr>
        <w:pStyle w:val="15"/>
        <w:keepNext w:val="0"/>
        <w:keepLines w:val="0"/>
        <w:pageBreakBefore w:val="0"/>
        <w:kinsoku/>
        <w:wordWrap/>
        <w:overflowPunct/>
        <w:topLinePunct w:val="0"/>
        <w:bidi w:val="0"/>
        <w:spacing w:line="500" w:lineRule="exact"/>
        <w:jc w:val="both"/>
        <w:textAlignment w:val="auto"/>
        <w:rPr>
          <w:rFonts w:hint="eastAsia" w:ascii="黑体" w:hAnsi="黑体" w:eastAsia="黑体" w:cs="黑体"/>
          <w:b w:val="0"/>
          <w:bCs/>
          <w:color w:val="000000" w:themeColor="text1"/>
          <w:sz w:val="28"/>
          <w:szCs w:val="28"/>
          <w14:textFill>
            <w14:solidFill>
              <w14:schemeClr w14:val="tx1"/>
            </w14:solidFill>
          </w14:textFill>
        </w:rPr>
      </w:pPr>
      <w:r>
        <w:rPr>
          <w:rFonts w:hint="eastAsia" w:ascii="黑体" w:hAnsi="黑体" w:eastAsia="黑体" w:cs="黑体"/>
          <w:b w:val="0"/>
          <w:bCs/>
          <w:color w:val="000000" w:themeColor="text1"/>
          <w:sz w:val="28"/>
          <w:szCs w:val="28"/>
          <w14:textFill>
            <w14:solidFill>
              <w14:schemeClr w14:val="tx1"/>
            </w14:solidFill>
          </w14:textFill>
        </w:rPr>
        <w:t>第四部分</w:t>
      </w:r>
      <w:r>
        <w:rPr>
          <w:rFonts w:hint="eastAsia" w:ascii="黑体" w:hAnsi="黑体" w:eastAsia="黑体" w:cs="黑体"/>
          <w:b w:val="0"/>
          <w:bCs/>
          <w:color w:val="000000" w:themeColor="text1"/>
          <w:sz w:val="28"/>
          <w:szCs w:val="28"/>
          <w:lang w:val="en-US" w:eastAsia="zh-CN"/>
          <w14:textFill>
            <w14:solidFill>
              <w14:schemeClr w14:val="tx1"/>
            </w14:solidFill>
          </w14:textFill>
        </w:rPr>
        <w:t xml:space="preserve"> </w:t>
      </w:r>
      <w:r>
        <w:rPr>
          <w:rFonts w:hint="eastAsia" w:ascii="黑体" w:hAnsi="黑体" w:eastAsia="黑体" w:cs="黑体"/>
          <w:b w:val="0"/>
          <w:bCs/>
          <w:color w:val="000000" w:themeColor="text1"/>
          <w:sz w:val="28"/>
          <w:szCs w:val="28"/>
          <w14:textFill>
            <w14:solidFill>
              <w14:schemeClr w14:val="tx1"/>
            </w14:solidFill>
          </w14:textFill>
        </w:rPr>
        <w:t>名词解释</w:t>
      </w:r>
    </w:p>
    <w:p>
      <w:pPr>
        <w:pStyle w:val="15"/>
        <w:keepNext w:val="0"/>
        <w:keepLines w:val="0"/>
        <w:pageBreakBefore w:val="0"/>
        <w:kinsoku/>
        <w:wordWrap/>
        <w:overflowPunct/>
        <w:topLinePunct w:val="0"/>
        <w:bidi w:val="0"/>
        <w:spacing w:line="500" w:lineRule="exact"/>
        <w:jc w:val="both"/>
        <w:textAlignment w:val="auto"/>
        <w:rPr>
          <w:rFonts w:hint="eastAsia" w:ascii="黑体" w:hAnsi="黑体" w:eastAsia="黑体" w:cs="黑体"/>
          <w:b w:val="0"/>
          <w:bCs/>
          <w:color w:val="000000" w:themeColor="text1"/>
          <w:sz w:val="28"/>
          <w:szCs w:val="28"/>
          <w:lang w:eastAsia="zh-CN"/>
          <w14:textFill>
            <w14:solidFill>
              <w14:schemeClr w14:val="tx1"/>
            </w14:solidFill>
          </w14:textFill>
        </w:rPr>
      </w:pPr>
      <w:r>
        <w:rPr>
          <w:rFonts w:hint="eastAsia" w:ascii="黑体" w:hAnsi="黑体" w:eastAsia="黑体" w:cs="黑体"/>
          <w:b w:val="0"/>
          <w:bCs/>
          <w:color w:val="000000" w:themeColor="text1"/>
          <w:sz w:val="28"/>
          <w:szCs w:val="28"/>
          <w14:textFill>
            <w14:solidFill>
              <w14:schemeClr w14:val="tx1"/>
            </w14:solidFill>
          </w14:textFill>
        </w:rPr>
        <w:t>第</w:t>
      </w:r>
      <w:r>
        <w:rPr>
          <w:rFonts w:hint="eastAsia" w:hAnsi="黑体" w:cs="黑体"/>
          <w:b w:val="0"/>
          <w:bCs/>
          <w:color w:val="000000" w:themeColor="text1"/>
          <w:sz w:val="28"/>
          <w:szCs w:val="28"/>
          <w:lang w:eastAsia="zh-CN"/>
          <w14:textFill>
            <w14:solidFill>
              <w14:schemeClr w14:val="tx1"/>
            </w14:solidFill>
          </w14:textFill>
        </w:rPr>
        <w:t>五</w:t>
      </w:r>
      <w:r>
        <w:rPr>
          <w:rFonts w:hint="eastAsia" w:ascii="黑体" w:hAnsi="黑体" w:eastAsia="黑体" w:cs="黑体"/>
          <w:b w:val="0"/>
          <w:bCs/>
          <w:color w:val="000000" w:themeColor="text1"/>
          <w:sz w:val="28"/>
          <w:szCs w:val="28"/>
          <w14:textFill>
            <w14:solidFill>
              <w14:schemeClr w14:val="tx1"/>
            </w14:solidFill>
          </w14:textFill>
        </w:rPr>
        <w:t>部分</w:t>
      </w:r>
      <w:r>
        <w:rPr>
          <w:rFonts w:hint="eastAsia" w:ascii="黑体" w:hAnsi="黑体" w:eastAsia="黑体" w:cs="黑体"/>
          <w:b w:val="0"/>
          <w:bCs/>
          <w:color w:val="000000" w:themeColor="text1"/>
          <w:sz w:val="28"/>
          <w:szCs w:val="28"/>
          <w:lang w:val="en-US" w:eastAsia="zh-CN"/>
          <w14:textFill>
            <w14:solidFill>
              <w14:schemeClr w14:val="tx1"/>
            </w14:solidFill>
          </w14:textFill>
        </w:rPr>
        <w:t xml:space="preserve"> </w:t>
      </w:r>
      <w:r>
        <w:rPr>
          <w:rFonts w:hint="eastAsia" w:hAnsi="黑体" w:cs="黑体"/>
          <w:b w:val="0"/>
          <w:bCs/>
          <w:color w:val="000000" w:themeColor="text1"/>
          <w:sz w:val="28"/>
          <w:szCs w:val="28"/>
          <w:lang w:eastAsia="zh-CN"/>
          <w14:textFill>
            <w14:solidFill>
              <w14:schemeClr w14:val="tx1"/>
            </w14:solidFill>
          </w14:textFill>
        </w:rPr>
        <w:t>附件</w:t>
      </w:r>
    </w:p>
    <w:p>
      <w:pPr>
        <w:pStyle w:val="2"/>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2"/>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3"/>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2"/>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3"/>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2"/>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3"/>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2"/>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3"/>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2"/>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3"/>
        <w:keepNext w:val="0"/>
        <w:keepLines w:val="0"/>
        <w:pageBreakBefore w:val="0"/>
        <w:kinsoku/>
        <w:wordWrap/>
        <w:overflowPunct/>
        <w:topLinePunct w:val="0"/>
        <w:bidi w:val="0"/>
        <w:jc w:val="center"/>
        <w:textAlignment w:val="auto"/>
        <w:rPr>
          <w:rFonts w:hint="eastAsia"/>
          <w:color w:val="000000" w:themeColor="text1"/>
          <w14:textFill>
            <w14:solidFill>
              <w14:schemeClr w14:val="tx1"/>
            </w14:solidFill>
          </w14:textFill>
        </w:rPr>
      </w:pPr>
    </w:p>
    <w:p>
      <w:pPr>
        <w:pStyle w:val="3"/>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2"/>
        <w:keepNext w:val="0"/>
        <w:keepLines w:val="0"/>
        <w:pageBreakBefore w:val="0"/>
        <w:kinsoku/>
        <w:wordWrap/>
        <w:overflowPunct/>
        <w:topLinePunct w:val="0"/>
        <w:bidi w:val="0"/>
        <w:jc w:val="center"/>
        <w:textAlignment w:val="auto"/>
        <w:rPr>
          <w:rFonts w:hint="eastAsia"/>
          <w:color w:val="000000" w:themeColor="text1"/>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84"/>
          <w:szCs w:val="84"/>
          <w14:textFill>
            <w14:solidFill>
              <w14:schemeClr w14:val="tx1"/>
            </w14:solidFill>
          </w14:textFill>
        </w:rPr>
      </w:pPr>
      <w:r>
        <w:rPr>
          <w:rFonts w:hint="eastAsia" w:ascii="方正小标宋_GBK" w:hAnsi="方正小标宋_GBK" w:eastAsia="方正小标宋_GBK" w:cs="方正小标宋_GBK"/>
          <w:color w:val="000000" w:themeColor="text1"/>
          <w:sz w:val="72"/>
          <w:szCs w:val="72"/>
          <w14:textFill>
            <w14:solidFill>
              <w14:schemeClr w14:val="tx1"/>
            </w14:solidFill>
          </w14:textFill>
        </w:rPr>
        <w:t>第一部分</w:t>
      </w: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84"/>
          <w:szCs w:val="84"/>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84"/>
          <w:szCs w:val="84"/>
          <w14:textFill>
            <w14:solidFill>
              <w14:schemeClr w14:val="tx1"/>
            </w14:solidFill>
          </w14:textFill>
        </w:rPr>
      </w:pPr>
      <w:r>
        <w:rPr>
          <w:rFonts w:hint="default" w:ascii="方正小标宋_GBK" w:hAnsi="方正小标宋_GBK" w:eastAsia="方正小标宋_GBK" w:cs="方正小标宋_GBK"/>
          <w:color w:val="000000" w:themeColor="text1"/>
          <w:sz w:val="70"/>
          <w:szCs w:val="70"/>
          <w14:textFill>
            <w14:solidFill>
              <w14:schemeClr w14:val="tx1"/>
            </w14:solidFill>
          </w14:textFill>
        </w:rPr>
        <w:t>怀化市供销合作联合社</w:t>
      </w:r>
      <w:r>
        <w:rPr>
          <w:rFonts w:hint="eastAsia" w:ascii="方正小标宋_GBK" w:hAnsi="方正小标宋_GBK" w:eastAsia="方正小标宋_GBK" w:cs="方正小标宋_GBK"/>
          <w:color w:val="000000" w:themeColor="text1"/>
          <w:sz w:val="70"/>
          <w:szCs w:val="70"/>
          <w14:textFill>
            <w14:solidFill>
              <w14:schemeClr w14:val="tx1"/>
            </w14:solidFill>
          </w14:textFill>
        </w:rPr>
        <w:t>概况</w:t>
      </w:r>
    </w:p>
    <w:p>
      <w:pPr>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2"/>
        <w:keepNext w:val="0"/>
        <w:keepLines w:val="0"/>
        <w:pageBreakBefore w:val="0"/>
        <w:kinsoku/>
        <w:wordWrap/>
        <w:overflowPunct/>
        <w:topLinePunct w:val="0"/>
        <w:bidi w:val="0"/>
        <w:jc w:val="both"/>
        <w:textAlignment w:val="auto"/>
        <w:rPr>
          <w:color w:val="000000" w:themeColor="text1"/>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6"/>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p>
    <w:p>
      <w:pPr>
        <w:pStyle w:val="1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default" w:ascii="黑体" w:hAnsi="黑体" w:eastAsia="黑体" w:cs="黑体"/>
          <w:b w:val="0"/>
          <w:bCs w:val="0"/>
          <w:color w:val="000000" w:themeColor="text1"/>
          <w:sz w:val="32"/>
          <w:szCs w:val="32"/>
          <w14:textFill>
            <w14:solidFill>
              <w14:schemeClr w14:val="tx1"/>
            </w14:solidFill>
          </w14:textFill>
        </w:rPr>
        <w:t>一、</w:t>
      </w:r>
      <w:r>
        <w:rPr>
          <w:rFonts w:hint="eastAsia" w:ascii="黑体" w:hAnsi="黑体" w:eastAsia="黑体" w:cs="黑体"/>
          <w:b w:val="0"/>
          <w:bCs w:val="0"/>
          <w:color w:val="000000" w:themeColor="text1"/>
          <w:sz w:val="32"/>
          <w:szCs w:val="32"/>
          <w14:textFill>
            <w14:solidFill>
              <w14:schemeClr w14:val="tx1"/>
            </w14:solidFill>
          </w14:textFill>
        </w:rPr>
        <w:t>部门职责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ascii="Calibri" w:hAnsi="Calibri" w:cs="Calibri"/>
          <w:i w:val="0"/>
          <w:caps w:val="0"/>
          <w:color w:val="000000" w:themeColor="text1"/>
          <w:spacing w:val="0"/>
          <w:sz w:val="21"/>
          <w:szCs w:val="21"/>
          <w14:textFill>
            <w14:solidFill>
              <w14:schemeClr w14:val="tx1"/>
            </w14:solidFill>
          </w14:textFill>
        </w:rPr>
      </w:pPr>
      <w:r>
        <w:rPr>
          <w:rFonts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（一）贯彻执行国家、省有关农村经济工作的方针、政策、法规。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（二）研究拟定全市供销合作社的发展规划、体制改革方案；指导全市供销合作社的改革和发展，组织市供销社所属单位具体实施。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（三）根据市人民政府授权，指导全市有关农业生产资料和农副产品政策性业务经营工作。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（四）指导各级供销社开拓农</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村市场，推动全市供销社组织农民进入市场，发展农业产业化经营，为农业、农村和农民提供综合服务，建立和完善本系统为农业生产和农村经济发展服</w:t>
      </w: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务的体系；预测预报相关的市场信息。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（五）指导和监督供销社系统的资产管理，依法维护供销社的合法权益。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（六）指导供销社系统的科技开发和推广应用工作，推进科教兴社。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（七）研究制订市供销社直属单位人事、财务、资产的管理制度，并组织实施，确保社有资产的保值增值。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（八）指导供销社系统组织建设、队伍建设和干部、职工教育培训工作。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（九）承办市委、市人民政府交办的其他事项。</w:t>
      </w:r>
    </w:p>
    <w:p>
      <w:pPr>
        <w:keepNext w:val="0"/>
        <w:keepLines w:val="0"/>
        <w:pageBreakBefore w:val="0"/>
        <w:widowControl/>
        <w:kinsoku/>
        <w:wordWrap/>
        <w:overflowPunct/>
        <w:topLinePunct w:val="0"/>
        <w:autoSpaceDE/>
        <w:autoSpaceDN/>
        <w:bidi w:val="0"/>
        <w:adjustRightInd/>
        <w:snapToGrid/>
        <w:spacing w:line="600" w:lineRule="atLeast"/>
        <w:ind w:firstLine="640" w:firstLineChars="200"/>
        <w:jc w:val="both"/>
        <w:textAlignment w:val="auto"/>
        <w:rPr>
          <w:rFonts w:hint="eastAsia" w:ascii="黑体" w:hAnsi="黑体" w:eastAsia="黑体" w:cs="黑体"/>
          <w:b w:val="0"/>
          <w:bCs/>
          <w:color w:val="000000" w:themeColor="text1"/>
          <w:kern w:val="0"/>
          <w:sz w:val="32"/>
          <w:szCs w:val="32"/>
          <w14:textFill>
            <w14:solidFill>
              <w14:schemeClr w14:val="tx1"/>
            </w14:solidFill>
          </w14:textFill>
        </w:rPr>
      </w:pPr>
      <w:r>
        <w:rPr>
          <w:rFonts w:hint="eastAsia" w:ascii="黑体" w:hAnsi="黑体" w:eastAsia="黑体" w:cs="黑体"/>
          <w:b w:val="0"/>
          <w:bCs/>
          <w:color w:val="000000" w:themeColor="text1"/>
          <w:kern w:val="0"/>
          <w:sz w:val="32"/>
          <w:szCs w:val="32"/>
          <w14:textFill>
            <w14:solidFill>
              <w14:schemeClr w14:val="tx1"/>
            </w14:solidFill>
          </w14:textFill>
        </w:rPr>
        <w:t>二、机构设置及决算单位构成</w:t>
      </w:r>
    </w:p>
    <w:p>
      <w:pPr>
        <w:keepNext w:val="0"/>
        <w:keepLines w:val="0"/>
        <w:pageBreakBefore w:val="0"/>
        <w:widowControl/>
        <w:suppressLineNumbers w:val="0"/>
        <w:kinsoku/>
        <w:wordWrap/>
        <w:overflowPunct/>
        <w:topLinePunct w:val="0"/>
        <w:autoSpaceDE/>
        <w:autoSpaceDN/>
        <w:bidi w:val="0"/>
        <w:adjustRightInd/>
        <w:snapToGrid/>
        <w:spacing w:line="600" w:lineRule="atLeast"/>
        <w:ind w:firstLine="640" w:firstLineChars="200"/>
        <w:jc w:val="both"/>
        <w:textAlignment w:val="auto"/>
        <w:rPr>
          <w:color w:val="000000" w:themeColor="text1"/>
          <w14:textFill>
            <w14:solidFill>
              <w14:schemeClr w14:val="tx1"/>
            </w14:solidFill>
          </w14:textFill>
        </w:rPr>
      </w:pPr>
      <w:r>
        <w:rPr>
          <w:rFonts w:hint="eastAsia" w:ascii="Times New Roman" w:hAnsi="Times New Roman" w:eastAsia="仿宋_GB2312" w:cs="仿宋_GB2312"/>
          <w:bCs/>
          <w:color w:val="000000" w:themeColor="text1"/>
          <w:kern w:val="0"/>
          <w:sz w:val="32"/>
          <w:szCs w:val="32"/>
          <w14:textFill>
            <w14:solidFill>
              <w14:schemeClr w14:val="tx1"/>
            </w14:solidFill>
          </w14:textFill>
        </w:rPr>
        <w:t>（一）内设机构设置。</w:t>
      </w:r>
      <w:r>
        <w:rPr>
          <w:rFonts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怀化市供销合作联合社是一级部门预算单位，内设机构包括：</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办公室、财会科、合作安全科、经贸发展科、监督审计科（监事会办公室）、人事科、农村电子商务科，共7个科室。怀化市供销合作联合社编制数为29人。202</w:t>
      </w:r>
      <w:r>
        <w:rPr>
          <w:rFonts w:hint="default" w:ascii="仿宋_GB2312" w:hAnsi="宋体" w:eastAsia="仿宋_GB2312" w:cs="仿宋_GB2312"/>
          <w:i w:val="0"/>
          <w:caps w:val="0"/>
          <w:color w:val="000000" w:themeColor="text1"/>
          <w:spacing w:val="0"/>
          <w:kern w:val="0"/>
          <w:sz w:val="32"/>
          <w:szCs w:val="32"/>
          <w:shd w:val="clear" w:fill="FFFFFF"/>
          <w:lang w:eastAsia="zh-CN" w:bidi="ar"/>
          <w14:textFill>
            <w14:solidFill>
              <w14:schemeClr w14:val="tx1"/>
            </w14:solidFill>
          </w14:textFill>
        </w:rPr>
        <w:t>3</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年底在职人员2</w:t>
      </w:r>
      <w:r>
        <w:rPr>
          <w:rFonts w:hint="default" w:ascii="仿宋_GB2312" w:hAnsi="宋体" w:eastAsia="仿宋_GB2312" w:cs="仿宋_GB2312"/>
          <w:i w:val="0"/>
          <w:caps w:val="0"/>
          <w:color w:val="000000" w:themeColor="text1"/>
          <w:spacing w:val="0"/>
          <w:kern w:val="0"/>
          <w:sz w:val="32"/>
          <w:szCs w:val="32"/>
          <w:shd w:val="clear" w:fill="FFFFFF"/>
          <w:lang w:eastAsia="zh-CN" w:bidi="ar"/>
          <w14:textFill>
            <w14:solidFill>
              <w14:schemeClr w14:val="tx1"/>
            </w14:solidFill>
          </w14:textFill>
        </w:rPr>
        <w:t>8</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人，离退休人员</w:t>
      </w:r>
      <w:r>
        <w:rPr>
          <w:rFonts w:hint="default" w:ascii="仿宋_GB2312" w:hAnsi="宋体" w:eastAsia="仿宋_GB2312" w:cs="仿宋_GB2312"/>
          <w:i w:val="0"/>
          <w:caps w:val="0"/>
          <w:color w:val="000000" w:themeColor="text1"/>
          <w:spacing w:val="0"/>
          <w:kern w:val="0"/>
          <w:sz w:val="32"/>
          <w:szCs w:val="32"/>
          <w:shd w:val="clear" w:fill="FFFFFF"/>
          <w:lang w:eastAsia="zh-CN" w:bidi="ar"/>
          <w14:textFill>
            <w14:solidFill>
              <w14:schemeClr w14:val="tx1"/>
            </w14:solidFill>
          </w14:textFill>
        </w:rPr>
        <w:t>39</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人，合计6</w:t>
      </w:r>
      <w:r>
        <w:rPr>
          <w:rFonts w:hint="default" w:ascii="仿宋_GB2312" w:hAnsi="宋体" w:eastAsia="仿宋_GB2312" w:cs="仿宋_GB2312"/>
          <w:i w:val="0"/>
          <w:caps w:val="0"/>
          <w:color w:val="000000" w:themeColor="text1"/>
          <w:spacing w:val="0"/>
          <w:kern w:val="0"/>
          <w:sz w:val="32"/>
          <w:szCs w:val="32"/>
          <w:shd w:val="clear" w:fill="FFFFFF"/>
          <w:lang w:eastAsia="zh-CN" w:bidi="ar"/>
          <w14:textFill>
            <w14:solidFill>
              <w14:schemeClr w14:val="tx1"/>
            </w14:solidFill>
          </w14:textFill>
        </w:rPr>
        <w:t>7</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人。</w:t>
      </w:r>
    </w:p>
    <w:p>
      <w:pPr>
        <w:keepNext w:val="0"/>
        <w:keepLines w:val="0"/>
        <w:pageBreakBefore w:val="0"/>
        <w:widowControl/>
        <w:suppressLineNumbers w:val="0"/>
        <w:kinsoku/>
        <w:wordWrap/>
        <w:overflowPunct/>
        <w:topLinePunct w:val="0"/>
        <w:autoSpaceDE/>
        <w:autoSpaceDN/>
        <w:bidi w:val="0"/>
        <w:adjustRightInd/>
        <w:snapToGrid/>
        <w:spacing w:line="600" w:lineRule="atLeast"/>
        <w:ind w:firstLine="640" w:firstLineChars="200"/>
        <w:jc w:val="both"/>
        <w:textAlignment w:val="auto"/>
        <w:rPr>
          <w:color w:val="000000" w:themeColor="text1"/>
          <w14:textFill>
            <w14:solidFill>
              <w14:schemeClr w14:val="tx1"/>
            </w14:solidFill>
          </w14:textFill>
        </w:rPr>
      </w:pPr>
      <w:r>
        <w:rPr>
          <w:rFonts w:hint="eastAsia" w:ascii="Times New Roman" w:hAnsi="Times New Roman" w:eastAsia="仿宋_GB2312" w:cs="仿宋_GB2312"/>
          <w:bCs/>
          <w:color w:val="000000" w:themeColor="text1"/>
          <w:kern w:val="0"/>
          <w:sz w:val="32"/>
          <w:szCs w:val="32"/>
          <w14:textFill>
            <w14:solidFill>
              <w14:schemeClr w14:val="tx1"/>
            </w14:solidFill>
          </w14:textFill>
        </w:rPr>
        <w:t>（二）决算单位构成。</w:t>
      </w:r>
      <w:r>
        <w:rPr>
          <w:rFonts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怀化市供销合作联合社</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2022年部门决算汇总公开单位构成包括：怀化市供销合作联合社本级。</w:t>
      </w:r>
    </w:p>
    <w:p>
      <w:pPr>
        <w:keepNext w:val="0"/>
        <w:keepLines w:val="0"/>
        <w:pageBreakBefore w:val="0"/>
        <w:widowControl/>
        <w:kinsoku/>
        <w:wordWrap/>
        <w:overflowPunct/>
        <w:topLinePunct w:val="0"/>
        <w:bidi w:val="0"/>
        <w:spacing w:line="600" w:lineRule="exact"/>
        <w:jc w:val="both"/>
        <w:textAlignment w:val="auto"/>
        <w:rPr>
          <w:rFonts w:hint="eastAsia" w:ascii="Times New Roman" w:hAnsi="Times New Roman" w:eastAsia="仿宋_GB2312" w:cs="仿宋_GB2312"/>
          <w:bCs/>
          <w:color w:val="000000" w:themeColor="text1"/>
          <w:kern w:val="0"/>
          <w:sz w:val="32"/>
          <w:szCs w:val="32"/>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84"/>
          <w:szCs w:val="84"/>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84"/>
          <w:szCs w:val="84"/>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r>
        <w:rPr>
          <w:rFonts w:hint="eastAsia" w:ascii="方正小标宋_GBK" w:hAnsi="方正小标宋_GBK" w:eastAsia="方正小标宋_GBK" w:cs="方正小标宋_GBK"/>
          <w:color w:val="000000" w:themeColor="text1"/>
          <w:sz w:val="72"/>
          <w:szCs w:val="72"/>
          <w14:textFill>
            <w14:solidFill>
              <w14:schemeClr w14:val="tx1"/>
            </w14:solidFill>
          </w14:textFill>
        </w:rPr>
        <w:t>第二部分</w:t>
      </w: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0"/>
          <w:szCs w:val="70"/>
          <w14:textFill>
            <w14:solidFill>
              <w14:schemeClr w14:val="tx1"/>
            </w14:solidFill>
          </w14:textFill>
        </w:rPr>
      </w:pPr>
      <w:r>
        <w:rPr>
          <w:rFonts w:hint="eastAsia" w:ascii="方正小标宋_GBK" w:hAnsi="方正小标宋_GBK" w:eastAsia="方正小标宋_GBK" w:cs="方正小标宋_GBK"/>
          <w:color w:val="000000" w:themeColor="text1"/>
          <w:sz w:val="70"/>
          <w:szCs w:val="70"/>
          <w14:textFill>
            <w14:solidFill>
              <w14:schemeClr w14:val="tx1"/>
            </w14:solidFill>
          </w14:textFill>
        </w:rPr>
        <w:t>部门决算表</w:t>
      </w:r>
    </w:p>
    <w:p>
      <w:pPr>
        <w:pStyle w:val="15"/>
        <w:keepNext w:val="0"/>
        <w:keepLines w:val="0"/>
        <w:pageBreakBefore w:val="0"/>
        <w:kinsoku/>
        <w:wordWrap/>
        <w:overflowPunct/>
        <w:topLinePunct w:val="0"/>
        <w:bidi w:val="0"/>
        <w:jc w:val="center"/>
        <w:textAlignment w:val="auto"/>
        <w:rPr>
          <w:rFonts w:hint="eastAsia" w:ascii="方正仿宋_GBK" w:hAnsi="方正仿宋_GBK" w:eastAsia="方正仿宋_GBK" w:cs="方正仿宋_GBK"/>
          <w:color w:val="000000" w:themeColor="text1"/>
          <w:sz w:val="52"/>
          <w:szCs w:val="52"/>
          <w14:textFill>
            <w14:solidFill>
              <w14:schemeClr w14:val="tx1"/>
            </w14:solidFill>
          </w14:textFill>
        </w:rPr>
      </w:pPr>
      <w:r>
        <w:rPr>
          <w:rFonts w:hint="eastAsia" w:ascii="方正仿宋_GBK" w:hAnsi="方正仿宋_GBK" w:eastAsia="方正仿宋_GBK" w:cs="方正仿宋_GBK"/>
          <w:color w:val="000000" w:themeColor="text1"/>
          <w:sz w:val="52"/>
          <w:szCs w:val="52"/>
          <w14:textFill>
            <w14:solidFill>
              <w14:schemeClr w14:val="tx1"/>
            </w14:solidFill>
          </w14:textFill>
        </w:rPr>
        <w:t>(见附件)</w:t>
      </w: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color w:val="000000" w:themeColor="text1"/>
          <w:sz w:val="32"/>
          <w:szCs w:val="32"/>
          <w14:textFill>
            <w14:solidFill>
              <w14:schemeClr w14:val="tx1"/>
            </w14:solidFill>
          </w14:textFill>
        </w:rPr>
      </w:pPr>
    </w:p>
    <w:p>
      <w:pPr>
        <w:keepNext w:val="0"/>
        <w:keepLines w:val="0"/>
        <w:pageBreakBefore w:val="0"/>
        <w:kinsoku/>
        <w:wordWrap/>
        <w:overflowPunct/>
        <w:topLinePunct w:val="0"/>
        <w:bidi w:val="0"/>
        <w:jc w:val="both"/>
        <w:textAlignment w:val="auto"/>
        <w:rPr>
          <w:rFonts w:asciiTheme="minorEastAsia" w:hAnsiTheme="minorEastAsia"/>
          <w:color w:val="000000" w:themeColor="text1"/>
          <w:sz w:val="32"/>
          <w:szCs w:val="32"/>
          <w14:textFill>
            <w14:solidFill>
              <w14:schemeClr w14:val="tx1"/>
            </w14:solidFill>
          </w14:textFill>
        </w:rPr>
        <w:sectPr>
          <w:pgSz w:w="11906" w:h="16838"/>
          <w:pgMar w:top="720" w:right="720" w:bottom="720" w:left="720" w:header="851" w:footer="992" w:gutter="0"/>
          <w:cols w:space="425" w:num="1"/>
          <w:docGrid w:type="lines" w:linePitch="312" w:charSpace="0"/>
        </w:sect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r>
        <w:rPr>
          <w:rFonts w:hint="eastAsia" w:ascii="方正小标宋_GBK" w:hAnsi="方正小标宋_GBK" w:eastAsia="方正小标宋_GBK" w:cs="方正小标宋_GBK"/>
          <w:color w:val="000000" w:themeColor="text1"/>
          <w:sz w:val="72"/>
          <w:szCs w:val="72"/>
          <w14:textFill>
            <w14:solidFill>
              <w14:schemeClr w14:val="tx1"/>
            </w14:solidFill>
          </w14:textFill>
        </w:rPr>
        <w:t>第三部分</w:t>
      </w: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0"/>
          <w:szCs w:val="70"/>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0"/>
          <w:szCs w:val="70"/>
          <w14:textFill>
            <w14:solidFill>
              <w14:schemeClr w14:val="tx1"/>
            </w14:solidFill>
          </w14:textFill>
        </w:rPr>
      </w:pPr>
      <w:r>
        <w:rPr>
          <w:rFonts w:hint="eastAsia" w:ascii="方正小标宋_GBK" w:hAnsi="方正小标宋_GBK" w:eastAsia="方正小标宋_GBK" w:cs="方正小标宋_GBK"/>
          <w:color w:val="000000" w:themeColor="text1"/>
          <w:sz w:val="70"/>
          <w:szCs w:val="70"/>
          <w14:textFill>
            <w14:solidFill>
              <w14:schemeClr w14:val="tx1"/>
            </w14:solidFill>
          </w14:textFill>
        </w:rPr>
        <w:t>202</w:t>
      </w:r>
      <w:r>
        <w:rPr>
          <w:rFonts w:hint="eastAsia" w:ascii="方正小标宋_GBK" w:hAnsi="方正小标宋_GBK" w:eastAsia="方正小标宋_GBK" w:cs="方正小标宋_GBK"/>
          <w:color w:val="000000" w:themeColor="text1"/>
          <w:sz w:val="70"/>
          <w:szCs w:val="70"/>
          <w:lang w:val="en-US" w:eastAsia="zh-CN"/>
          <w14:textFill>
            <w14:solidFill>
              <w14:schemeClr w14:val="tx1"/>
            </w14:solidFill>
          </w14:textFill>
        </w:rPr>
        <w:t>3</w:t>
      </w:r>
      <w:r>
        <w:rPr>
          <w:rFonts w:hint="eastAsia" w:ascii="方正小标宋_GBK" w:hAnsi="方正小标宋_GBK" w:eastAsia="方正小标宋_GBK" w:cs="方正小标宋_GBK"/>
          <w:color w:val="000000" w:themeColor="text1"/>
          <w:sz w:val="70"/>
          <w:szCs w:val="70"/>
          <w14:textFill>
            <w14:solidFill>
              <w14:schemeClr w14:val="tx1"/>
            </w14:solidFill>
          </w14:textFill>
        </w:rPr>
        <w:t>年度部门决算情况说明</w:t>
      </w:r>
    </w:p>
    <w:p>
      <w:pPr>
        <w:keepNext w:val="0"/>
        <w:keepLines w:val="0"/>
        <w:pageBreakBefore w:val="0"/>
        <w:widowControl/>
        <w:kinsoku/>
        <w:wordWrap/>
        <w:overflowPunct/>
        <w:topLinePunct w:val="0"/>
        <w:bidi w:val="0"/>
        <w:jc w:val="both"/>
        <w:textAlignment w:val="auto"/>
        <w:rPr>
          <w:rFonts w:asciiTheme="minorEastAsia" w:hAnsiTheme="minorEastAsia" w:eastAsiaTheme="minorEastAsia"/>
          <w:color w:val="000000" w:themeColor="text1"/>
          <w:sz w:val="32"/>
          <w:szCs w:val="32"/>
          <w14:textFill>
            <w14:solidFill>
              <w14:schemeClr w14:val="tx1"/>
            </w14:solidFill>
          </w14:textFill>
        </w:rPr>
      </w:pPr>
      <w:r>
        <w:rPr>
          <w:rFonts w:hint="eastAsia" w:ascii="方正小标宋_GBK" w:hAnsi="方正小标宋_GBK" w:eastAsia="方正小标宋_GBK" w:cs="方正小标宋_GBK"/>
          <w:color w:val="000000" w:themeColor="text1"/>
          <w:sz w:val="70"/>
          <w:szCs w:val="70"/>
          <w14:textFill>
            <w14:solidFill>
              <w14:schemeClr w14:val="tx1"/>
            </w14:solidFill>
          </w14:textFill>
        </w:rPr>
        <w:br w:type="page"/>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一、收入支出决算总体情况说明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年度收、支总计</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万元。与上年相比，减少</w:t>
      </w:r>
      <w:r>
        <w:rPr>
          <w:rFonts w:hint="default" w:ascii="Times New Roman" w:hAnsi="Times New Roman" w:eastAsia="仿宋_GB2312"/>
          <w:color w:val="000000" w:themeColor="text1"/>
          <w:sz w:val="32"/>
          <w:szCs w:val="32"/>
          <w14:textFill>
            <w14:solidFill>
              <w14:schemeClr w14:val="tx1"/>
            </w14:solidFill>
          </w14:textFill>
        </w:rPr>
        <w:t>58.69</w:t>
      </w:r>
      <w:r>
        <w:rPr>
          <w:rFonts w:hint="eastAsia" w:ascii="Times New Roman" w:hAnsi="Times New Roman" w:eastAsia="仿宋_GB2312"/>
          <w:color w:val="000000" w:themeColor="text1"/>
          <w:sz w:val="32"/>
          <w:szCs w:val="32"/>
          <w14:textFill>
            <w14:solidFill>
              <w14:schemeClr w14:val="tx1"/>
            </w14:solidFill>
          </w14:textFill>
        </w:rPr>
        <w:t>万元，减少</w:t>
      </w:r>
      <w:r>
        <w:rPr>
          <w:rFonts w:hint="default" w:ascii="Times New Roman" w:hAnsi="Times New Roman" w:eastAsia="仿宋_GB2312"/>
          <w:color w:val="000000" w:themeColor="text1"/>
          <w:sz w:val="32"/>
          <w:szCs w:val="32"/>
          <w14:textFill>
            <w14:solidFill>
              <w14:schemeClr w14:val="tx1"/>
            </w14:solidFill>
          </w14:textFill>
        </w:rPr>
        <w:t>6.86</w:t>
      </w:r>
      <w:r>
        <w:rPr>
          <w:rFonts w:hint="eastAsia" w:ascii="Times New Roman" w:hAnsi="Times New Roman" w:eastAsia="仿宋_GB2312"/>
          <w:color w:val="000000" w:themeColor="text1"/>
          <w:sz w:val="32"/>
          <w:szCs w:val="32"/>
          <w14:textFill>
            <w14:solidFill>
              <w14:schemeClr w14:val="tx1"/>
            </w14:solidFill>
          </w14:textFill>
        </w:rPr>
        <w:t>%，主要是</w:t>
      </w:r>
      <w:r>
        <w:rPr>
          <w:rFonts w:hint="default" w:ascii="Times New Roman" w:hAnsi="Times New Roman" w:eastAsia="仿宋_GB2312"/>
          <w:color w:val="000000" w:themeColor="text1"/>
          <w:sz w:val="32"/>
          <w:szCs w:val="32"/>
          <w14:textFill>
            <w14:solidFill>
              <w14:schemeClr w14:val="tx1"/>
            </w14:solidFill>
          </w14:textFill>
        </w:rPr>
        <w:t>因为</w:t>
      </w:r>
      <w:r>
        <w:rPr>
          <w:rFonts w:hint="eastAsia" w:ascii="Times New Roman" w:hAnsi="Times New Roman" w:eastAsia="仿宋_GB2312"/>
          <w:color w:val="000000" w:themeColor="text1"/>
          <w:sz w:val="32"/>
          <w:szCs w:val="32"/>
          <w14:textFill>
            <w14:solidFill>
              <w14:schemeClr w14:val="tx1"/>
            </w14:solidFill>
          </w14:textFill>
        </w:rPr>
        <w:t>专项经费较上年减少，其中供销社综合改革经费压22万、“怀橙”品牌推介压减6万，电子商务平台支出压减7.5万；同时较上年减少了疫情防控支出。</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二、收入决算情况说明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年度收入合计</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万元，其中：财政拨款收入</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100</w:t>
      </w:r>
      <w:r>
        <w:rPr>
          <w:rFonts w:hint="eastAsia" w:ascii="Times New Roman" w:hAnsi="Times New Roman" w:eastAsia="仿宋_GB2312"/>
          <w:color w:val="000000" w:themeColor="text1"/>
          <w:sz w:val="32"/>
          <w:szCs w:val="32"/>
          <w14:textFill>
            <w14:solidFill>
              <w14:schemeClr w14:val="tx1"/>
            </w14:solidFill>
          </w14:textFill>
        </w:rPr>
        <w:t>%；上级补助收入</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%；事业收入</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%；经营收入</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%；附属单位上缴收入</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%；其他收入</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三、支出决算情况说明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年度支出合计</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万元，其中：基本支出</w:t>
      </w:r>
      <w:r>
        <w:rPr>
          <w:rFonts w:hint="default" w:ascii="Times New Roman" w:hAnsi="Times New Roman" w:eastAsia="仿宋_GB2312"/>
          <w:color w:val="000000" w:themeColor="text1"/>
          <w:sz w:val="32"/>
          <w:szCs w:val="32"/>
          <w14:textFill>
            <w14:solidFill>
              <w14:schemeClr w14:val="tx1"/>
            </w14:solidFill>
          </w14:textFill>
        </w:rPr>
        <w:t>546.87</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68.67</w:t>
      </w:r>
      <w:r>
        <w:rPr>
          <w:rFonts w:hint="eastAsia" w:ascii="Times New Roman" w:hAnsi="Times New Roman" w:eastAsia="仿宋_GB2312"/>
          <w:color w:val="000000" w:themeColor="text1"/>
          <w:sz w:val="32"/>
          <w:szCs w:val="32"/>
          <w14:textFill>
            <w14:solidFill>
              <w14:schemeClr w14:val="tx1"/>
            </w14:solidFill>
          </w14:textFill>
        </w:rPr>
        <w:t>%；项目支出</w:t>
      </w:r>
      <w:r>
        <w:rPr>
          <w:rFonts w:hint="default" w:ascii="Times New Roman" w:hAnsi="Times New Roman" w:eastAsia="仿宋_GB2312"/>
          <w:color w:val="000000" w:themeColor="text1"/>
          <w:sz w:val="32"/>
          <w:szCs w:val="32"/>
          <w14:textFill>
            <w14:solidFill>
              <w14:schemeClr w14:val="tx1"/>
            </w14:solidFill>
          </w14:textFill>
        </w:rPr>
        <w:t>249.48</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31.33</w:t>
      </w:r>
      <w:r>
        <w:rPr>
          <w:rFonts w:hint="eastAsia" w:ascii="Times New Roman" w:hAnsi="Times New Roman" w:eastAsia="仿宋_GB2312"/>
          <w:color w:val="000000" w:themeColor="text1"/>
          <w:sz w:val="32"/>
          <w:szCs w:val="32"/>
          <w14:textFill>
            <w14:solidFill>
              <w14:schemeClr w14:val="tx1"/>
            </w14:solidFill>
          </w14:textFill>
        </w:rPr>
        <w:t>%；上缴上级支出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%；经营支出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%；对附属单位补助支出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四、财政拨款收入支出决算总体情况说明</w:t>
      </w:r>
    </w:p>
    <w:p>
      <w:pPr>
        <w:pStyle w:val="15"/>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 xml:space="preserve">    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年度财政拨款收、支总计</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万元，与上年相比，减少</w:t>
      </w:r>
      <w:r>
        <w:rPr>
          <w:rFonts w:hint="default" w:ascii="Times New Roman" w:hAnsi="Times New Roman" w:eastAsia="仿宋_GB2312"/>
          <w:color w:val="000000" w:themeColor="text1"/>
          <w:sz w:val="32"/>
          <w:szCs w:val="32"/>
          <w14:textFill>
            <w14:solidFill>
              <w14:schemeClr w14:val="tx1"/>
            </w14:solidFill>
          </w14:textFill>
        </w:rPr>
        <w:t>58.69</w:t>
      </w:r>
      <w:r>
        <w:rPr>
          <w:rFonts w:hint="eastAsia" w:ascii="Times New Roman" w:hAnsi="Times New Roman" w:eastAsia="仿宋_GB2312"/>
          <w:color w:val="000000" w:themeColor="text1"/>
          <w:sz w:val="32"/>
          <w:szCs w:val="32"/>
          <w14:textFill>
            <w14:solidFill>
              <w14:schemeClr w14:val="tx1"/>
            </w14:solidFill>
          </w14:textFill>
        </w:rPr>
        <w:t>万元</w:t>
      </w:r>
      <w:r>
        <w:rPr>
          <w:rFonts w:hint="default"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减少</w:t>
      </w:r>
      <w:r>
        <w:rPr>
          <w:rFonts w:hint="default" w:ascii="Times New Roman" w:hAnsi="Times New Roman" w:eastAsia="仿宋_GB2312"/>
          <w:color w:val="000000" w:themeColor="text1"/>
          <w:sz w:val="32"/>
          <w:szCs w:val="32"/>
          <w14:textFill>
            <w14:solidFill>
              <w14:schemeClr w14:val="tx1"/>
            </w14:solidFill>
          </w14:textFill>
        </w:rPr>
        <w:t>6.86</w:t>
      </w:r>
      <w:r>
        <w:rPr>
          <w:rFonts w:hint="eastAsia" w:ascii="Times New Roman" w:hAnsi="Times New Roman" w:eastAsia="仿宋_GB2312"/>
          <w:color w:val="000000" w:themeColor="text1"/>
          <w:sz w:val="32"/>
          <w:szCs w:val="32"/>
          <w14:textFill>
            <w14:solidFill>
              <w14:schemeClr w14:val="tx1"/>
            </w14:solidFill>
          </w14:textFill>
        </w:rPr>
        <w:t>%，主要是因为专项经费较上年减少，其中供销社综合改革经费压22万、“怀橙”品牌推介压减6万，电子商务平台支出压减7.5万；同时较上年减少了疫情防控支出。</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五、一般公共预算财政拨款支出决算情况说明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val="0"/>
          <w:bCs/>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14:textFill>
            <w14:solidFill>
              <w14:schemeClr w14:val="tx1"/>
            </w14:solidFill>
          </w14:textFill>
        </w:rPr>
        <w:t>（一）一般公共预算财政拨款支出决算总体情况</w:t>
      </w:r>
    </w:p>
    <w:p>
      <w:pPr>
        <w:pStyle w:val="15"/>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年度财政拨款支出</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万元，占本年支出合计的</w:t>
      </w:r>
      <w:r>
        <w:rPr>
          <w:rFonts w:hint="default" w:ascii="Times New Roman" w:hAnsi="Times New Roman" w:eastAsia="仿宋_GB2312"/>
          <w:color w:val="000000" w:themeColor="text1"/>
          <w:sz w:val="32"/>
          <w:szCs w:val="32"/>
          <w14:textFill>
            <w14:solidFill>
              <w14:schemeClr w14:val="tx1"/>
            </w14:solidFill>
          </w14:textFill>
        </w:rPr>
        <w:t>100</w:t>
      </w:r>
      <w:r>
        <w:rPr>
          <w:rFonts w:hint="eastAsia" w:ascii="Times New Roman" w:hAnsi="Times New Roman" w:eastAsia="仿宋_GB2312"/>
          <w:color w:val="000000" w:themeColor="text1"/>
          <w:sz w:val="32"/>
          <w:szCs w:val="32"/>
          <w14:textFill>
            <w14:solidFill>
              <w14:schemeClr w14:val="tx1"/>
            </w14:solidFill>
          </w14:textFill>
        </w:rPr>
        <w:t>%，与上年相比，财政拨款支出减少</w:t>
      </w:r>
      <w:r>
        <w:rPr>
          <w:rFonts w:hint="default" w:ascii="Times New Roman" w:hAnsi="Times New Roman" w:eastAsia="仿宋_GB2312"/>
          <w:color w:val="000000" w:themeColor="text1"/>
          <w:sz w:val="32"/>
          <w:szCs w:val="32"/>
          <w14:textFill>
            <w14:solidFill>
              <w14:schemeClr w14:val="tx1"/>
            </w14:solidFill>
          </w14:textFill>
        </w:rPr>
        <w:t>58.69</w:t>
      </w:r>
      <w:r>
        <w:rPr>
          <w:rFonts w:hint="eastAsia" w:ascii="Times New Roman" w:hAnsi="Times New Roman" w:eastAsia="仿宋_GB2312"/>
          <w:color w:val="000000" w:themeColor="text1"/>
          <w:sz w:val="32"/>
          <w:szCs w:val="32"/>
          <w14:textFill>
            <w14:solidFill>
              <w14:schemeClr w14:val="tx1"/>
            </w14:solidFill>
          </w14:textFill>
        </w:rPr>
        <w:t>万元，减少</w:t>
      </w:r>
      <w:r>
        <w:rPr>
          <w:rFonts w:hint="default" w:ascii="Times New Roman" w:hAnsi="Times New Roman" w:eastAsia="仿宋_GB2312"/>
          <w:color w:val="000000" w:themeColor="text1"/>
          <w:sz w:val="32"/>
          <w:szCs w:val="32"/>
          <w14:textFill>
            <w14:solidFill>
              <w14:schemeClr w14:val="tx1"/>
            </w14:solidFill>
          </w14:textFill>
        </w:rPr>
        <w:t>6.86</w:t>
      </w:r>
      <w:r>
        <w:rPr>
          <w:rFonts w:hint="eastAsia" w:ascii="Times New Roman" w:hAnsi="Times New Roman" w:eastAsia="仿宋_GB2312"/>
          <w:color w:val="000000" w:themeColor="text1"/>
          <w:sz w:val="32"/>
          <w:szCs w:val="32"/>
          <w14:textFill>
            <w14:solidFill>
              <w14:schemeClr w14:val="tx1"/>
            </w14:solidFill>
          </w14:textFill>
        </w:rPr>
        <w:t>%，主要是因为专项经费较上年减少，其中供销社综合改革经费压22万、“怀橙”品牌推介压减6万，电子商务平台支出压减7.5万；同时较上年减少了疫情防控支出。</w:t>
      </w:r>
    </w:p>
    <w:p>
      <w:pPr>
        <w:pStyle w:val="15"/>
        <w:keepNext w:val="0"/>
        <w:keepLines w:val="0"/>
        <w:pageBreakBefore w:val="0"/>
        <w:widowControl w:val="0"/>
        <w:numPr>
          <w:ilvl w:val="0"/>
          <w:numId w:val="1"/>
        </w:numPr>
        <w:kinsoku/>
        <w:wordWrap/>
        <w:overflowPunct/>
        <w:topLinePunct w:val="0"/>
        <w:bidi w:val="0"/>
        <w:snapToGrid/>
        <w:spacing w:line="600" w:lineRule="exact"/>
        <w:ind w:firstLine="800" w:firstLineChars="250"/>
        <w:jc w:val="both"/>
        <w:textAlignment w:val="auto"/>
        <w:rPr>
          <w:rFonts w:hint="eastAsia" w:ascii="楷体" w:hAnsi="楷体" w:eastAsia="楷体" w:cs="楷体"/>
          <w:b w:val="0"/>
          <w:bCs/>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14:textFill>
            <w14:solidFill>
              <w14:schemeClr w14:val="tx1"/>
            </w14:solidFill>
          </w14:textFill>
        </w:rPr>
        <w:t>一般公共预算财政拨款支出决算结构情况</w:t>
      </w:r>
    </w:p>
    <w:p>
      <w:pPr>
        <w:pStyle w:val="15"/>
        <w:keepNext w:val="0"/>
        <w:keepLines w:val="0"/>
        <w:pageBreakBefore w:val="0"/>
        <w:widowControl w:val="0"/>
        <w:numPr>
          <w:numId w:val="0"/>
        </w:numPr>
        <w:kinsoku/>
        <w:wordWrap/>
        <w:overflowPunct/>
        <w:topLinePunct w:val="0"/>
        <w:bidi w:val="0"/>
        <w:snapToGrid/>
        <w:spacing w:line="600" w:lineRule="exact"/>
        <w:ind w:firstLine="640" w:firstLineChars="200"/>
        <w:jc w:val="both"/>
        <w:textAlignment w:val="auto"/>
        <w:rPr>
          <w:color w:val="000000" w:themeColor="text1"/>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年度财政拨款支出</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万元，主要用于以下方面：</w:t>
      </w:r>
      <w:r>
        <w:rPr>
          <w:rFonts w:hint="eastAsia" w:ascii="Times New Roman" w:hAnsi="Times New Roman" w:eastAsia="仿宋_GB2312"/>
          <w:color w:val="000000" w:themeColor="text1"/>
          <w:sz w:val="32"/>
          <w:szCs w:val="32"/>
          <w:lang w:val="en-US" w:eastAsia="zh-CN"/>
          <w14:textFill>
            <w14:solidFill>
              <w14:schemeClr w14:val="tx1"/>
            </w14:solidFill>
          </w14:textFill>
        </w:rPr>
        <w:t>社会保障和就业（类）支出</w:t>
      </w:r>
      <w:r>
        <w:rPr>
          <w:rFonts w:hint="default" w:ascii="Times New Roman" w:hAnsi="Times New Roman" w:eastAsia="仿宋_GB2312"/>
          <w:color w:val="000000" w:themeColor="text1"/>
          <w:sz w:val="32"/>
          <w:szCs w:val="32"/>
          <w:lang w:eastAsia="zh-CN"/>
          <w14:textFill>
            <w14:solidFill>
              <w14:schemeClr w14:val="tx1"/>
            </w14:solidFill>
          </w14:textFill>
        </w:rPr>
        <w:t>116.35</w:t>
      </w:r>
      <w:r>
        <w:rPr>
          <w:rFonts w:hint="eastAsia" w:ascii="Times New Roman" w:hAnsi="Times New Roman" w:eastAsia="仿宋_GB2312"/>
          <w:color w:val="000000" w:themeColor="text1"/>
          <w:sz w:val="32"/>
          <w:szCs w:val="32"/>
          <w:lang w:val="en-US" w:eastAsia="zh-CN"/>
          <w14:textFill>
            <w14:solidFill>
              <w14:schemeClr w14:val="tx1"/>
            </w14:solidFill>
          </w14:textFill>
        </w:rPr>
        <w:t>万元，占</w:t>
      </w:r>
      <w:r>
        <w:rPr>
          <w:rFonts w:hint="default" w:ascii="Times New Roman" w:hAnsi="Times New Roman" w:eastAsia="仿宋_GB2312"/>
          <w:color w:val="000000" w:themeColor="text1"/>
          <w:sz w:val="32"/>
          <w:szCs w:val="32"/>
          <w:lang w:eastAsia="zh-CN"/>
          <w14:textFill>
            <w14:solidFill>
              <w14:schemeClr w14:val="tx1"/>
            </w14:solidFill>
          </w14:textFill>
        </w:rPr>
        <w:t>14.61</w:t>
      </w:r>
      <w:r>
        <w:rPr>
          <w:rFonts w:hint="eastAsia" w:ascii="Times New Roman" w:hAnsi="Times New Roman" w:eastAsia="仿宋_GB2312"/>
          <w:color w:val="000000" w:themeColor="text1"/>
          <w:sz w:val="32"/>
          <w:szCs w:val="32"/>
          <w:lang w:val="en-US" w:eastAsia="zh-CN"/>
          <w14:textFill>
            <w14:solidFill>
              <w14:schemeClr w14:val="tx1"/>
            </w14:solidFill>
          </w14:textFill>
        </w:rPr>
        <w:t>%；卫生健康（类）支出</w:t>
      </w:r>
      <w:r>
        <w:rPr>
          <w:rFonts w:hint="default" w:ascii="Times New Roman" w:hAnsi="Times New Roman" w:eastAsia="仿宋_GB2312"/>
          <w:color w:val="000000" w:themeColor="text1"/>
          <w:sz w:val="32"/>
          <w:szCs w:val="32"/>
          <w:lang w:eastAsia="zh-CN"/>
          <w14:textFill>
            <w14:solidFill>
              <w14:schemeClr w14:val="tx1"/>
            </w14:solidFill>
          </w14:textFill>
        </w:rPr>
        <w:t>18.67</w:t>
      </w:r>
      <w:r>
        <w:rPr>
          <w:rFonts w:hint="eastAsia" w:ascii="Times New Roman" w:hAnsi="Times New Roman" w:eastAsia="仿宋_GB2312"/>
          <w:color w:val="000000" w:themeColor="text1"/>
          <w:sz w:val="32"/>
          <w:szCs w:val="32"/>
          <w:lang w:val="en-US" w:eastAsia="zh-CN"/>
          <w14:textFill>
            <w14:solidFill>
              <w14:schemeClr w14:val="tx1"/>
            </w14:solidFill>
          </w14:textFill>
        </w:rPr>
        <w:t>万元，占</w:t>
      </w:r>
      <w:r>
        <w:rPr>
          <w:rFonts w:hint="default" w:ascii="Times New Roman" w:hAnsi="Times New Roman" w:eastAsia="仿宋_GB2312"/>
          <w:color w:val="000000" w:themeColor="text1"/>
          <w:sz w:val="32"/>
          <w:szCs w:val="32"/>
          <w:lang w:eastAsia="zh-CN"/>
          <w14:textFill>
            <w14:solidFill>
              <w14:schemeClr w14:val="tx1"/>
            </w14:solidFill>
          </w14:textFill>
        </w:rPr>
        <w:t>2.34</w:t>
      </w:r>
      <w:r>
        <w:rPr>
          <w:rFonts w:hint="eastAsia" w:ascii="Times New Roman" w:hAnsi="Times New Roman" w:eastAsia="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olor w:val="000000" w:themeColor="text1"/>
          <w:sz w:val="32"/>
          <w:szCs w:val="32"/>
          <w:lang w:eastAsia="zh-CN"/>
          <w14:textFill>
            <w14:solidFill>
              <w14:schemeClr w14:val="tx1"/>
            </w14:solidFill>
          </w14:textFill>
        </w:rPr>
        <w:t>；农林水支出10万元，占1.26%；</w:t>
      </w:r>
      <w:r>
        <w:rPr>
          <w:rFonts w:hint="eastAsia" w:ascii="Times New Roman" w:hAnsi="Times New Roman" w:eastAsia="仿宋_GB2312"/>
          <w:color w:val="000000" w:themeColor="text1"/>
          <w:sz w:val="32"/>
          <w:szCs w:val="32"/>
          <w:lang w:val="en-US" w:eastAsia="zh-CN"/>
          <w14:textFill>
            <w14:solidFill>
              <w14:schemeClr w14:val="tx1"/>
            </w14:solidFill>
          </w14:textFill>
        </w:rPr>
        <w:t>商业服务业等（类）支出</w:t>
      </w:r>
      <w:r>
        <w:rPr>
          <w:rFonts w:hint="default" w:ascii="Times New Roman" w:hAnsi="Times New Roman" w:eastAsia="仿宋_GB2312"/>
          <w:color w:val="000000" w:themeColor="text1"/>
          <w:sz w:val="32"/>
          <w:szCs w:val="32"/>
          <w:lang w:eastAsia="zh-CN"/>
          <w14:textFill>
            <w14:solidFill>
              <w14:schemeClr w14:val="tx1"/>
            </w14:solidFill>
          </w14:textFill>
        </w:rPr>
        <w:t>651.33</w:t>
      </w:r>
      <w:r>
        <w:rPr>
          <w:rFonts w:hint="eastAsia" w:ascii="Times New Roman" w:hAnsi="Times New Roman" w:eastAsia="仿宋_GB2312"/>
          <w:color w:val="000000" w:themeColor="text1"/>
          <w:sz w:val="32"/>
          <w:szCs w:val="32"/>
          <w:lang w:val="en-US" w:eastAsia="zh-CN"/>
          <w14:textFill>
            <w14:solidFill>
              <w14:schemeClr w14:val="tx1"/>
            </w14:solidFill>
          </w14:textFill>
        </w:rPr>
        <w:t>万元，占</w:t>
      </w:r>
      <w:r>
        <w:rPr>
          <w:rFonts w:hint="default" w:ascii="Times New Roman" w:hAnsi="Times New Roman" w:eastAsia="仿宋_GB2312"/>
          <w:color w:val="000000" w:themeColor="text1"/>
          <w:sz w:val="32"/>
          <w:szCs w:val="32"/>
          <w:lang w:eastAsia="zh-CN"/>
          <w14:textFill>
            <w14:solidFill>
              <w14:schemeClr w14:val="tx1"/>
            </w14:solidFill>
          </w14:textFill>
        </w:rPr>
        <w:t>81.79</w:t>
      </w:r>
      <w:r>
        <w:rPr>
          <w:rFonts w:hint="eastAsia" w:ascii="Times New Roman" w:hAnsi="Times New Roman" w:eastAsia="仿宋_GB2312"/>
          <w:color w:val="000000" w:themeColor="text1"/>
          <w:sz w:val="32"/>
          <w:szCs w:val="32"/>
          <w:lang w:val="en-US" w:eastAsia="zh-CN"/>
          <w14:textFill>
            <w14:solidFill>
              <w14:schemeClr w14:val="tx1"/>
            </w14:solidFill>
          </w14:textFill>
        </w:rPr>
        <w:t>%。</w:t>
      </w:r>
    </w:p>
    <w:p>
      <w:pPr>
        <w:pStyle w:val="15"/>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jc w:val="both"/>
        <w:textAlignment w:val="auto"/>
        <w:rPr>
          <w:rFonts w:hint="eastAsia" w:ascii="楷体" w:hAnsi="楷体" w:eastAsia="楷体" w:cs="楷体"/>
          <w:b w:val="0"/>
          <w:bCs/>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14:textFill>
            <w14:solidFill>
              <w14:schemeClr w14:val="tx1"/>
            </w14:solidFill>
          </w14:textFill>
        </w:rPr>
        <w:t>一般公共预算财政拨款支出决算具体情况</w:t>
      </w:r>
    </w:p>
    <w:p>
      <w:pPr>
        <w:pStyle w:val="15"/>
        <w:keepNext w:val="0"/>
        <w:keepLines w:val="0"/>
        <w:pageBreakBefore w:val="0"/>
        <w:widowControl w:val="0"/>
        <w:numPr>
          <w:numId w:val="0"/>
        </w:numPr>
        <w:kinsoku/>
        <w:wordWrap/>
        <w:overflowPunct/>
        <w:topLinePunct w:val="0"/>
        <w:bidi w:val="0"/>
        <w:snapToGrid/>
        <w:spacing w:line="60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年度财政拨款支出年初预算数为</w:t>
      </w:r>
      <w:r>
        <w:rPr>
          <w:rFonts w:hint="default" w:ascii="Times New Roman" w:hAnsi="Times New Roman" w:eastAsia="仿宋_GB2312"/>
          <w:color w:val="000000" w:themeColor="text1"/>
          <w:sz w:val="32"/>
          <w:szCs w:val="32"/>
          <w14:textFill>
            <w14:solidFill>
              <w14:schemeClr w14:val="tx1"/>
            </w14:solidFill>
          </w14:textFill>
        </w:rPr>
        <w:t>823.31</w:t>
      </w:r>
      <w:r>
        <w:rPr>
          <w:rFonts w:hint="eastAsia" w:ascii="Times New Roman" w:hAnsi="Times New Roman" w:eastAsia="仿宋_GB2312"/>
          <w:color w:val="000000" w:themeColor="text1"/>
          <w:sz w:val="32"/>
          <w:szCs w:val="32"/>
          <w14:textFill>
            <w14:solidFill>
              <w14:schemeClr w14:val="tx1"/>
            </w14:solidFill>
          </w14:textFill>
        </w:rPr>
        <w:t>万元，支出决算数为</w:t>
      </w:r>
      <w:r>
        <w:rPr>
          <w:rFonts w:hint="default" w:ascii="Times New Roman" w:hAnsi="Times New Roman" w:eastAsia="仿宋_GB2312"/>
          <w:color w:val="000000" w:themeColor="text1"/>
          <w:sz w:val="32"/>
          <w:szCs w:val="32"/>
          <w14:textFill>
            <w14:solidFill>
              <w14:schemeClr w14:val="tx1"/>
            </w14:solidFill>
          </w14:textFill>
        </w:rPr>
        <w:t>796.35</w:t>
      </w:r>
      <w:r>
        <w:rPr>
          <w:rFonts w:hint="eastAsia" w:ascii="Times New Roman" w:hAnsi="Times New Roman" w:eastAsia="仿宋_GB2312"/>
          <w:color w:val="000000" w:themeColor="text1"/>
          <w:sz w:val="32"/>
          <w:szCs w:val="32"/>
          <w14:textFill>
            <w14:solidFill>
              <w14:schemeClr w14:val="tx1"/>
            </w14:solidFill>
          </w14:textFill>
        </w:rPr>
        <w:t>万元，完成年初预算的</w:t>
      </w:r>
      <w:r>
        <w:rPr>
          <w:rFonts w:hint="default" w:ascii="Times New Roman" w:hAnsi="Times New Roman" w:eastAsia="仿宋_GB2312"/>
          <w:color w:val="000000" w:themeColor="text1"/>
          <w:sz w:val="32"/>
          <w:szCs w:val="32"/>
          <w14:textFill>
            <w14:solidFill>
              <w14:schemeClr w14:val="tx1"/>
            </w14:solidFill>
          </w14:textFill>
        </w:rPr>
        <w:t>96.73</w:t>
      </w:r>
      <w:r>
        <w:rPr>
          <w:rFonts w:hint="eastAsia" w:ascii="Times New Roman" w:hAnsi="Times New Roman" w:eastAsia="仿宋_GB2312"/>
          <w:color w:val="000000" w:themeColor="text1"/>
          <w:sz w:val="32"/>
          <w:szCs w:val="32"/>
          <w14:textFill>
            <w14:solidFill>
              <w14:schemeClr w14:val="tx1"/>
            </w14:solidFill>
          </w14:textFill>
        </w:rPr>
        <w:t>%，其中：</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1、社会保障和就业支出（类）行政事业单位养老支出（款）事业单位离退休（项）。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107.53</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万元，支出决算为7.86万元，完成年初预算的</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7.31</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%，决算数小于年初预算数的主要原因是：离休人员和提前退休人员工资与在职人员工资一起发放，功能能科目调整。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2、社会保障和就业支出（类）行政事业单位养老支出（款）机关事业单位基本养老保险缴费支出（项）。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48.85</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万元，支出决算为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48.77</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万元，决算数</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小于</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年初预算数的主要原因是：人员退休变动。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3、社会保障和就业支出（类）行政事业单位养老支出（款）其他行政事业单位养老支出（项）。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年初预算为0万元，支出决算为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59.72</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万元，决算数小于年初预算数的主要原因是：发放离退休人员春节一次性生活补助功能科目调整。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4、卫生健康支出（类）行政事业单位医疗（款）行政单位医疗（项）。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20.51</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万元，支出决算为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18.67</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万元，决算数</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小于</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年初预算数的主要原因是：人员退休变动。</w:t>
      </w:r>
    </w:p>
    <w:p>
      <w:pPr>
        <w:pStyle w:val="9"/>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农林水支出</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（类）</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巩固脱贫攻坚成果衔接乡村振兴</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（款）</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其他巩固脱贫攻坚成果衔接乡村振兴支出</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（项）。</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560" w:lineRule="atLeast"/>
        <w:ind w:left="0" w:leftChars="0" w:right="0" w:rightChars="0" w:firstLine="640" w:firstLineChars="200"/>
        <w:jc w:val="both"/>
        <w:textAlignment w:val="auto"/>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年初预算为0万元，支出决算为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10</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万元，决算数大于年初预算数的主要原因是：</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年中追加了乡村振兴工作经费</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7、商业服务业等支出（类）商业流通事务（款）行政运行（项）。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387.20</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万元，支出决算为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382.99</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万元，完成年初预算的</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98.91</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%，决算数</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小于</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年初预算数的主要原因是：人员退休变动。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8、商业服务业等支出（类）商业流通事务（款）其他商业流通事务支出（项）。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年初预算为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222.13</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万元，支出决算为</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268.34</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万元，完成年初预算的120.8</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0</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%，决算数大于年初预算数的主要原因是：</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年终</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绩效奖功能科目调整</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；按照社保政策增加了社保退费支出</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六、一般公共预算财政拨款基本支出决算情况说明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color w:val="000000" w:themeColor="text1"/>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年度财政拨款基本支出</w:t>
      </w:r>
      <w:r>
        <w:rPr>
          <w:rFonts w:hint="default" w:ascii="Times New Roman" w:hAnsi="Times New Roman" w:eastAsia="仿宋_GB2312"/>
          <w:color w:val="000000" w:themeColor="text1"/>
          <w:sz w:val="32"/>
          <w:szCs w:val="32"/>
          <w14:textFill>
            <w14:solidFill>
              <w14:schemeClr w14:val="tx1"/>
            </w14:solidFill>
          </w14:textFill>
        </w:rPr>
        <w:t>546.87</w:t>
      </w:r>
      <w:r>
        <w:rPr>
          <w:rFonts w:hint="eastAsia" w:ascii="Times New Roman" w:hAnsi="Times New Roman" w:eastAsia="仿宋_GB2312"/>
          <w:color w:val="000000" w:themeColor="text1"/>
          <w:sz w:val="32"/>
          <w:szCs w:val="32"/>
          <w14:textFill>
            <w14:solidFill>
              <w14:schemeClr w14:val="tx1"/>
            </w14:solidFill>
          </w14:textFill>
        </w:rPr>
        <w:t>万元，其中：</w:t>
      </w:r>
      <w:r>
        <w:rPr>
          <w:rFonts w:hint="eastAsia" w:ascii="Times New Roman" w:hAnsi="Times New Roman" w:eastAsia="仿宋_GB2312"/>
          <w:b/>
          <w:bCs/>
          <w:color w:val="000000" w:themeColor="text1"/>
          <w:sz w:val="32"/>
          <w:szCs w:val="32"/>
          <w14:textFill>
            <w14:solidFill>
              <w14:schemeClr w14:val="tx1"/>
            </w14:solidFill>
          </w14:textFill>
        </w:rPr>
        <w:t>人员经费</w:t>
      </w:r>
      <w:r>
        <w:rPr>
          <w:rFonts w:hint="default" w:ascii="Times New Roman" w:hAnsi="Times New Roman" w:eastAsia="仿宋_GB2312"/>
          <w:color w:val="000000" w:themeColor="text1"/>
          <w:sz w:val="32"/>
          <w:szCs w:val="32"/>
          <w14:textFill>
            <w14:solidFill>
              <w14:schemeClr w14:val="tx1"/>
            </w14:solidFill>
          </w14:textFill>
        </w:rPr>
        <w:t>507.81</w:t>
      </w:r>
      <w:r>
        <w:rPr>
          <w:rFonts w:hint="eastAsia" w:ascii="Times New Roman" w:hAnsi="Times New Roman" w:eastAsia="仿宋_GB2312"/>
          <w:color w:val="000000" w:themeColor="text1"/>
          <w:sz w:val="32"/>
          <w:szCs w:val="32"/>
          <w14:textFill>
            <w14:solidFill>
              <w14:schemeClr w14:val="tx1"/>
            </w14:solidFill>
          </w14:textFill>
        </w:rPr>
        <w:t>万元，占基本支出的</w:t>
      </w:r>
      <w:r>
        <w:rPr>
          <w:rFonts w:hint="default" w:ascii="Times New Roman" w:hAnsi="Times New Roman" w:eastAsia="仿宋_GB2312"/>
          <w:color w:val="000000" w:themeColor="text1"/>
          <w:sz w:val="32"/>
          <w:szCs w:val="32"/>
          <w14:textFill>
            <w14:solidFill>
              <w14:schemeClr w14:val="tx1"/>
            </w14:solidFill>
          </w14:textFill>
        </w:rPr>
        <w:t>92.86</w:t>
      </w:r>
      <w:r>
        <w:rPr>
          <w:rFonts w:hint="eastAsia" w:ascii="Times New Roman" w:hAnsi="Times New Roman" w:eastAsia="仿宋_GB2312"/>
          <w:color w:val="000000" w:themeColor="text1"/>
          <w:sz w:val="32"/>
          <w:szCs w:val="32"/>
          <w14:textFill>
            <w14:solidFill>
              <w14:schemeClr w14:val="tx1"/>
            </w14:solidFill>
          </w14:textFill>
        </w:rPr>
        <w:t>%</w:t>
      </w:r>
      <w:r>
        <w:rPr>
          <w:rFonts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,主要包括</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基本工资、津贴补贴、奖金、伙食补助费、机关事业单位基本养老保险缴费、职工基本医疗保险缴费、其他社会保障缴费、</w:t>
      </w:r>
      <w:r>
        <w:rPr>
          <w:rFonts w:hint="default" w:ascii="仿宋_GB2312" w:hAnsi="宋体" w:eastAsia="仿宋_GB2312" w:cs="仿宋_GB2312"/>
          <w:i w:val="0"/>
          <w:caps w:val="0"/>
          <w:color w:val="000000" w:themeColor="text1"/>
          <w:spacing w:val="0"/>
          <w:kern w:val="0"/>
          <w:sz w:val="32"/>
          <w:szCs w:val="32"/>
          <w:shd w:val="clear" w:fill="FFFFFF"/>
          <w:lang w:eastAsia="zh-CN" w:bidi="ar"/>
          <w14:textFill>
            <w14:solidFill>
              <w14:schemeClr w14:val="tx1"/>
            </w14:solidFill>
          </w14:textFill>
        </w:rPr>
        <w:t>离休费</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、生活补助、奖励金、其他对个人和家庭的补助。</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b/>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公用经费</w:t>
      </w:r>
      <w:r>
        <w:rPr>
          <w:rFonts w:hint="default" w:ascii="Times New Roman" w:hAnsi="Times New Roman" w:eastAsia="仿宋_GB2312"/>
          <w:color w:val="000000" w:themeColor="text1"/>
          <w:sz w:val="32"/>
          <w:szCs w:val="32"/>
          <w14:textFill>
            <w14:solidFill>
              <w14:schemeClr w14:val="tx1"/>
            </w14:solidFill>
          </w14:textFill>
        </w:rPr>
        <w:t>39.06</w:t>
      </w:r>
      <w:r>
        <w:rPr>
          <w:rFonts w:hint="eastAsia" w:ascii="Times New Roman" w:hAnsi="Times New Roman" w:eastAsia="仿宋_GB2312"/>
          <w:color w:val="000000" w:themeColor="text1"/>
          <w:sz w:val="32"/>
          <w:szCs w:val="32"/>
          <w14:textFill>
            <w14:solidFill>
              <w14:schemeClr w14:val="tx1"/>
            </w14:solidFill>
          </w14:textFill>
        </w:rPr>
        <w:t>万元，占基本支出的</w:t>
      </w:r>
      <w:r>
        <w:rPr>
          <w:rFonts w:hint="default" w:ascii="Times New Roman" w:hAnsi="Times New Roman" w:eastAsia="仿宋_GB2312"/>
          <w:color w:val="000000" w:themeColor="text1"/>
          <w:sz w:val="32"/>
          <w:szCs w:val="32"/>
          <w14:textFill>
            <w14:solidFill>
              <w14:schemeClr w14:val="tx1"/>
            </w14:solidFill>
          </w14:textFill>
        </w:rPr>
        <w:t>7.14</w:t>
      </w:r>
      <w:r>
        <w:rPr>
          <w:rFonts w:hint="eastAsia" w:ascii="Times New Roman" w:hAnsi="Times New Roman" w:eastAsia="仿宋_GB2312"/>
          <w:color w:val="000000" w:themeColor="text1"/>
          <w:sz w:val="32"/>
          <w:szCs w:val="32"/>
          <w14:textFill>
            <w14:solidFill>
              <w14:schemeClr w14:val="tx1"/>
            </w14:solidFill>
          </w14:textFill>
        </w:rPr>
        <w:t>%</w:t>
      </w:r>
      <w:r>
        <w:rPr>
          <w:rFonts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主要包括办公费、邮电费、</w:t>
      </w:r>
      <w:r>
        <w:rPr>
          <w:rFonts w:hint="default" w:ascii="仿宋_GB2312" w:hAnsi="宋体" w:eastAsia="仿宋_GB2312" w:cs="仿宋_GB2312"/>
          <w:i w:val="0"/>
          <w:caps w:val="0"/>
          <w:color w:val="000000" w:themeColor="text1"/>
          <w:spacing w:val="0"/>
          <w:kern w:val="0"/>
          <w:sz w:val="32"/>
          <w:szCs w:val="32"/>
          <w:shd w:val="clear" w:fill="FFFFFF"/>
          <w:lang w:eastAsia="zh-CN" w:bidi="ar"/>
          <w14:textFill>
            <w14:solidFill>
              <w14:schemeClr w14:val="tx1"/>
            </w14:solidFill>
          </w14:textFill>
        </w:rPr>
        <w:t>差旅费、培训费、</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工会经费、福利费、其他交通费</w:t>
      </w:r>
      <w:r>
        <w:rPr>
          <w:rFonts w:hint="default" w:ascii="仿宋_GB2312" w:hAnsi="宋体" w:eastAsia="仿宋_GB2312" w:cs="仿宋_GB2312"/>
          <w:i w:val="0"/>
          <w:caps w:val="0"/>
          <w:color w:val="000000" w:themeColor="text1"/>
          <w:spacing w:val="0"/>
          <w:kern w:val="0"/>
          <w:sz w:val="32"/>
          <w:szCs w:val="32"/>
          <w:shd w:val="clear" w:fill="FFFFFF"/>
          <w:lang w:eastAsia="zh-CN" w:bidi="ar"/>
          <w14:textFill>
            <w14:solidFill>
              <w14:schemeClr w14:val="tx1"/>
            </w14:solidFill>
          </w14:textFill>
        </w:rPr>
        <w:t>用</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、其他商品和服务支出等。</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b/>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七、财政拨款三公经费支出决算情况说明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val="0"/>
          <w:color w:val="000000" w:themeColor="text1"/>
          <w:sz w:val="32"/>
          <w:szCs w:val="32"/>
          <w14:textFill>
            <w14:solidFill>
              <w14:schemeClr w14:val="tx1"/>
            </w14:solidFill>
          </w14:textFill>
        </w:rPr>
      </w:pPr>
      <w:r>
        <w:rPr>
          <w:rFonts w:hint="eastAsia" w:ascii="楷体" w:hAnsi="楷体" w:eastAsia="楷体" w:cs="楷体"/>
          <w:b/>
          <w:bCs w:val="0"/>
          <w:color w:val="000000" w:themeColor="text1"/>
          <w:sz w:val="32"/>
          <w:szCs w:val="32"/>
          <w14:textFill>
            <w14:solidFill>
              <w14:schemeClr w14:val="tx1"/>
            </w14:solidFill>
          </w14:textFill>
        </w:rPr>
        <w:t>（一）“三公”经费财政拨款支出决算总体情况说明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“三公”经费财政拨款支出预算为</w:t>
      </w:r>
      <w:r>
        <w:rPr>
          <w:rFonts w:hint="default" w:ascii="Times New Roman" w:hAnsi="Times New Roman" w:eastAsia="仿宋_GB2312"/>
          <w:color w:val="000000" w:themeColor="text1"/>
          <w:sz w:val="32"/>
          <w:szCs w:val="32"/>
          <w14:textFill>
            <w14:solidFill>
              <w14:schemeClr w14:val="tx1"/>
            </w14:solidFill>
          </w14:textFill>
        </w:rPr>
        <w:t>5.56</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default" w:ascii="Times New Roman" w:hAnsi="Times New Roman" w:eastAsia="仿宋_GB2312"/>
          <w:color w:val="000000" w:themeColor="text1"/>
          <w:sz w:val="32"/>
          <w:szCs w:val="32"/>
          <w14:textFill>
            <w14:solidFill>
              <w14:schemeClr w14:val="tx1"/>
            </w14:solidFill>
          </w14:textFill>
        </w:rPr>
        <w:t>5.56</w:t>
      </w:r>
      <w:r>
        <w:rPr>
          <w:rFonts w:hint="eastAsia" w:ascii="Times New Roman" w:hAnsi="Times New Roman" w:eastAsia="仿宋_GB2312"/>
          <w:color w:val="000000" w:themeColor="text1"/>
          <w:sz w:val="32"/>
          <w:szCs w:val="32"/>
          <w14:textFill>
            <w14:solidFill>
              <w14:schemeClr w14:val="tx1"/>
            </w14:solidFill>
          </w14:textFill>
        </w:rPr>
        <w:t>万元，完成预算的</w:t>
      </w:r>
      <w:r>
        <w:rPr>
          <w:rFonts w:hint="default" w:ascii="Times New Roman" w:hAnsi="Times New Roman" w:eastAsia="仿宋_GB2312"/>
          <w:color w:val="000000" w:themeColor="text1"/>
          <w:sz w:val="32"/>
          <w:szCs w:val="32"/>
          <w14:textFill>
            <w14:solidFill>
              <w14:schemeClr w14:val="tx1"/>
            </w14:solidFill>
          </w14:textFill>
        </w:rPr>
        <w:t>100</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与上年相比增加</w:t>
      </w:r>
      <w:r>
        <w:rPr>
          <w:rFonts w:hint="default" w:ascii="Times New Roman" w:hAnsi="Times New Roman" w:eastAsia="仿宋_GB2312"/>
          <w:color w:val="000000" w:themeColor="text1"/>
          <w:sz w:val="32"/>
          <w:szCs w:val="32"/>
          <w14:textFill>
            <w14:solidFill>
              <w14:schemeClr w14:val="tx1"/>
            </w14:solidFill>
          </w14:textFill>
        </w:rPr>
        <w:t>1.16</w:t>
      </w:r>
      <w:r>
        <w:rPr>
          <w:rFonts w:hint="eastAsia" w:ascii="Times New Roman" w:hAnsi="Times New Roman" w:eastAsia="仿宋_GB2312"/>
          <w:color w:val="000000" w:themeColor="text1"/>
          <w:sz w:val="32"/>
          <w:szCs w:val="32"/>
          <w14:textFill>
            <w14:solidFill>
              <w14:schemeClr w14:val="tx1"/>
            </w14:solidFill>
          </w14:textFill>
        </w:rPr>
        <w:t>万元，增长</w:t>
      </w:r>
      <w:r>
        <w:rPr>
          <w:rFonts w:hint="default" w:ascii="Times New Roman" w:hAnsi="Times New Roman" w:eastAsia="仿宋_GB2312"/>
          <w:color w:val="000000" w:themeColor="text1"/>
          <w:sz w:val="32"/>
          <w:szCs w:val="32"/>
          <w14:textFill>
            <w14:solidFill>
              <w14:schemeClr w14:val="tx1"/>
            </w14:solidFill>
          </w14:textFill>
        </w:rPr>
        <w:t>26.37</w:t>
      </w:r>
      <w:r>
        <w:rPr>
          <w:rFonts w:hint="eastAsia" w:ascii="Times New Roman" w:hAnsi="Times New Roman" w:eastAsia="仿宋_GB2312"/>
          <w:color w:val="000000" w:themeColor="text1"/>
          <w:sz w:val="32"/>
          <w:szCs w:val="32"/>
          <w14:textFill>
            <w14:solidFill>
              <w14:schemeClr w14:val="tx1"/>
            </w14:solidFill>
          </w14:textFill>
        </w:rPr>
        <w:t>%,增长的主要原因是2023年度开展招商引资工作，多次接待中国供销集团及项目工作人员。其中：</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因公出国（境）费支出预算为0万元，支出决算为0万元，决算数等于预算数，与上年相比减少0万元，减少0%。主要是本年度及上年度均无因公出国（境）费。</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公务接待费支出预算为</w:t>
      </w:r>
      <w:r>
        <w:rPr>
          <w:rFonts w:hint="default" w:ascii="Times New Roman" w:hAnsi="Times New Roman" w:eastAsia="仿宋_GB2312"/>
          <w:color w:val="000000" w:themeColor="text1"/>
          <w:sz w:val="32"/>
          <w:szCs w:val="32"/>
          <w14:textFill>
            <w14:solidFill>
              <w14:schemeClr w14:val="tx1"/>
            </w14:solidFill>
          </w14:textFill>
        </w:rPr>
        <w:t>1.81</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default" w:ascii="Times New Roman" w:hAnsi="Times New Roman" w:eastAsia="仿宋_GB2312"/>
          <w:color w:val="000000" w:themeColor="text1"/>
          <w:sz w:val="32"/>
          <w:szCs w:val="32"/>
          <w14:textFill>
            <w14:solidFill>
              <w14:schemeClr w14:val="tx1"/>
            </w14:solidFill>
          </w14:textFill>
        </w:rPr>
        <w:t>1.81</w:t>
      </w:r>
      <w:r>
        <w:rPr>
          <w:rFonts w:hint="eastAsia" w:ascii="Times New Roman" w:hAnsi="Times New Roman" w:eastAsia="仿宋_GB2312"/>
          <w:color w:val="000000" w:themeColor="text1"/>
          <w:sz w:val="32"/>
          <w:szCs w:val="32"/>
          <w14:textFill>
            <w14:solidFill>
              <w14:schemeClr w14:val="tx1"/>
            </w14:solidFill>
          </w14:textFill>
        </w:rPr>
        <w:t>万元，完成预算的</w:t>
      </w:r>
      <w:r>
        <w:rPr>
          <w:rFonts w:hint="default" w:ascii="Times New Roman" w:hAnsi="Times New Roman" w:eastAsia="仿宋_GB2312"/>
          <w:color w:val="000000" w:themeColor="text1"/>
          <w:sz w:val="32"/>
          <w:szCs w:val="32"/>
          <w14:textFill>
            <w14:solidFill>
              <w14:schemeClr w14:val="tx1"/>
            </w14:solidFill>
          </w14:textFill>
        </w:rPr>
        <w:t>100</w:t>
      </w:r>
      <w:r>
        <w:rPr>
          <w:rFonts w:hint="eastAsia" w:ascii="Times New Roman" w:hAnsi="Times New Roman" w:eastAsia="仿宋_GB2312"/>
          <w:color w:val="000000" w:themeColor="text1"/>
          <w:sz w:val="32"/>
          <w:szCs w:val="32"/>
          <w14:textFill>
            <w14:solidFill>
              <w14:schemeClr w14:val="tx1"/>
            </w14:solidFill>
          </w14:textFill>
        </w:rPr>
        <w:t>%，与上年相比增加</w:t>
      </w:r>
      <w:r>
        <w:rPr>
          <w:rFonts w:hint="default" w:ascii="Times New Roman" w:hAnsi="Times New Roman" w:eastAsia="仿宋_GB2312"/>
          <w:color w:val="000000" w:themeColor="text1"/>
          <w:sz w:val="32"/>
          <w:szCs w:val="32"/>
          <w14:textFill>
            <w14:solidFill>
              <w14:schemeClr w14:val="tx1"/>
            </w14:solidFill>
          </w14:textFill>
        </w:rPr>
        <w:t>0.67</w:t>
      </w:r>
      <w:r>
        <w:rPr>
          <w:rFonts w:hint="eastAsia" w:ascii="Times New Roman" w:hAnsi="Times New Roman" w:eastAsia="仿宋_GB2312"/>
          <w:color w:val="000000" w:themeColor="text1"/>
          <w:sz w:val="32"/>
          <w:szCs w:val="32"/>
          <w14:textFill>
            <w14:solidFill>
              <w14:schemeClr w14:val="tx1"/>
            </w14:solidFill>
          </w14:textFill>
        </w:rPr>
        <w:t>万元，增长</w:t>
      </w:r>
      <w:r>
        <w:rPr>
          <w:rFonts w:hint="default" w:ascii="Times New Roman" w:hAnsi="Times New Roman" w:eastAsia="仿宋_GB2312"/>
          <w:color w:val="000000" w:themeColor="text1"/>
          <w:sz w:val="32"/>
          <w:szCs w:val="32"/>
          <w14:textFill>
            <w14:solidFill>
              <w14:schemeClr w14:val="tx1"/>
            </w14:solidFill>
          </w14:textFill>
        </w:rPr>
        <w:t>58.88</w:t>
      </w:r>
      <w:r>
        <w:rPr>
          <w:rFonts w:hint="eastAsia" w:ascii="Times New Roman" w:hAnsi="Times New Roman" w:eastAsia="仿宋_GB2312"/>
          <w:color w:val="000000" w:themeColor="text1"/>
          <w:sz w:val="32"/>
          <w:szCs w:val="32"/>
          <w14:textFill>
            <w14:solidFill>
              <w14:schemeClr w14:val="tx1"/>
            </w14:solidFill>
          </w14:textFill>
        </w:rPr>
        <w:t>%,增长的主要原因是2023年度开展招商引资工作，多次接待中国供销集团及项目工作人员。</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公务用车购置费支出预算为0万元，支出决算为0万元，与上年相比减少0万元，减少0%。主要是本年度及上年度均无公务用车购置费。</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公务用车运行维护费支出预算为</w:t>
      </w:r>
      <w:r>
        <w:rPr>
          <w:rFonts w:hint="default" w:ascii="Times New Roman" w:hAnsi="Times New Roman" w:eastAsia="仿宋_GB2312"/>
          <w:color w:val="000000" w:themeColor="text1"/>
          <w:sz w:val="32"/>
          <w:szCs w:val="32"/>
          <w14:textFill>
            <w14:solidFill>
              <w14:schemeClr w14:val="tx1"/>
            </w14:solidFill>
          </w14:textFill>
        </w:rPr>
        <w:t>3.75</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default" w:ascii="Times New Roman" w:hAnsi="Times New Roman" w:eastAsia="仿宋_GB2312"/>
          <w:color w:val="000000" w:themeColor="text1"/>
          <w:sz w:val="32"/>
          <w:szCs w:val="32"/>
          <w14:textFill>
            <w14:solidFill>
              <w14:schemeClr w14:val="tx1"/>
            </w14:solidFill>
          </w14:textFill>
        </w:rPr>
        <w:t>3.75</w:t>
      </w:r>
      <w:r>
        <w:rPr>
          <w:rFonts w:hint="eastAsia" w:ascii="Times New Roman" w:hAnsi="Times New Roman" w:eastAsia="仿宋_GB2312"/>
          <w:color w:val="000000" w:themeColor="text1"/>
          <w:sz w:val="32"/>
          <w:szCs w:val="32"/>
          <w14:textFill>
            <w14:solidFill>
              <w14:schemeClr w14:val="tx1"/>
            </w14:solidFill>
          </w14:textFill>
        </w:rPr>
        <w:t>万元，完成预算的</w:t>
      </w:r>
      <w:r>
        <w:rPr>
          <w:rFonts w:hint="default" w:ascii="Times New Roman" w:hAnsi="Times New Roman" w:eastAsia="仿宋_GB2312"/>
          <w:color w:val="000000" w:themeColor="text1"/>
          <w:sz w:val="32"/>
          <w:szCs w:val="32"/>
          <w14:textFill>
            <w14:solidFill>
              <w14:schemeClr w14:val="tx1"/>
            </w14:solidFill>
          </w14:textFill>
        </w:rPr>
        <w:t>100</w:t>
      </w:r>
      <w:r>
        <w:rPr>
          <w:rFonts w:hint="eastAsia" w:ascii="Times New Roman" w:hAnsi="Times New Roman" w:eastAsia="仿宋_GB2312"/>
          <w:color w:val="000000" w:themeColor="text1"/>
          <w:sz w:val="32"/>
          <w:szCs w:val="32"/>
          <w14:textFill>
            <w14:solidFill>
              <w14:schemeClr w14:val="tx1"/>
            </w14:solidFill>
          </w14:textFill>
        </w:rPr>
        <w:t>%，与上年相比增加</w:t>
      </w:r>
      <w:r>
        <w:rPr>
          <w:rFonts w:hint="default" w:ascii="Times New Roman" w:hAnsi="Times New Roman" w:eastAsia="仿宋_GB2312"/>
          <w:color w:val="000000" w:themeColor="text1"/>
          <w:sz w:val="32"/>
          <w:szCs w:val="32"/>
          <w14:textFill>
            <w14:solidFill>
              <w14:schemeClr w14:val="tx1"/>
            </w14:solidFill>
          </w14:textFill>
        </w:rPr>
        <w:t>0.49</w:t>
      </w:r>
      <w:r>
        <w:rPr>
          <w:rFonts w:hint="eastAsia" w:ascii="Times New Roman" w:hAnsi="Times New Roman" w:eastAsia="仿宋_GB2312"/>
          <w:color w:val="000000" w:themeColor="text1"/>
          <w:sz w:val="32"/>
          <w:szCs w:val="32"/>
          <w14:textFill>
            <w14:solidFill>
              <w14:schemeClr w14:val="tx1"/>
            </w14:solidFill>
          </w14:textFill>
        </w:rPr>
        <w:t>万元，增长</w:t>
      </w:r>
      <w:r>
        <w:rPr>
          <w:rFonts w:hint="default" w:ascii="Times New Roman" w:hAnsi="Times New Roman" w:eastAsia="仿宋_GB2312"/>
          <w:color w:val="000000" w:themeColor="text1"/>
          <w:sz w:val="32"/>
          <w:szCs w:val="32"/>
          <w14:textFill>
            <w14:solidFill>
              <w14:schemeClr w14:val="tx1"/>
            </w14:solidFill>
          </w14:textFill>
        </w:rPr>
        <w:t>15.01</w:t>
      </w:r>
      <w:r>
        <w:rPr>
          <w:rFonts w:hint="eastAsia" w:ascii="Times New Roman" w:hAnsi="Times New Roman" w:eastAsia="仿宋_GB2312"/>
          <w:color w:val="000000" w:themeColor="text1"/>
          <w:sz w:val="32"/>
          <w:szCs w:val="32"/>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增长的主要原因是2023年度开展招商引资工作，多次接待中国供销集团及项目工作人员用车增多。</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val="0"/>
          <w:color w:val="000000" w:themeColor="text1"/>
          <w:sz w:val="32"/>
          <w:szCs w:val="32"/>
          <w14:textFill>
            <w14:solidFill>
              <w14:schemeClr w14:val="tx1"/>
            </w14:solidFill>
          </w14:textFill>
        </w:rPr>
      </w:pPr>
      <w:r>
        <w:rPr>
          <w:rFonts w:hint="eastAsia" w:ascii="楷体" w:hAnsi="楷体" w:eastAsia="楷体" w:cs="楷体"/>
          <w:b/>
          <w:bCs w:val="0"/>
          <w:color w:val="000000" w:themeColor="text1"/>
          <w:sz w:val="32"/>
          <w:szCs w:val="32"/>
          <w14:textFill>
            <w14:solidFill>
              <w14:schemeClr w14:val="tx1"/>
            </w14:solidFill>
          </w14:textFill>
        </w:rPr>
        <w:t>（二）“三公”经费财政拨款支出决算具体情况说明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年度“三公”经费财政拨款支出决算中，公务接待费支出决算</w:t>
      </w:r>
      <w:r>
        <w:rPr>
          <w:rFonts w:hint="default" w:ascii="Times New Roman" w:hAnsi="Times New Roman" w:eastAsia="仿宋_GB2312"/>
          <w:color w:val="000000" w:themeColor="text1"/>
          <w:sz w:val="32"/>
          <w:szCs w:val="32"/>
          <w14:textFill>
            <w14:solidFill>
              <w14:schemeClr w14:val="tx1"/>
            </w14:solidFill>
          </w14:textFill>
        </w:rPr>
        <w:t>1.81</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32.55</w:t>
      </w:r>
      <w:r>
        <w:rPr>
          <w:rFonts w:hint="eastAsia" w:ascii="Times New Roman" w:hAnsi="Times New Roman" w:eastAsia="仿宋_GB2312"/>
          <w:color w:val="000000" w:themeColor="text1"/>
          <w:sz w:val="32"/>
          <w:szCs w:val="32"/>
          <w14:textFill>
            <w14:solidFill>
              <w14:schemeClr w14:val="tx1"/>
            </w14:solidFill>
          </w14:textFill>
        </w:rPr>
        <w:t>%,因公出国（境）费支出决算</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%,公务用车购置费及运行维护费支出决算</w:t>
      </w:r>
      <w:r>
        <w:rPr>
          <w:rFonts w:hint="default" w:ascii="Times New Roman" w:hAnsi="Times New Roman" w:eastAsia="仿宋_GB2312"/>
          <w:color w:val="000000" w:themeColor="text1"/>
          <w:sz w:val="32"/>
          <w:szCs w:val="32"/>
          <w14:textFill>
            <w14:solidFill>
              <w14:schemeClr w14:val="tx1"/>
            </w14:solidFill>
          </w14:textFill>
        </w:rPr>
        <w:t>3.75</w:t>
      </w:r>
      <w:r>
        <w:rPr>
          <w:rFonts w:hint="eastAsia" w:ascii="Times New Roman" w:hAnsi="Times New Roman" w:eastAsia="仿宋_GB2312"/>
          <w:color w:val="000000" w:themeColor="text1"/>
          <w:sz w:val="32"/>
          <w:szCs w:val="32"/>
          <w14:textFill>
            <w14:solidFill>
              <w14:schemeClr w14:val="tx1"/>
            </w14:solidFill>
          </w14:textFill>
        </w:rPr>
        <w:t>万元，占</w:t>
      </w:r>
      <w:r>
        <w:rPr>
          <w:rFonts w:hint="default" w:ascii="Times New Roman" w:hAnsi="Times New Roman" w:eastAsia="仿宋_GB2312"/>
          <w:color w:val="000000" w:themeColor="text1"/>
          <w:sz w:val="32"/>
          <w:szCs w:val="32"/>
          <w14:textFill>
            <w14:solidFill>
              <w14:schemeClr w14:val="tx1"/>
            </w14:solidFill>
          </w14:textFill>
        </w:rPr>
        <w:t>67.45</w:t>
      </w:r>
      <w:r>
        <w:rPr>
          <w:rFonts w:hint="eastAsia" w:ascii="Times New Roman" w:hAnsi="Times New Roman" w:eastAsia="仿宋_GB2312"/>
          <w:color w:val="000000" w:themeColor="text1"/>
          <w:sz w:val="32"/>
          <w:szCs w:val="32"/>
          <w14:textFill>
            <w14:solidFill>
              <w14:schemeClr w14:val="tx1"/>
            </w14:solidFill>
          </w14:textFill>
        </w:rPr>
        <w:t>%。其中：</w:t>
      </w:r>
    </w:p>
    <w:p>
      <w:pPr>
        <w:pStyle w:val="15"/>
        <w:keepNext w:val="0"/>
        <w:keepLines w:val="0"/>
        <w:pageBreakBefore w:val="0"/>
        <w:widowControl w:val="0"/>
        <w:numPr>
          <w:ilvl w:val="0"/>
          <w:numId w:val="3"/>
        </w:numPr>
        <w:kinsoku/>
        <w:wordWrap/>
        <w:overflowPunct/>
        <w:topLinePunct w:val="0"/>
        <w:bidi w:val="0"/>
        <w:snapToGrid/>
        <w:spacing w:line="600" w:lineRule="exact"/>
        <w:ind w:firstLine="800" w:firstLineChars="250"/>
        <w:jc w:val="both"/>
        <w:textAlignment w:val="auto"/>
        <w:rPr>
          <w:rFonts w:hint="default"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因公出国（境）费支出决算为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万元，全年安排因公出国（境）团组</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个，累计</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人次</w:t>
      </w:r>
      <w:r>
        <w:rPr>
          <w:rFonts w:hint="default" w:ascii="Times New Roman" w:hAnsi="Times New Roman" w:eastAsia="仿宋_GB2312"/>
          <w:color w:val="000000" w:themeColor="text1"/>
          <w:sz w:val="32"/>
          <w:szCs w:val="32"/>
          <w14:textFill>
            <w14:solidFill>
              <w14:schemeClr w14:val="tx1"/>
            </w14:solidFill>
          </w14:textFill>
        </w:rPr>
        <w:t>。</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2、公务接待费支出决算为</w:t>
      </w:r>
      <w:r>
        <w:rPr>
          <w:rFonts w:hint="default" w:ascii="Times New Roman" w:hAnsi="Times New Roman" w:eastAsia="仿宋_GB2312"/>
          <w:color w:val="000000" w:themeColor="text1"/>
          <w:sz w:val="32"/>
          <w:szCs w:val="32"/>
          <w14:textFill>
            <w14:solidFill>
              <w14:schemeClr w14:val="tx1"/>
            </w14:solidFill>
          </w14:textFill>
        </w:rPr>
        <w:t>1.81</w:t>
      </w:r>
      <w:r>
        <w:rPr>
          <w:rFonts w:hint="eastAsia" w:ascii="Times New Roman" w:hAnsi="Times New Roman" w:eastAsia="仿宋_GB2312"/>
          <w:color w:val="000000" w:themeColor="text1"/>
          <w:sz w:val="32"/>
          <w:szCs w:val="32"/>
          <w14:textFill>
            <w14:solidFill>
              <w14:schemeClr w14:val="tx1"/>
            </w14:solidFill>
          </w14:textFill>
        </w:rPr>
        <w:t>万元，全年共接待来访团组</w:t>
      </w:r>
      <w:r>
        <w:rPr>
          <w:rFonts w:hint="default" w:ascii="Times New Roman" w:hAnsi="Times New Roman" w:eastAsia="仿宋_GB2312"/>
          <w:color w:val="000000" w:themeColor="text1"/>
          <w:sz w:val="32"/>
          <w:szCs w:val="32"/>
          <w14:textFill>
            <w14:solidFill>
              <w14:schemeClr w14:val="tx1"/>
            </w14:solidFill>
          </w14:textFill>
        </w:rPr>
        <w:t>23</w:t>
      </w:r>
      <w:r>
        <w:rPr>
          <w:rFonts w:hint="eastAsia" w:ascii="Times New Roman" w:hAnsi="Times New Roman" w:eastAsia="仿宋_GB2312"/>
          <w:color w:val="000000" w:themeColor="text1"/>
          <w:sz w:val="32"/>
          <w:szCs w:val="32"/>
          <w14:textFill>
            <w14:solidFill>
              <w14:schemeClr w14:val="tx1"/>
            </w14:solidFill>
          </w14:textFill>
        </w:rPr>
        <w:t>个、来宾</w:t>
      </w:r>
      <w:r>
        <w:rPr>
          <w:rFonts w:hint="default" w:ascii="Times New Roman" w:hAnsi="Times New Roman" w:eastAsia="仿宋_GB2312"/>
          <w:color w:val="000000" w:themeColor="text1"/>
          <w:sz w:val="32"/>
          <w:szCs w:val="32"/>
          <w14:textFill>
            <w14:solidFill>
              <w14:schemeClr w14:val="tx1"/>
            </w14:solidFill>
          </w14:textFill>
        </w:rPr>
        <w:t>98</w:t>
      </w:r>
      <w:r>
        <w:rPr>
          <w:rFonts w:hint="eastAsia" w:ascii="Times New Roman" w:hAnsi="Times New Roman" w:eastAsia="仿宋_GB2312"/>
          <w:color w:val="000000" w:themeColor="text1"/>
          <w:sz w:val="32"/>
          <w:szCs w:val="32"/>
          <w14:textFill>
            <w14:solidFill>
              <w14:schemeClr w14:val="tx1"/>
            </w14:solidFill>
          </w14:textFill>
        </w:rPr>
        <w:t>人次，主要是开展招商引资工作</w:t>
      </w:r>
      <w:r>
        <w:rPr>
          <w:rFonts w:hint="default" w:ascii="Times New Roman" w:hAnsi="Times New Roman" w:eastAsia="仿宋_GB2312"/>
          <w:color w:val="000000" w:themeColor="text1"/>
          <w:sz w:val="32"/>
          <w:szCs w:val="32"/>
          <w14:textFill>
            <w14:solidFill>
              <w14:schemeClr w14:val="tx1"/>
            </w14:solidFill>
          </w14:textFill>
        </w:rPr>
        <w:t>、</w:t>
      </w:r>
      <w:r>
        <w:rPr>
          <w:rFonts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供销社综合改革业务</w:t>
      </w:r>
      <w:r>
        <w:rPr>
          <w:rFonts w:hint="eastAsia" w:ascii="Times New Roman" w:hAnsi="Times New Roman" w:eastAsia="仿宋_GB2312"/>
          <w:color w:val="000000" w:themeColor="text1"/>
          <w:sz w:val="32"/>
          <w:szCs w:val="32"/>
          <w14:textFill>
            <w14:solidFill>
              <w14:schemeClr w14:val="tx1"/>
            </w14:solidFill>
          </w14:textFill>
        </w:rPr>
        <w:t>发生的接待支出。</w:t>
      </w:r>
    </w:p>
    <w:p>
      <w:pPr>
        <w:pStyle w:val="15"/>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楷体" w:hAnsi="楷体" w:eastAsia="楷体" w:cs="楷体"/>
          <w:b/>
          <w:bCs/>
          <w:i/>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3、公务用车购置费及运行维护费支出决算为</w:t>
      </w:r>
      <w:r>
        <w:rPr>
          <w:rFonts w:hint="default" w:ascii="Times New Roman" w:hAnsi="Times New Roman" w:eastAsia="仿宋_GB2312"/>
          <w:color w:val="000000" w:themeColor="text1"/>
          <w:sz w:val="32"/>
          <w:szCs w:val="32"/>
          <w14:textFill>
            <w14:solidFill>
              <w14:schemeClr w14:val="tx1"/>
            </w14:solidFill>
          </w14:textFill>
        </w:rPr>
        <w:t>3.75</w:t>
      </w:r>
      <w:r>
        <w:rPr>
          <w:rFonts w:hint="eastAsia" w:ascii="Times New Roman" w:hAnsi="Times New Roman" w:eastAsia="仿宋_GB2312"/>
          <w:color w:val="000000" w:themeColor="text1"/>
          <w:sz w:val="32"/>
          <w:szCs w:val="32"/>
          <w14:textFill>
            <w14:solidFill>
              <w14:schemeClr w14:val="tx1"/>
            </w14:solidFill>
          </w14:textFill>
        </w:rPr>
        <w:t>万元，其中：公务用车购置费</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万元。公务用车运行维护费</w:t>
      </w:r>
      <w:r>
        <w:rPr>
          <w:rFonts w:hint="default" w:ascii="Times New Roman" w:hAnsi="Times New Roman" w:eastAsia="仿宋_GB2312"/>
          <w:color w:val="000000" w:themeColor="text1"/>
          <w:sz w:val="32"/>
          <w:szCs w:val="32"/>
          <w14:textFill>
            <w14:solidFill>
              <w14:schemeClr w14:val="tx1"/>
            </w14:solidFill>
          </w14:textFill>
        </w:rPr>
        <w:t>3.75</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val="en-US" w:eastAsia="zh-CN"/>
          <w14:textFill>
            <w14:solidFill>
              <w14:schemeClr w14:val="tx1"/>
            </w14:solidFill>
          </w14:textFill>
        </w:rPr>
        <w:t>主要是公务用车维修、充油卡、ETC等费用支出</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截止202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年12月31日，我单位开支财政拨款的公务用车保有量为</w:t>
      </w:r>
      <w:r>
        <w:rPr>
          <w:rFonts w:hint="default"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辆。</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八、政府性基金预算收入支出决算情况</w:t>
      </w:r>
    </w:p>
    <w:p>
      <w:pPr>
        <w:pStyle w:val="15"/>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default"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年度政府性基金预算财政拨款收入</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万元；年初结转和结余</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万元；支出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万元，其中基本支出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万元，项目支出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万元；年末结转和结余</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color w:val="000000" w:themeColor="text1"/>
          <w:sz w:val="32"/>
          <w:szCs w:val="32"/>
          <w:lang w:val="en-US" w:eastAsia="zh-CN"/>
          <w14:textFill>
            <w14:solidFill>
              <w14:schemeClr w14:val="tx1"/>
            </w14:solidFill>
          </w14:textFill>
        </w:rPr>
        <w:t>本单位无政府性基金收支</w:t>
      </w:r>
      <w:r>
        <w:rPr>
          <w:rFonts w:hint="default" w:ascii="Times New Roman" w:hAnsi="Times New Roman" w:eastAsia="仿宋_GB2312"/>
          <w:color w:val="000000" w:themeColor="text1"/>
          <w:sz w:val="32"/>
          <w:szCs w:val="32"/>
          <w:lang w:eastAsia="zh-CN"/>
          <w14:textFill>
            <w14:solidFill>
              <w14:schemeClr w14:val="tx1"/>
            </w14:solidFill>
          </w14:textFill>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600" w:lineRule="atLeast"/>
        <w:ind w:left="0" w:right="0" w:firstLine="640"/>
        <w:jc w:val="both"/>
        <w:textAlignment w:val="auto"/>
        <w:rPr>
          <w:rFonts w:ascii="微软雅黑" w:hAnsi="微软雅黑" w:eastAsia="微软雅黑" w:cs="微软雅黑"/>
          <w:i w:val="0"/>
          <w:caps w:val="0"/>
          <w:color w:val="000000" w:themeColor="text1"/>
          <w:spacing w:val="0"/>
          <w:sz w:val="24"/>
          <w:szCs w:val="24"/>
          <w14:textFill>
            <w14:solidFill>
              <w14:schemeClr w14:val="tx1"/>
            </w14:solidFill>
          </w14:textFill>
        </w:rPr>
      </w:pPr>
      <w:r>
        <w:rPr>
          <w:rFonts w:ascii="黑体" w:hAnsi="宋体" w:eastAsia="黑体" w:cs="黑体"/>
          <w:i w:val="0"/>
          <w:caps w:val="0"/>
          <w:color w:val="000000" w:themeColor="text1"/>
          <w:spacing w:val="0"/>
          <w:sz w:val="32"/>
          <w:szCs w:val="32"/>
          <w:bdr w:val="none" w:color="auto" w:sz="0" w:space="0"/>
          <w:shd w:val="clear" w:fill="FFFFFF"/>
          <w14:textFill>
            <w14:solidFill>
              <w14:schemeClr w14:val="tx1"/>
            </w14:solidFill>
          </w14:textFill>
        </w:rPr>
        <w:t>九、国有资本经营预算收入支出决算情况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本单位无国有资本经营预算收入支出。</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default" w:hAnsi="黑体" w:cs="黑体"/>
          <w:b w:val="0"/>
          <w:bCs/>
          <w:color w:val="000000" w:themeColor="text1"/>
          <w:sz w:val="32"/>
          <w:szCs w:val="32"/>
          <w14:textFill>
            <w14:solidFill>
              <w14:schemeClr w14:val="tx1"/>
            </w14:solidFill>
          </w14:textFill>
        </w:rPr>
        <w:t>十</w:t>
      </w:r>
      <w:r>
        <w:rPr>
          <w:rFonts w:hint="eastAsia" w:ascii="黑体" w:hAnsi="黑体" w:eastAsia="黑体" w:cs="黑体"/>
          <w:b w:val="0"/>
          <w:bCs/>
          <w:color w:val="000000" w:themeColor="text1"/>
          <w:sz w:val="32"/>
          <w:szCs w:val="32"/>
          <w14:textFill>
            <w14:solidFill>
              <w14:schemeClr w14:val="tx1"/>
            </w14:solidFill>
          </w14:textFill>
        </w:rPr>
        <w:t>、关于机关运行经费支出说明</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本部门202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年度机关运行经费支出</w:t>
      </w:r>
      <w:r>
        <w:rPr>
          <w:rFonts w:hint="default" w:ascii="Times New Roman" w:hAnsi="Times New Roman" w:eastAsia="仿宋_GB2312"/>
          <w:color w:val="000000" w:themeColor="text1"/>
          <w:sz w:val="32"/>
          <w:szCs w:val="32"/>
          <w14:textFill>
            <w14:solidFill>
              <w14:schemeClr w14:val="tx1"/>
            </w14:solidFill>
          </w14:textFill>
        </w:rPr>
        <w:t>39.06</w:t>
      </w:r>
      <w:r>
        <w:rPr>
          <w:rFonts w:hint="eastAsia" w:ascii="Times New Roman" w:hAnsi="Times New Roman" w:eastAsia="仿宋_GB2312"/>
          <w:color w:val="000000" w:themeColor="text1"/>
          <w:sz w:val="32"/>
          <w:szCs w:val="32"/>
          <w14:textFill>
            <w14:solidFill>
              <w14:schemeClr w14:val="tx1"/>
            </w14:solidFill>
          </w14:textFill>
        </w:rPr>
        <w:t>万元，比上年决算数减少</w:t>
      </w:r>
      <w:r>
        <w:rPr>
          <w:rFonts w:hint="default" w:ascii="Times New Roman" w:hAnsi="Times New Roman" w:eastAsia="仿宋_GB2312"/>
          <w:color w:val="000000" w:themeColor="text1"/>
          <w:sz w:val="32"/>
          <w:szCs w:val="32"/>
          <w14:textFill>
            <w14:solidFill>
              <w14:schemeClr w14:val="tx1"/>
            </w14:solidFill>
          </w14:textFill>
        </w:rPr>
        <w:t>23.80</w:t>
      </w:r>
      <w:r>
        <w:rPr>
          <w:rFonts w:hint="eastAsia" w:ascii="Times New Roman" w:hAnsi="Times New Roman" w:eastAsia="仿宋_GB2312"/>
          <w:color w:val="000000" w:themeColor="text1"/>
          <w:sz w:val="32"/>
          <w:szCs w:val="32"/>
          <w14:textFill>
            <w14:solidFill>
              <w14:schemeClr w14:val="tx1"/>
            </w14:solidFill>
          </w14:textFill>
        </w:rPr>
        <w:t>万元，降低</w:t>
      </w:r>
      <w:r>
        <w:rPr>
          <w:rFonts w:hint="default" w:ascii="Times New Roman" w:hAnsi="Times New Roman" w:eastAsia="仿宋_GB2312"/>
          <w:color w:val="000000" w:themeColor="text1"/>
          <w:sz w:val="32"/>
          <w:szCs w:val="32"/>
          <w14:textFill>
            <w14:solidFill>
              <w14:schemeClr w14:val="tx1"/>
            </w14:solidFill>
          </w14:textFill>
        </w:rPr>
        <w:t>37.86</w:t>
      </w:r>
      <w:r>
        <w:rPr>
          <w:rFonts w:hint="eastAsia" w:ascii="Times New Roman" w:hAnsi="Times New Roman" w:eastAsia="仿宋_GB2312"/>
          <w:color w:val="000000" w:themeColor="text1"/>
          <w:sz w:val="32"/>
          <w:szCs w:val="32"/>
          <w14:textFill>
            <w14:solidFill>
              <w14:schemeClr w14:val="tx1"/>
            </w14:solidFill>
          </w14:textFill>
        </w:rPr>
        <w:t>%。主要原因是较上年减少了疫情防控支出</w:t>
      </w:r>
      <w:r>
        <w:rPr>
          <w:rFonts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w:t>
      </w:r>
    </w:p>
    <w:p>
      <w:pPr>
        <w:pStyle w:val="15"/>
        <w:keepNext w:val="0"/>
        <w:keepLines w:val="0"/>
        <w:pageBreakBefore w:val="0"/>
        <w:widowControl w:val="0"/>
        <w:numPr>
          <w:numId w:val="0"/>
        </w:numPr>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default" w:hAnsi="黑体" w:cs="黑体"/>
          <w:b w:val="0"/>
          <w:bCs/>
          <w:color w:val="000000" w:themeColor="text1"/>
          <w:sz w:val="32"/>
          <w:szCs w:val="32"/>
          <w14:textFill>
            <w14:solidFill>
              <w14:schemeClr w14:val="tx1"/>
            </w14:solidFill>
          </w14:textFill>
        </w:rPr>
        <w:t>十一、</w:t>
      </w:r>
      <w:r>
        <w:rPr>
          <w:rFonts w:hint="eastAsia" w:ascii="黑体" w:hAnsi="黑体" w:eastAsia="黑体" w:cs="黑体"/>
          <w:b w:val="0"/>
          <w:bCs/>
          <w:color w:val="000000" w:themeColor="text1"/>
          <w:sz w:val="32"/>
          <w:szCs w:val="32"/>
          <w14:textFill>
            <w14:solidFill>
              <w14:schemeClr w14:val="tx1"/>
            </w14:solidFill>
          </w14:textFill>
        </w:rPr>
        <w:t>一般性支出情况说明</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rFonts w:hint="default" w:ascii="楷体" w:hAnsi="楷体" w:eastAsia="楷体" w:cs="楷体"/>
          <w:b/>
          <w:bCs/>
          <w:i/>
          <w:color w:val="000000" w:themeColor="text1"/>
          <w:kern w:val="0"/>
          <w:sz w:val="32"/>
          <w:szCs w:val="32"/>
          <w:lang w:eastAsia="zh-CN" w:bidi="ar-SA"/>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年本部门开支会议费</w:t>
      </w:r>
      <w:r>
        <w:rPr>
          <w:rFonts w:hint="default" w:ascii="Times New Roman" w:hAnsi="Times New Roman" w:eastAsia="仿宋_GB2312"/>
          <w:color w:val="000000" w:themeColor="text1"/>
          <w:sz w:val="32"/>
          <w:szCs w:val="32"/>
          <w14:textFill>
            <w14:solidFill>
              <w14:schemeClr w14:val="tx1"/>
            </w14:solidFill>
          </w14:textFill>
        </w:rPr>
        <w:t>3.49</w:t>
      </w:r>
      <w:r>
        <w:rPr>
          <w:rFonts w:hint="eastAsia" w:ascii="Times New Roman" w:hAnsi="Times New Roman" w:eastAsia="仿宋_GB2312"/>
          <w:color w:val="000000" w:themeColor="text1"/>
          <w:sz w:val="32"/>
          <w:szCs w:val="32"/>
          <w14:textFill>
            <w14:solidFill>
              <w14:schemeClr w14:val="tx1"/>
            </w14:solidFill>
          </w14:textFill>
        </w:rPr>
        <w:t>万元，用于召开</w:t>
      </w:r>
      <w:r>
        <w:rPr>
          <w:rFonts w:hint="default" w:ascii="Times New Roman" w:hAnsi="Times New Roman" w:eastAsia="仿宋_GB2312"/>
          <w:color w:val="000000" w:themeColor="text1"/>
          <w:sz w:val="32"/>
          <w:szCs w:val="32"/>
          <w14:textFill>
            <w14:solidFill>
              <w14:schemeClr w14:val="tx1"/>
            </w14:solidFill>
          </w14:textFill>
        </w:rPr>
        <w:t>春耕农资保供</w:t>
      </w:r>
      <w:r>
        <w:rPr>
          <w:rFonts w:hint="eastAsia" w:ascii="Times New Roman" w:hAnsi="Times New Roman" w:eastAsia="仿宋_GB2312"/>
          <w:color w:val="000000" w:themeColor="text1"/>
          <w:sz w:val="32"/>
          <w:szCs w:val="32"/>
          <w14:textFill>
            <w14:solidFill>
              <w14:schemeClr w14:val="tx1"/>
            </w14:solidFill>
          </w14:textFill>
        </w:rPr>
        <w:t>会议</w:t>
      </w:r>
      <w:r>
        <w:rPr>
          <w:rFonts w:hint="default" w:ascii="Times New Roman" w:hAnsi="Times New Roman" w:eastAsia="仿宋_GB2312"/>
          <w:color w:val="000000" w:themeColor="text1"/>
          <w:sz w:val="32"/>
          <w:szCs w:val="32"/>
          <w14:textFill>
            <w14:solidFill>
              <w14:schemeClr w14:val="tx1"/>
            </w14:solidFill>
          </w14:textFill>
        </w:rPr>
        <w:t>0.12万元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24</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春耕农资供应保障</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中国供销集团投资怀化项目汇报</w:t>
      </w:r>
      <w:r>
        <w:rPr>
          <w:rFonts w:hint="eastAsia" w:ascii="Times New Roman" w:hAnsi="Times New Roman" w:eastAsia="仿宋_GB2312"/>
          <w:color w:val="000000" w:themeColor="text1"/>
          <w:sz w:val="32"/>
          <w:szCs w:val="32"/>
          <w14:textFill>
            <w14:solidFill>
              <w14:schemeClr w14:val="tx1"/>
            </w14:solidFill>
          </w14:textFill>
        </w:rPr>
        <w:t>会议</w:t>
      </w:r>
      <w:r>
        <w:rPr>
          <w:rFonts w:hint="default" w:ascii="Times New Roman" w:hAnsi="Times New Roman" w:eastAsia="仿宋_GB2312"/>
          <w:color w:val="000000" w:themeColor="text1"/>
          <w:sz w:val="32"/>
          <w:szCs w:val="32"/>
          <w14:textFill>
            <w14:solidFill>
              <w14:schemeClr w14:val="tx1"/>
            </w14:solidFill>
          </w14:textFill>
        </w:rPr>
        <w:t>0.12万元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7</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中国供销集团投资怀化项目汇报</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全域销售活动筹备会议0.15万元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37</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筹备全域销售活动</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农服公司筹备</w:t>
      </w:r>
      <w:r>
        <w:rPr>
          <w:rFonts w:hint="eastAsia" w:ascii="Times New Roman" w:hAnsi="Times New Roman" w:eastAsia="仿宋_GB2312"/>
          <w:color w:val="000000" w:themeColor="text1"/>
          <w:sz w:val="32"/>
          <w:szCs w:val="32"/>
          <w14:textFill>
            <w14:solidFill>
              <w14:schemeClr w14:val="tx1"/>
            </w14:solidFill>
          </w14:textFill>
        </w:rPr>
        <w:t>会议</w:t>
      </w:r>
      <w:r>
        <w:rPr>
          <w:rFonts w:hint="default" w:ascii="Times New Roman" w:hAnsi="Times New Roman" w:eastAsia="仿宋_GB2312"/>
          <w:color w:val="000000" w:themeColor="text1"/>
          <w:sz w:val="32"/>
          <w:szCs w:val="32"/>
          <w14:textFill>
            <w14:solidFill>
              <w14:schemeClr w14:val="tx1"/>
            </w14:solidFill>
          </w14:textFill>
        </w:rPr>
        <w:t>0.13万元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13</w:t>
      </w:r>
      <w:r>
        <w:rPr>
          <w:rFonts w:hint="eastAsia" w:ascii="Times New Roman" w:hAnsi="Times New Roman" w:eastAsia="仿宋_GB2312"/>
          <w:color w:val="000000" w:themeColor="text1"/>
          <w:sz w:val="32"/>
          <w:szCs w:val="32"/>
          <w14:textFill>
            <w14:solidFill>
              <w14:schemeClr w14:val="tx1"/>
            </w14:solidFill>
          </w14:textFill>
        </w:rPr>
        <w:t>人，内容</w:t>
      </w:r>
      <w:r>
        <w:rPr>
          <w:rFonts w:hint="default" w:ascii="Times New Roman" w:hAnsi="Times New Roman" w:eastAsia="仿宋_GB2312"/>
          <w:color w:val="000000" w:themeColor="text1"/>
          <w:sz w:val="32"/>
          <w:szCs w:val="32"/>
          <w14:textFill>
            <w14:solidFill>
              <w14:schemeClr w14:val="tx1"/>
            </w14:solidFill>
          </w14:textFill>
        </w:rPr>
        <w:t>为筹备农服公司</w:t>
      </w:r>
      <w:r>
        <w:rPr>
          <w:rFonts w:hint="eastAsia" w:ascii="Times New Roman" w:hAnsi="Times New Roman" w:eastAsia="仿宋_GB2312"/>
          <w:color w:val="000000" w:themeColor="text1"/>
          <w:sz w:val="32"/>
          <w:szCs w:val="32"/>
          <w14:textFill>
            <w14:solidFill>
              <w14:schemeClr w14:val="tx1"/>
            </w14:solidFill>
          </w14:textFill>
        </w:rPr>
        <w:t>；用于召开</w:t>
      </w:r>
      <w:r>
        <w:rPr>
          <w:rFonts w:hint="default" w:ascii="Times New Roman" w:hAnsi="Times New Roman" w:eastAsia="仿宋_GB2312"/>
          <w:color w:val="000000" w:themeColor="text1"/>
          <w:sz w:val="32"/>
          <w:szCs w:val="32"/>
          <w14:textFill>
            <w14:solidFill>
              <w14:schemeClr w14:val="tx1"/>
            </w14:solidFill>
          </w14:textFill>
        </w:rPr>
        <w:t>供销集团来怀考察座谈会0.71万元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30</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供销集团来怀考察座谈</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全市综合业绩考核任务推进会议0.13万元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29</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全市综合业绩考核任务推进</w:t>
      </w:r>
      <w:r>
        <w:rPr>
          <w:rFonts w:hint="eastAsia" w:ascii="Times New Roman" w:hAnsi="Times New Roman" w:eastAsia="仿宋_GB2312"/>
          <w:color w:val="000000" w:themeColor="text1"/>
          <w:sz w:val="32"/>
          <w:szCs w:val="32"/>
          <w14:textFill>
            <w14:solidFill>
              <w14:schemeClr w14:val="tx1"/>
            </w14:solidFill>
          </w14:textFill>
        </w:rPr>
        <w:t>；用于召开</w:t>
      </w:r>
      <w:r>
        <w:rPr>
          <w:rFonts w:hint="default" w:ascii="Times New Roman" w:hAnsi="Times New Roman" w:eastAsia="仿宋_GB2312"/>
          <w:color w:val="000000" w:themeColor="text1"/>
          <w:sz w:val="32"/>
          <w:szCs w:val="32"/>
          <w14:textFill>
            <w14:solidFill>
              <w14:schemeClr w14:val="tx1"/>
            </w14:solidFill>
          </w14:textFill>
        </w:rPr>
        <w:t>2023-2024年度化肥淡季储备会议0.06万元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13</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2023-2024年度化肥淡季储备工作</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市社第一届理事会第三次全体会议暨第一届监事会第二次全体会议1.86万元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39</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市社第一届理事会第三次全体会议暨第一届监事会第二次全体会议</w:t>
      </w:r>
      <w:r>
        <w:rPr>
          <w:rFonts w:hint="eastAsia" w:ascii="Times New Roman" w:hAnsi="Times New Roman" w:eastAsia="仿宋_GB2312"/>
          <w:color w:val="000000" w:themeColor="text1"/>
          <w:sz w:val="32"/>
          <w:szCs w:val="32"/>
          <w14:textFill>
            <w14:solidFill>
              <w14:schemeClr w14:val="tx1"/>
            </w14:solidFill>
          </w14:textFill>
        </w:rPr>
        <w:t>；用于召开</w:t>
      </w:r>
      <w:r>
        <w:rPr>
          <w:rFonts w:hint="default" w:ascii="Times New Roman" w:hAnsi="Times New Roman" w:eastAsia="仿宋_GB2312"/>
          <w:color w:val="000000" w:themeColor="text1"/>
          <w:sz w:val="32"/>
          <w:szCs w:val="32"/>
          <w14:textFill>
            <w14:solidFill>
              <w14:schemeClr w14:val="tx1"/>
            </w14:solidFill>
          </w14:textFill>
        </w:rPr>
        <w:t>2023年综合业绩考核推进会0.20万元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42</w:t>
      </w:r>
      <w:r>
        <w:rPr>
          <w:rFonts w:hint="eastAsia" w:ascii="Times New Roman" w:hAnsi="Times New Roman" w:eastAsia="仿宋_GB2312"/>
          <w:color w:val="000000" w:themeColor="text1"/>
          <w:sz w:val="32"/>
          <w:szCs w:val="32"/>
          <w14:textFill>
            <w14:solidFill>
              <w14:schemeClr w14:val="tx1"/>
            </w14:solidFill>
          </w14:textFill>
        </w:rPr>
        <w:t>人，内容为</w:t>
      </w:r>
      <w:r>
        <w:rPr>
          <w:rFonts w:ascii="仿宋_GB2312" w:hAnsi="宋体"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推进全市系统业务工作</w:t>
      </w:r>
      <w:r>
        <w:rPr>
          <w:rFonts w:hint="default"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开支培训费</w:t>
      </w:r>
      <w:r>
        <w:rPr>
          <w:rFonts w:hint="default" w:ascii="Times New Roman" w:hAnsi="Times New Roman" w:eastAsia="仿宋_GB2312"/>
          <w:color w:val="000000" w:themeColor="text1"/>
          <w:sz w:val="32"/>
          <w:szCs w:val="32"/>
          <w14:textFill>
            <w14:solidFill>
              <w14:schemeClr w14:val="tx1"/>
            </w14:solidFill>
          </w14:textFill>
        </w:rPr>
        <w:t>2.07</w:t>
      </w:r>
      <w:r>
        <w:rPr>
          <w:rFonts w:hint="eastAsia" w:ascii="Times New Roman" w:hAnsi="Times New Roman" w:eastAsia="仿宋_GB2312"/>
          <w:color w:val="000000" w:themeColor="text1"/>
          <w:sz w:val="32"/>
          <w:szCs w:val="32"/>
          <w14:textFill>
            <w14:solidFill>
              <w14:schemeClr w14:val="tx1"/>
            </w14:solidFill>
          </w14:textFill>
        </w:rPr>
        <w:t>万元，用于开展</w:t>
      </w:r>
      <w:r>
        <w:rPr>
          <w:rFonts w:hint="default" w:ascii="Times New Roman" w:hAnsi="Times New Roman" w:eastAsia="仿宋_GB2312"/>
          <w:color w:val="000000" w:themeColor="text1"/>
          <w:sz w:val="32"/>
          <w:szCs w:val="32"/>
          <w14:textFill>
            <w14:solidFill>
              <w14:schemeClr w14:val="tx1"/>
            </w14:solidFill>
          </w14:textFill>
        </w:rPr>
        <w:t>农业社会化服务大联盟</w:t>
      </w:r>
      <w:r>
        <w:rPr>
          <w:rFonts w:hint="eastAsia" w:ascii="Times New Roman" w:hAnsi="Times New Roman" w:eastAsia="仿宋_GB2312"/>
          <w:color w:val="000000" w:themeColor="text1"/>
          <w:sz w:val="32"/>
          <w:szCs w:val="32"/>
          <w14:textFill>
            <w14:solidFill>
              <w14:schemeClr w14:val="tx1"/>
            </w14:solidFill>
          </w14:textFill>
        </w:rPr>
        <w:t>培训</w:t>
      </w:r>
      <w:r>
        <w:rPr>
          <w:rFonts w:hint="default" w:ascii="Times New Roman" w:hAnsi="Times New Roman" w:eastAsia="仿宋_GB2312"/>
          <w:color w:val="000000" w:themeColor="text1"/>
          <w:sz w:val="32"/>
          <w:szCs w:val="32"/>
          <w14:textFill>
            <w14:solidFill>
              <w14:schemeClr w14:val="tx1"/>
            </w14:solidFill>
          </w14:textFill>
        </w:rPr>
        <w:t>0.33万元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36</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开展农业社会化服务大联盟工作</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参加社有企业“三项制度”改革与高质量发展培训班1.17万元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人，内容</w:t>
      </w:r>
      <w:r>
        <w:rPr>
          <w:rFonts w:hint="default" w:ascii="Times New Roman" w:hAnsi="Times New Roman" w:eastAsia="仿宋_GB2312"/>
          <w:color w:val="000000" w:themeColor="text1"/>
          <w:sz w:val="32"/>
          <w:szCs w:val="32"/>
          <w14:textFill>
            <w14:solidFill>
              <w14:schemeClr w14:val="tx1"/>
            </w14:solidFill>
          </w14:textFill>
        </w:rPr>
        <w:t>学习总社七届五次理事会关于社有企业改革的重点任务，社有企业“三项制度”等</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参加省社2023年第一期基层社主任培训示范班0.16万元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学习供销社综合改革业务知识等；</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参加省社2023年全省系统审计工作人员业务专题培训班0.13万元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学习内部审计业务知识等；</w:t>
      </w:r>
      <w:r>
        <w:rPr>
          <w:rFonts w:hint="eastAsia" w:ascii="Times New Roman" w:hAnsi="Times New Roman" w:eastAsia="仿宋_GB2312"/>
          <w:color w:val="000000" w:themeColor="text1"/>
          <w:sz w:val="32"/>
          <w:szCs w:val="32"/>
          <w14:textFill>
            <w14:solidFill>
              <w14:schemeClr w14:val="tx1"/>
            </w14:solidFill>
          </w14:textFill>
        </w:rPr>
        <w:t>用于</w:t>
      </w:r>
      <w:r>
        <w:rPr>
          <w:rFonts w:hint="default" w:ascii="Times New Roman" w:hAnsi="Times New Roman" w:eastAsia="仿宋_GB2312"/>
          <w:color w:val="000000" w:themeColor="text1"/>
          <w:sz w:val="32"/>
          <w:szCs w:val="32"/>
          <w14:textFill>
            <w14:solidFill>
              <w14:schemeClr w14:val="tx1"/>
            </w14:solidFill>
          </w14:textFill>
        </w:rPr>
        <w:t>参加省社2023年全省供销合作社系统财务工作会议暨财务人员培训班0.19万元</w:t>
      </w:r>
      <w:r>
        <w:rPr>
          <w:rFonts w:hint="eastAsia" w:ascii="Times New Roman" w:hAnsi="Times New Roman" w:eastAsia="仿宋_GB2312"/>
          <w:color w:val="000000" w:themeColor="text1"/>
          <w:sz w:val="32"/>
          <w:szCs w:val="32"/>
          <w14:textFill>
            <w14:solidFill>
              <w14:schemeClr w14:val="tx1"/>
            </w14:solidFill>
          </w14:textFill>
        </w:rPr>
        <w:t>，人数</w:t>
      </w:r>
      <w:r>
        <w:rPr>
          <w:rFonts w:hint="default" w:ascii="Times New Roman" w:hAnsi="Times New Roman" w:eastAsia="仿宋_GB2312"/>
          <w:color w:val="000000" w:themeColor="text1"/>
          <w:sz w:val="32"/>
          <w:szCs w:val="32"/>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人，内容为</w:t>
      </w:r>
      <w:r>
        <w:rPr>
          <w:rFonts w:hint="default" w:ascii="Times New Roman" w:hAnsi="Times New Roman" w:eastAsia="仿宋_GB2312"/>
          <w:color w:val="000000" w:themeColor="text1"/>
          <w:sz w:val="32"/>
          <w:szCs w:val="32"/>
          <w14:textFill>
            <w14:solidFill>
              <w14:schemeClr w14:val="tx1"/>
            </w14:solidFill>
          </w14:textFill>
        </w:rPr>
        <w:t>学习系统财务管理、社有资产管理等。</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十</w:t>
      </w:r>
      <w:r>
        <w:rPr>
          <w:rFonts w:hint="default" w:hAnsi="黑体" w:cs="黑体"/>
          <w:b w:val="0"/>
          <w:bCs/>
          <w:color w:val="000000" w:themeColor="text1"/>
          <w:sz w:val="32"/>
          <w:szCs w:val="32"/>
          <w14:textFill>
            <w14:solidFill>
              <w14:schemeClr w14:val="tx1"/>
            </w14:solidFill>
          </w14:textFill>
        </w:rPr>
        <w:t>二</w:t>
      </w:r>
      <w:r>
        <w:rPr>
          <w:rFonts w:hint="eastAsia" w:ascii="黑体" w:hAnsi="黑体" w:eastAsia="黑体" w:cs="黑体"/>
          <w:b w:val="0"/>
          <w:bCs/>
          <w:color w:val="000000" w:themeColor="text1"/>
          <w:sz w:val="32"/>
          <w:szCs w:val="32"/>
          <w14:textFill>
            <w14:solidFill>
              <w14:schemeClr w14:val="tx1"/>
            </w14:solidFill>
          </w14:textFill>
        </w:rPr>
        <w:t>、关于政府采购支出说明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本部门202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年度政府采购支出总额</w:t>
      </w:r>
      <w:r>
        <w:rPr>
          <w:rFonts w:hint="default" w:ascii="Times New Roman" w:hAnsi="Times New Roman" w:eastAsia="仿宋_GB2312"/>
          <w:color w:val="000000" w:themeColor="text1"/>
          <w:sz w:val="32"/>
          <w:szCs w:val="32"/>
          <w14:textFill>
            <w14:solidFill>
              <w14:schemeClr w14:val="tx1"/>
            </w14:solidFill>
          </w14:textFill>
        </w:rPr>
        <w:t>140.31</w:t>
      </w:r>
      <w:r>
        <w:rPr>
          <w:rFonts w:hint="eastAsia" w:ascii="Times New Roman" w:hAnsi="Times New Roman" w:eastAsia="仿宋_GB2312"/>
          <w:color w:val="000000" w:themeColor="text1"/>
          <w:sz w:val="32"/>
          <w:szCs w:val="32"/>
          <w14:textFill>
            <w14:solidFill>
              <w14:schemeClr w14:val="tx1"/>
            </w14:solidFill>
          </w14:textFill>
        </w:rPr>
        <w:t>万元，其中：政府采购货物支出</w:t>
      </w:r>
      <w:r>
        <w:rPr>
          <w:rFonts w:hint="default" w:ascii="Times New Roman" w:hAnsi="Times New Roman" w:eastAsia="仿宋_GB2312"/>
          <w:color w:val="000000" w:themeColor="text1"/>
          <w:sz w:val="32"/>
          <w:szCs w:val="32"/>
          <w14:textFill>
            <w14:solidFill>
              <w14:schemeClr w14:val="tx1"/>
            </w14:solidFill>
          </w14:textFill>
        </w:rPr>
        <w:t>9.86</w:t>
      </w:r>
      <w:r>
        <w:rPr>
          <w:rFonts w:hint="eastAsia" w:ascii="Times New Roman" w:hAnsi="Times New Roman" w:eastAsia="仿宋_GB2312"/>
          <w:color w:val="000000" w:themeColor="text1"/>
          <w:sz w:val="32"/>
          <w:szCs w:val="32"/>
          <w14:textFill>
            <w14:solidFill>
              <w14:schemeClr w14:val="tx1"/>
            </w14:solidFill>
          </w14:textFill>
        </w:rPr>
        <w:t>万元、政府采购工程支出</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万元、政府采购服务支出</w:t>
      </w:r>
      <w:r>
        <w:rPr>
          <w:rFonts w:hint="default" w:ascii="Times New Roman" w:hAnsi="Times New Roman" w:eastAsia="仿宋_GB2312"/>
          <w:color w:val="000000" w:themeColor="text1"/>
          <w:sz w:val="32"/>
          <w:szCs w:val="32"/>
          <w14:textFill>
            <w14:solidFill>
              <w14:schemeClr w14:val="tx1"/>
            </w14:solidFill>
          </w14:textFill>
        </w:rPr>
        <w:t>130.45</w:t>
      </w:r>
      <w:r>
        <w:rPr>
          <w:rFonts w:hint="eastAsia" w:ascii="Times New Roman" w:hAnsi="Times New Roman" w:eastAsia="仿宋_GB2312"/>
          <w:color w:val="000000" w:themeColor="text1"/>
          <w:sz w:val="32"/>
          <w:szCs w:val="32"/>
          <w14:textFill>
            <w14:solidFill>
              <w14:schemeClr w14:val="tx1"/>
            </w14:solidFill>
          </w14:textFill>
        </w:rPr>
        <w:t>万元。授予中小企业合同金额</w:t>
      </w:r>
      <w:r>
        <w:rPr>
          <w:rFonts w:hint="default" w:ascii="Times New Roman" w:hAnsi="Times New Roman" w:eastAsia="仿宋_GB2312"/>
          <w:color w:val="000000" w:themeColor="text1"/>
          <w:sz w:val="32"/>
          <w:szCs w:val="32"/>
          <w14:textFill>
            <w14:solidFill>
              <w14:schemeClr w14:val="tx1"/>
            </w14:solidFill>
          </w14:textFill>
        </w:rPr>
        <w:t>135.13</w:t>
      </w:r>
      <w:r>
        <w:rPr>
          <w:rFonts w:hint="eastAsia" w:ascii="Times New Roman" w:hAnsi="Times New Roman" w:eastAsia="仿宋_GB2312"/>
          <w:color w:val="000000" w:themeColor="text1"/>
          <w:sz w:val="32"/>
          <w:szCs w:val="32"/>
          <w14:textFill>
            <w14:solidFill>
              <w14:schemeClr w14:val="tx1"/>
            </w14:solidFill>
          </w14:textFill>
        </w:rPr>
        <w:t>万元，占政府采购支出总额的</w:t>
      </w:r>
      <w:r>
        <w:rPr>
          <w:rFonts w:hint="default" w:ascii="Times New Roman" w:hAnsi="Times New Roman" w:eastAsia="仿宋_GB2312"/>
          <w:color w:val="000000" w:themeColor="text1"/>
          <w:sz w:val="32"/>
          <w:szCs w:val="32"/>
          <w14:textFill>
            <w14:solidFill>
              <w14:schemeClr w14:val="tx1"/>
            </w14:solidFill>
          </w14:textFill>
        </w:rPr>
        <w:t>96.31</w:t>
      </w:r>
      <w:r>
        <w:rPr>
          <w:rFonts w:hint="eastAsia" w:ascii="Times New Roman" w:hAnsi="Times New Roman" w:eastAsia="仿宋_GB2312"/>
          <w:color w:val="000000" w:themeColor="text1"/>
          <w:sz w:val="32"/>
          <w:szCs w:val="32"/>
          <w14:textFill>
            <w14:solidFill>
              <w14:schemeClr w14:val="tx1"/>
            </w14:solidFill>
          </w14:textFill>
        </w:rPr>
        <w:t>%，其中：授予小微企业合同金额</w:t>
      </w:r>
      <w:r>
        <w:rPr>
          <w:rFonts w:hint="default" w:ascii="Times New Roman" w:hAnsi="Times New Roman" w:eastAsia="仿宋_GB2312"/>
          <w:color w:val="000000" w:themeColor="text1"/>
          <w:sz w:val="32"/>
          <w:szCs w:val="32"/>
          <w14:textFill>
            <w14:solidFill>
              <w14:schemeClr w14:val="tx1"/>
            </w14:solidFill>
          </w14:textFill>
        </w:rPr>
        <w:t>134.97</w:t>
      </w:r>
      <w:r>
        <w:rPr>
          <w:rFonts w:hint="eastAsia" w:ascii="Times New Roman" w:hAnsi="Times New Roman" w:eastAsia="仿宋_GB2312"/>
          <w:color w:val="000000" w:themeColor="text1"/>
          <w:sz w:val="32"/>
          <w:szCs w:val="32"/>
          <w14:textFill>
            <w14:solidFill>
              <w14:schemeClr w14:val="tx1"/>
            </w14:solidFill>
          </w14:textFill>
        </w:rPr>
        <w:t>万元，占</w:t>
      </w:r>
      <w:r>
        <w:rPr>
          <w:rFonts w:hint="eastAsia" w:ascii="Times New Roman" w:hAnsi="Times New Roman" w:eastAsia="仿宋_GB2312"/>
          <w:color w:val="000000" w:themeColor="text1"/>
          <w:sz w:val="32"/>
          <w:szCs w:val="32"/>
          <w:lang w:eastAsia="zh-CN"/>
          <w14:textFill>
            <w14:solidFill>
              <w14:schemeClr w14:val="tx1"/>
            </w14:solidFill>
          </w14:textFill>
        </w:rPr>
        <w:t>授予中小企业合同金额</w:t>
      </w:r>
      <w:r>
        <w:rPr>
          <w:rFonts w:hint="eastAsia" w:ascii="Times New Roman" w:hAnsi="Times New Roman" w:eastAsia="仿宋_GB2312"/>
          <w:color w:val="000000" w:themeColor="text1"/>
          <w:sz w:val="32"/>
          <w:szCs w:val="32"/>
          <w14:textFill>
            <w14:solidFill>
              <w14:schemeClr w14:val="tx1"/>
            </w14:solidFill>
          </w14:textFill>
        </w:rPr>
        <w:t>的</w:t>
      </w:r>
      <w:r>
        <w:rPr>
          <w:rFonts w:hint="default" w:ascii="Times New Roman" w:hAnsi="Times New Roman" w:eastAsia="仿宋_GB2312"/>
          <w:color w:val="000000" w:themeColor="text1"/>
          <w:sz w:val="32"/>
          <w:szCs w:val="32"/>
          <w14:textFill>
            <w14:solidFill>
              <w14:schemeClr w14:val="tx1"/>
            </w14:solidFill>
          </w14:textFill>
        </w:rPr>
        <w:t>99.88</w:t>
      </w:r>
      <w:r>
        <w:rPr>
          <w:rFonts w:hint="eastAsia" w:ascii="Times New Roman" w:hAnsi="Times New Roman" w:eastAsia="仿宋_GB2312"/>
          <w:color w:val="000000" w:themeColor="text1"/>
          <w:sz w:val="32"/>
          <w:szCs w:val="32"/>
          <w14:textFill>
            <w14:solidFill>
              <w14:schemeClr w14:val="tx1"/>
            </w14:solidFill>
          </w14:textFill>
        </w:rPr>
        <w:t>%。货物采购授予中小企业合同金额占货物支出金额的</w:t>
      </w:r>
      <w:r>
        <w:rPr>
          <w:rFonts w:hint="default" w:ascii="Times New Roman" w:hAnsi="Times New Roman" w:eastAsia="仿宋_GB2312"/>
          <w:color w:val="000000" w:themeColor="text1"/>
          <w:sz w:val="32"/>
          <w:szCs w:val="32"/>
          <w14:textFill>
            <w14:solidFill>
              <w14:schemeClr w14:val="tx1"/>
            </w14:solidFill>
          </w14:textFill>
        </w:rPr>
        <w:t>100</w:t>
      </w:r>
      <w:r>
        <w:rPr>
          <w:rFonts w:hint="eastAsia" w:ascii="Times New Roman" w:hAnsi="Times New Roman" w:eastAsia="仿宋_GB2312"/>
          <w:color w:val="000000" w:themeColor="text1"/>
          <w:sz w:val="32"/>
          <w:szCs w:val="32"/>
          <w14:textFill>
            <w14:solidFill>
              <w14:schemeClr w14:val="tx1"/>
            </w14:solidFill>
          </w14:textFill>
        </w:rPr>
        <w:t>%，工程采购授予中小企业合同金额占工程支出金额的</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%，服务采购授予中小企业合同金额占服务支出金额的</w:t>
      </w:r>
      <w:r>
        <w:rPr>
          <w:rFonts w:hint="default" w:ascii="Times New Roman" w:hAnsi="Times New Roman" w:eastAsia="仿宋_GB2312"/>
          <w:color w:val="000000" w:themeColor="text1"/>
          <w:sz w:val="32"/>
          <w:szCs w:val="32"/>
          <w14:textFill>
            <w14:solidFill>
              <w14:schemeClr w14:val="tx1"/>
            </w14:solidFill>
          </w14:textFill>
        </w:rPr>
        <w:t>96.03</w:t>
      </w:r>
      <w:r>
        <w:rPr>
          <w:rFonts w:hint="eastAsia" w:ascii="Times New Roman" w:hAnsi="Times New Roman" w:eastAsia="仿宋_GB2312"/>
          <w:color w:val="000000" w:themeColor="text1"/>
          <w:sz w:val="32"/>
          <w:szCs w:val="32"/>
          <w14:textFill>
            <w14:solidFill>
              <w14:schemeClr w14:val="tx1"/>
            </w14:solidFill>
          </w14:textFill>
        </w:rPr>
        <w:t>%。</w:t>
      </w:r>
    </w:p>
    <w:p>
      <w:pPr>
        <w:pStyle w:val="15"/>
        <w:keepNext w:val="0"/>
        <w:keepLines w:val="0"/>
        <w:pageBreakBefore w:val="0"/>
        <w:widowControl w:val="0"/>
        <w:numPr>
          <w:numId w:val="0"/>
        </w:numPr>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default" w:hAnsi="黑体" w:cs="黑体"/>
          <w:b w:val="0"/>
          <w:bCs/>
          <w:color w:val="000000" w:themeColor="text1"/>
          <w:sz w:val="32"/>
          <w:szCs w:val="32"/>
          <w14:textFill>
            <w14:solidFill>
              <w14:schemeClr w14:val="tx1"/>
            </w14:solidFill>
          </w14:textFill>
        </w:rPr>
        <w:t>十三、</w:t>
      </w:r>
      <w:r>
        <w:rPr>
          <w:rFonts w:hint="eastAsia" w:ascii="黑体" w:hAnsi="黑体" w:eastAsia="黑体" w:cs="黑体"/>
          <w:b w:val="0"/>
          <w:bCs/>
          <w:color w:val="000000" w:themeColor="text1"/>
          <w:sz w:val="32"/>
          <w:szCs w:val="32"/>
          <w14:textFill>
            <w14:solidFill>
              <w14:schemeClr w14:val="tx1"/>
            </w14:solidFill>
          </w14:textFill>
        </w:rPr>
        <w:t>关于国有资产占用情况说明</w:t>
      </w: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截至202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olor w:val="000000" w:themeColor="text1"/>
          <w:sz w:val="32"/>
          <w:szCs w:val="32"/>
          <w14:textFill>
            <w14:solidFill>
              <w14:schemeClr w14:val="tx1"/>
            </w14:solidFill>
          </w14:textFill>
        </w:rPr>
        <w:t>年12月31日，</w:t>
      </w:r>
      <w:r>
        <w:rPr>
          <w:rFonts w:hint="default" w:ascii="Times New Roman" w:hAnsi="Times New Roman" w:eastAsia="仿宋_GB2312"/>
          <w:color w:val="000000" w:themeColor="text1"/>
          <w:sz w:val="32"/>
          <w:szCs w:val="32"/>
          <w:lang w:eastAsia="zh-CN"/>
          <w14:textFill>
            <w14:solidFill>
              <w14:schemeClr w14:val="tx1"/>
            </w14:solidFill>
          </w14:textFill>
        </w:rPr>
        <w:t>本</w:t>
      </w:r>
      <w:r>
        <w:rPr>
          <w:rFonts w:hint="eastAsia" w:ascii="Times New Roman" w:hAnsi="Times New Roman" w:eastAsia="仿宋_GB2312"/>
          <w:color w:val="000000" w:themeColor="text1"/>
          <w:sz w:val="32"/>
          <w:szCs w:val="32"/>
          <w:lang w:eastAsia="zh-CN"/>
          <w14:textFill>
            <w14:solidFill>
              <w14:schemeClr w14:val="tx1"/>
            </w14:solidFill>
          </w14:textFill>
        </w:rPr>
        <w:t>单位</w:t>
      </w:r>
      <w:r>
        <w:rPr>
          <w:rFonts w:hint="eastAsia" w:ascii="Times New Roman" w:hAnsi="Times New Roman" w:eastAsia="仿宋_GB2312"/>
          <w:color w:val="000000" w:themeColor="text1"/>
          <w:sz w:val="32"/>
          <w:szCs w:val="32"/>
          <w14:textFill>
            <w14:solidFill>
              <w14:schemeClr w14:val="tx1"/>
            </w14:solidFill>
          </w14:textFill>
        </w:rPr>
        <w:t>共有车辆</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辆，其中</w:t>
      </w:r>
      <w:r>
        <w:rPr>
          <w:rFonts w:hint="eastAsia" w:ascii="Times New Roman" w:hAnsi="Times New Roman" w:eastAsia="仿宋_GB2312"/>
          <w:color w:val="000000" w:themeColor="text1"/>
          <w:sz w:val="32"/>
          <w:szCs w:val="32"/>
          <w:lang w:eastAsia="zh-CN"/>
          <w14:textFill>
            <w14:solidFill>
              <w14:schemeClr w14:val="tx1"/>
            </w14:solidFill>
          </w14:textFill>
        </w:rPr>
        <w:t>，副部（省）级及以上领导用车</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主要</w:t>
      </w:r>
      <w:r>
        <w:rPr>
          <w:rFonts w:hint="eastAsia" w:ascii="Times New Roman" w:hAnsi="Times New Roman" w:eastAsia="仿宋_GB2312"/>
          <w:color w:val="000000" w:themeColor="text1"/>
          <w:sz w:val="32"/>
          <w:szCs w:val="32"/>
          <w:lang w:eastAsia="zh-CN"/>
          <w14:textFill>
            <w14:solidFill>
              <w14:schemeClr w14:val="tx1"/>
            </w14:solidFill>
          </w14:textFill>
        </w:rPr>
        <w:t>负责人</w:t>
      </w:r>
      <w:r>
        <w:rPr>
          <w:rFonts w:hint="eastAsia" w:ascii="Times New Roman" w:hAnsi="Times New Roman" w:eastAsia="仿宋_GB2312"/>
          <w:color w:val="000000" w:themeColor="text1"/>
          <w:sz w:val="32"/>
          <w:szCs w:val="32"/>
          <w14:textFill>
            <w14:solidFill>
              <w14:schemeClr w14:val="tx1"/>
            </w14:solidFill>
          </w14:textFill>
        </w:rPr>
        <w:t>用车</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机要通信用车</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辆、应急保障用车</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辆、执法执勤用车</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辆、特种专业技术用车</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w:t>
      </w:r>
      <w:r>
        <w:rPr>
          <w:rFonts w:hint="eastAsia" w:ascii="Times New Roman" w:hAnsi="Times New Roman" w:eastAsia="仿宋_GB2312"/>
          <w:color w:val="000000" w:themeColor="text1"/>
          <w:sz w:val="32"/>
          <w:szCs w:val="32"/>
          <w:lang w:eastAsia="zh-CN"/>
          <w14:textFill>
            <w14:solidFill>
              <w14:schemeClr w14:val="tx1"/>
            </w14:solidFill>
          </w14:textFill>
        </w:rPr>
        <w:t>离退休干部服务用车</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辆、其他用车</w:t>
      </w:r>
      <w:r>
        <w:rPr>
          <w:rFonts w:hint="default"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辆，其他用车主要是</w:t>
      </w:r>
      <w:r>
        <w:rPr>
          <w:rFonts w:hint="eastAsia" w:ascii="Times New Roman" w:hAnsi="Times New Roman" w:eastAsia="仿宋_GB2312"/>
          <w:color w:val="000000" w:themeColor="text1"/>
          <w:sz w:val="32"/>
          <w:szCs w:val="32"/>
          <w:lang w:val="en-US" w:eastAsia="zh-CN"/>
          <w14:textFill>
            <w14:solidFill>
              <w14:schemeClr w14:val="tx1"/>
            </w14:solidFill>
          </w14:textFill>
        </w:rPr>
        <w:t>单位公务用车</w:t>
      </w:r>
      <w:r>
        <w:rPr>
          <w:rFonts w:hint="eastAsia" w:ascii="Times New Roman" w:hAnsi="Times New Roman" w:eastAsia="仿宋_GB2312"/>
          <w:color w:val="000000" w:themeColor="text1"/>
          <w:sz w:val="32"/>
          <w:szCs w:val="32"/>
          <w14:textFill>
            <w14:solidFill>
              <w14:schemeClr w14:val="tx1"/>
            </w14:solidFill>
          </w14:textFill>
        </w:rPr>
        <w:t>；单位价值100万元以上设备</w:t>
      </w:r>
      <w:r>
        <w:rPr>
          <w:rFonts w:hint="eastAsia" w:ascii="Times New Roman" w:hAnsi="Times New Roman" w:eastAsia="仿宋_GB2312"/>
          <w:color w:val="000000" w:themeColor="text1"/>
          <w:sz w:val="32"/>
          <w:szCs w:val="32"/>
          <w:lang w:eastAsia="zh-CN"/>
          <w14:textFill>
            <w14:solidFill>
              <w14:schemeClr w14:val="tx1"/>
            </w14:solidFill>
          </w14:textFill>
        </w:rPr>
        <w:t>（不含车辆）</w:t>
      </w:r>
      <w:r>
        <w:rPr>
          <w:rFonts w:hint="default" w:ascii="Times New Roman" w:hAnsi="Times New Roman" w:eastAsia="仿宋_GB2312"/>
          <w:color w:val="000000" w:themeColor="text1"/>
          <w:sz w:val="32"/>
          <w:szCs w:val="32"/>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台（套）。</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十</w:t>
      </w:r>
      <w:r>
        <w:rPr>
          <w:rFonts w:hint="default" w:hAnsi="黑体" w:cs="黑体"/>
          <w:b w:val="0"/>
          <w:bCs/>
          <w:color w:val="000000" w:themeColor="text1"/>
          <w:sz w:val="32"/>
          <w:szCs w:val="32"/>
          <w14:textFill>
            <w14:solidFill>
              <w14:schemeClr w14:val="tx1"/>
            </w14:solidFill>
          </w14:textFill>
        </w:rPr>
        <w:t>四</w:t>
      </w:r>
      <w:r>
        <w:rPr>
          <w:rFonts w:hint="eastAsia" w:ascii="黑体" w:hAnsi="黑体" w:eastAsia="黑体" w:cs="黑体"/>
          <w:b w:val="0"/>
          <w:bCs/>
          <w:color w:val="000000" w:themeColor="text1"/>
          <w:sz w:val="32"/>
          <w:szCs w:val="32"/>
          <w14:textFill>
            <w14:solidFill>
              <w14:schemeClr w14:val="tx1"/>
            </w14:solidFill>
          </w14:textFill>
        </w:rPr>
        <w:t>、关于</w:t>
      </w:r>
      <w:r>
        <w:rPr>
          <w:rFonts w:hint="eastAsia" w:ascii="Times New Roman" w:hAnsi="Times New Roman" w:eastAsia="仿宋_GB2312"/>
          <w:color w:val="000000" w:themeColor="text1"/>
          <w:sz w:val="32"/>
          <w:szCs w:val="32"/>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hint="eastAsia" w:ascii="黑体" w:hAnsi="黑体" w:eastAsia="黑体" w:cs="黑体"/>
          <w:b w:val="0"/>
          <w:bCs/>
          <w:color w:val="000000" w:themeColor="text1"/>
          <w:sz w:val="32"/>
          <w:szCs w:val="32"/>
          <w14:textFill>
            <w14:solidFill>
              <w14:schemeClr w14:val="tx1"/>
            </w14:solidFill>
          </w14:textFill>
        </w:rPr>
        <w:t>年度</w:t>
      </w:r>
      <w:r>
        <w:rPr>
          <w:rFonts w:hint="eastAsia" w:hAnsi="黑体" w:cs="黑体"/>
          <w:b w:val="0"/>
          <w:bCs/>
          <w:color w:val="000000" w:themeColor="text1"/>
          <w:sz w:val="32"/>
          <w:szCs w:val="32"/>
          <w:lang w:eastAsia="zh-CN"/>
          <w14:textFill>
            <w14:solidFill>
              <w14:schemeClr w14:val="tx1"/>
            </w14:solidFill>
          </w14:textFill>
        </w:rPr>
        <w:t>预算</w:t>
      </w:r>
      <w:r>
        <w:rPr>
          <w:rFonts w:hint="eastAsia" w:ascii="黑体" w:hAnsi="黑体" w:eastAsia="黑体" w:cs="黑体"/>
          <w:b w:val="0"/>
          <w:bCs/>
          <w:color w:val="000000" w:themeColor="text1"/>
          <w:sz w:val="32"/>
          <w:szCs w:val="32"/>
          <w14:textFill>
            <w14:solidFill>
              <w14:schemeClr w14:val="tx1"/>
            </w14:solidFill>
          </w14:textFill>
        </w:rPr>
        <w:t>绩效情况的说明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（一）绩效管理工作开展情况</w:t>
      </w:r>
    </w:p>
    <w:p>
      <w:pPr>
        <w:pStyle w:val="15"/>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default"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项目实施进度与预算执行进度按时、按质、完成项目建设任务。由专人负责监督项目的实施，项目完成后，由有关人员进行检查验收。完善专项资金管理，从源头入手，落实责任，合理使用，加强监管，确保资金的管理使用高效率。根据财政管理要求，结合我社实际</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将各项经济活动划分到具体工作岗位</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按照岗位确定任务、职责和权限，贯彻执行相关制度</w:t>
      </w:r>
      <w:r>
        <w:rPr>
          <w:rFonts w:hint="default" w:ascii="Times New Roman" w:hAnsi="Times New Roman" w:eastAsia="仿宋_GB2312"/>
          <w:color w:val="000000" w:themeColor="text1"/>
          <w:sz w:val="32"/>
          <w:szCs w:val="32"/>
          <w:lang w:eastAsia="zh-CN"/>
          <w14:textFill>
            <w14:solidFill>
              <w14:schemeClr w14:val="tx1"/>
            </w14:solidFill>
          </w14:textFill>
        </w:rPr>
        <w:t>。</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（二）</w:t>
      </w:r>
      <w:r>
        <w:rPr>
          <w:rFonts w:hint="eastAsia" w:ascii="楷体" w:hAnsi="楷体" w:eastAsia="楷体" w:cs="楷体"/>
          <w:b/>
          <w:bCs/>
          <w:color w:val="000000" w:themeColor="text1"/>
          <w:sz w:val="32"/>
          <w:szCs w:val="32"/>
          <w14:textFill>
            <w14:solidFill>
              <w14:schemeClr w14:val="tx1"/>
            </w14:solidFill>
          </w14:textFill>
        </w:rPr>
        <w:t>部门</w:t>
      </w:r>
      <w:r>
        <w:rPr>
          <w:rFonts w:hint="eastAsia" w:ascii="楷体" w:hAnsi="楷体" w:eastAsia="楷体" w:cs="楷体"/>
          <w:b/>
          <w:bCs/>
          <w:color w:val="000000" w:themeColor="text1"/>
          <w:sz w:val="32"/>
          <w:szCs w:val="32"/>
          <w:lang w:eastAsia="zh-CN"/>
          <w14:textFill>
            <w14:solidFill>
              <w14:schemeClr w14:val="tx1"/>
            </w14:solidFill>
          </w14:textFill>
        </w:rPr>
        <w:t>（单位）</w:t>
      </w:r>
      <w:r>
        <w:rPr>
          <w:rFonts w:hint="eastAsia" w:ascii="楷体" w:hAnsi="楷体" w:eastAsia="楷体" w:cs="楷体"/>
          <w:b/>
          <w:bCs/>
          <w:color w:val="000000" w:themeColor="text1"/>
          <w:sz w:val="32"/>
          <w:szCs w:val="32"/>
          <w14:textFill>
            <w14:solidFill>
              <w14:schemeClr w14:val="tx1"/>
            </w14:solidFill>
          </w14:textFill>
        </w:rPr>
        <w:t>整体支出绩效情况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600" w:lineRule="atLeast"/>
        <w:ind w:left="0" w:right="0" w:firstLine="630"/>
        <w:jc w:val="both"/>
        <w:textAlignment w:val="auto"/>
        <w:rPr>
          <w:rFonts w:ascii="微软雅黑" w:hAnsi="微软雅黑" w:eastAsia="微软雅黑" w:cs="微软雅黑"/>
          <w:i w:val="0"/>
          <w:caps w:val="0"/>
          <w:color w:val="000000" w:themeColor="text1"/>
          <w:spacing w:val="0"/>
          <w:sz w:val="21"/>
          <w:szCs w:val="21"/>
          <w14:textFill>
            <w14:solidFill>
              <w14:schemeClr w14:val="tx1"/>
            </w14:solidFill>
          </w14:textFill>
        </w:rPr>
      </w:pPr>
      <w:r>
        <w:rPr>
          <w:rFonts w:ascii="楷体" w:hAnsi="楷体" w:eastAsia="楷体" w:cs="楷体"/>
          <w:b/>
          <w:i w:val="0"/>
          <w:caps w:val="0"/>
          <w:color w:val="000000" w:themeColor="text1"/>
          <w:spacing w:val="0"/>
          <w:sz w:val="32"/>
          <w:szCs w:val="32"/>
          <w:shd w:val="clear" w:fill="FFFFFF"/>
          <w14:textFill>
            <w14:solidFill>
              <w14:schemeClr w14:val="tx1"/>
            </w14:solidFill>
          </w14:textFill>
        </w:rPr>
        <w:t>1.</w:t>
      </w:r>
      <w:r>
        <w:rPr>
          <w:rFonts w:hint="eastAsia" w:ascii="楷体" w:hAnsi="楷体" w:eastAsia="楷体" w:cs="楷体"/>
          <w:b/>
          <w:i w:val="0"/>
          <w:caps w:val="0"/>
          <w:color w:val="000000" w:themeColor="text1"/>
          <w:spacing w:val="0"/>
          <w:sz w:val="32"/>
          <w:szCs w:val="32"/>
          <w:shd w:val="clear" w:fill="FFFFFF"/>
          <w14:textFill>
            <w14:solidFill>
              <w14:schemeClr w14:val="tx1"/>
            </w14:solidFill>
          </w14:textFill>
        </w:rPr>
        <w:t>预算执行方面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29"/>
        <w:jc w:val="both"/>
        <w:textAlignment w:val="auto"/>
        <w:rPr>
          <w:rFonts w:ascii="Calibri" w:hAnsi="Calibri" w:cs="Calibri"/>
          <w:i w:val="0"/>
          <w:caps w:val="0"/>
          <w:color w:val="000000" w:themeColor="text1"/>
          <w:spacing w:val="0"/>
          <w:sz w:val="24"/>
          <w:szCs w:val="24"/>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一是项目实施进度与预算执行进度按时、按质、完成项目建设任务。由专人负责监督项目的实施，项目完成后，由有关人员进行检查验收。二是完善专项资金管理，从源头入手，落实责任，完善制度，合理使用，加强监管，确保资金的管理使用高效率。根据财政管理要求，结合本单位实际</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制定规章制度，将各项经济活动划分到具体工作岗位</w:t>
      </w:r>
      <w:r>
        <w:rPr>
          <w:rFonts w:hint="default" w:ascii="Times New Roman" w:hAnsi="Times New Roman" w:eastAsia="仿宋_GB2312" w:cs="黑体"/>
          <w:color w:val="000000" w:themeColor="text1"/>
          <w:kern w:val="0"/>
          <w:sz w:val="32"/>
          <w:szCs w:val="32"/>
          <w:lang w:eastAsia="zh-CN" w:bidi="ar-SA"/>
          <w14:textFill>
            <w14:solidFill>
              <w14:schemeClr w14:val="tx1"/>
            </w14:solidFill>
          </w14:textFill>
        </w:rPr>
        <w:t>，</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按照岗位确定任务、职责和权限，贯彻执行所制订的相关制度。</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600" w:lineRule="atLeast"/>
        <w:ind w:left="0" w:right="0" w:firstLine="630"/>
        <w:jc w:val="both"/>
        <w:textAlignment w:val="auto"/>
        <w:rPr>
          <w:rFonts w:hint="default" w:ascii="微软雅黑" w:hAnsi="微软雅黑" w:eastAsia="微软雅黑" w:cs="微软雅黑"/>
          <w:i w:val="0"/>
          <w:caps w:val="0"/>
          <w:color w:val="000000" w:themeColor="text1"/>
          <w:spacing w:val="0"/>
          <w:sz w:val="21"/>
          <w:szCs w:val="21"/>
          <w14:textFill>
            <w14:solidFill>
              <w14:schemeClr w14:val="tx1"/>
            </w14:solidFill>
          </w14:textFill>
        </w:rPr>
      </w:pPr>
      <w:r>
        <w:rPr>
          <w:rFonts w:hint="eastAsia" w:ascii="楷体" w:hAnsi="楷体" w:eastAsia="楷体" w:cs="楷体"/>
          <w:b/>
          <w:i w:val="0"/>
          <w:caps w:val="0"/>
          <w:color w:val="000000" w:themeColor="text1"/>
          <w:spacing w:val="0"/>
          <w:sz w:val="32"/>
          <w:szCs w:val="32"/>
          <w:shd w:val="clear" w:fill="FFFFFF"/>
          <w14:textFill>
            <w14:solidFill>
              <w14:schemeClr w14:val="tx1"/>
            </w14:solidFill>
          </w14:textFill>
        </w:rPr>
        <w:t>2.预算管理方面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1"/>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一是优化机关主要工作流程，切实提高行政效率，结合机关实际情况，落实资金计划的编制。2023年本单位严格执行各项财经法规制度，切实降低行政运行成本，严格按照过“紧日子”要求，坚持精打细算、勤俭节约，优化部门支出结构，大力压减一般性支出，持续严控“三公经费”。二是严格控制会议、接待费用，公务车辆维修、保险实行定点，严格执行办公用品实行申报审批报销管理，积极推进费用管控。三是为规范本单位的财务行为，加强财务管理，提高资金使用效益，保障本单位各项工作健康发展，本单位印发了《怀化市供销合作联合社内部控制建设工作方案》、《怀化市供销合作联合社财务管理办法》和《怀化市供销合作联合社预算管理办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600" w:lineRule="atLeast"/>
        <w:ind w:left="0" w:right="0" w:firstLine="630"/>
        <w:jc w:val="both"/>
        <w:textAlignment w:val="auto"/>
        <w:rPr>
          <w:rFonts w:hint="default" w:ascii="微软雅黑" w:hAnsi="微软雅黑" w:eastAsia="微软雅黑" w:cs="微软雅黑"/>
          <w:i w:val="0"/>
          <w:caps w:val="0"/>
          <w:color w:val="000000" w:themeColor="text1"/>
          <w:spacing w:val="0"/>
          <w:sz w:val="21"/>
          <w:szCs w:val="21"/>
          <w14:textFill>
            <w14:solidFill>
              <w14:schemeClr w14:val="tx1"/>
            </w14:solidFill>
          </w14:textFill>
        </w:rPr>
      </w:pPr>
      <w:r>
        <w:rPr>
          <w:rFonts w:hint="eastAsia" w:ascii="楷体" w:hAnsi="楷体" w:eastAsia="楷体" w:cs="楷体"/>
          <w:b/>
          <w:i w:val="0"/>
          <w:caps w:val="0"/>
          <w:color w:val="000000" w:themeColor="text1"/>
          <w:spacing w:val="0"/>
          <w:sz w:val="32"/>
          <w:szCs w:val="32"/>
          <w:shd w:val="clear" w:fill="FFFFFF"/>
          <w14:textFill>
            <w14:solidFill>
              <w14:schemeClr w14:val="tx1"/>
            </w14:solidFill>
          </w14:textFill>
        </w:rPr>
        <w:t>3.资产管理方面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315" w:lineRule="atLeast"/>
        <w:ind w:left="0" w:right="0" w:firstLine="641"/>
        <w:jc w:val="both"/>
        <w:textAlignment w:val="auto"/>
        <w:rPr>
          <w:rFonts w:hint="default"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本单位狠抓固定资产管理基础工作，加强政府采购的执行力度，确保政府采购工作健康有序进行，加强资产信息</w:t>
      </w:r>
      <w:bookmarkStart w:id="0" w:name="_GoBack"/>
      <w:bookmarkEnd w:id="0"/>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化建设，完成固定资产折旧，实现资产动态管理，提高资产使用效益。 一是对单位确需购置和维修的固定资产，由办公室列出计划和预算，报社领导批准。对于属于政府采购的项目和维修项目必须执行政府采购，采购与验收实行专人负责。所有资产购买必须从政采云采购。对大宗、贵重物品，社领导必须亲自参与验收。二是对除房屋、建筑物以外的固定资产实行“谁使用、谁保管、谁维护”的原则，对故意造成物资毁损的，应照价赔偿。三是处置固定资产时，由办公室人员填写《国有资产处置审批表》一式四份，同时提供被处置资产的有关资料（包括被处置资产原始凭证复印证、鉴定资料及有关证明等），报分管领导审定，并经财政部门审批批准后进行处置。对固定资产以外的财产物资，由相关责任人员提出意见，报办公室按金额大小分别报分管领导审批。四是为保证单位财务物资的账实相符，不定期开展财产物资的清查盘点工作。办公室牵头、使用部门、保管部门配合，对单位财产物资进行具体的清查盘点。五是为规范社有企业管理，本单位印发了《怀化市供销合作联合社社有资产监督管理实施办法（试行）》。</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600" w:lineRule="atLeast"/>
        <w:ind w:left="0" w:right="0" w:firstLine="630"/>
        <w:jc w:val="both"/>
        <w:textAlignment w:val="auto"/>
        <w:rPr>
          <w:rFonts w:hint="default" w:ascii="微软雅黑" w:hAnsi="微软雅黑" w:eastAsia="微软雅黑" w:cs="微软雅黑"/>
          <w:i w:val="0"/>
          <w:caps w:val="0"/>
          <w:color w:val="000000" w:themeColor="text1"/>
          <w:spacing w:val="0"/>
          <w:sz w:val="21"/>
          <w:szCs w:val="21"/>
          <w14:textFill>
            <w14:solidFill>
              <w14:schemeClr w14:val="tx1"/>
            </w14:solidFill>
          </w14:textFill>
        </w:rPr>
      </w:pPr>
      <w:r>
        <w:rPr>
          <w:rFonts w:hint="eastAsia" w:ascii="楷体" w:hAnsi="楷体" w:eastAsia="楷体" w:cs="楷体"/>
          <w:b/>
          <w:i w:val="0"/>
          <w:caps w:val="0"/>
          <w:color w:val="000000" w:themeColor="text1"/>
          <w:spacing w:val="0"/>
          <w:sz w:val="32"/>
          <w:szCs w:val="32"/>
          <w:shd w:val="clear" w:fill="FFFFFF"/>
          <w14:textFill>
            <w14:solidFill>
              <w14:schemeClr w14:val="tx1"/>
            </w14:solidFill>
          </w14:textFill>
        </w:rPr>
        <w:t>4.职责履行和履职效益方面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20" w:lineRule="atLeast"/>
        <w:ind w:left="0" w:right="0" w:firstLine="643"/>
        <w:jc w:val="both"/>
        <w:textAlignment w:val="auto"/>
        <w:rPr>
          <w:rFonts w:hint="default"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仿宋" w:hAnsi="仿宋" w:eastAsia="仿宋" w:cs="仿宋"/>
          <w:b/>
          <w:i w:val="0"/>
          <w:caps w:val="0"/>
          <w:color w:val="000000" w:themeColor="text1"/>
          <w:spacing w:val="0"/>
          <w:sz w:val="32"/>
          <w:szCs w:val="32"/>
          <w:shd w:val="clear" w:fill="FFFFFF"/>
          <w14:textFill>
            <w14:solidFill>
              <w14:schemeClr w14:val="tx1"/>
            </w14:solidFill>
          </w14:textFill>
        </w:rPr>
        <w:t>综合改革迈出新步伐。一是大力实施“强基强能”工程。</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扎实推进</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两个到户</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工作，完成13个高质量乡镇供销社、55个村综合服务社建设，统一对155个基层供销社进行编码认证，规范标识标牌，实行动态管理，有效推动基层供销社实质化运转。沅陵、辰溪、中方、鹤城、洪江区工作措施有力，创建效果明显。</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二是大力提升为农服务能力。</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出台《深化社有企业改革工作方案》及《社有企业</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三降两清一扭</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专项行动实施方案》，指导社有企业深化体制机制改革，帮助市县两级76家社有企业逐步减负脱困，扩大生产经营。同时因地制宜联合基层供销社推出农资供应、日用品下行、农产品销售、金融服务等民生业务，与市工商银行、太平洋保险公司签订战略合作协议，打造</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供销+金融</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怀化模式，得到农民群众普遍认可。</w:t>
      </w:r>
      <w:r>
        <w:rPr>
          <w:rFonts w:hint="eastAsia" w:ascii="仿宋" w:hAnsi="仿宋" w:eastAsia="仿宋" w:cs="仿宋"/>
          <w:b/>
          <w:i w:val="0"/>
          <w:caps w:val="0"/>
          <w:color w:val="000000" w:themeColor="text1"/>
          <w:spacing w:val="0"/>
          <w:sz w:val="32"/>
          <w:szCs w:val="32"/>
          <w:shd w:val="clear" w:fill="FFFFFF"/>
          <w14:textFill>
            <w14:solidFill>
              <w14:schemeClr w14:val="tx1"/>
            </w14:solidFill>
          </w14:textFill>
        </w:rPr>
        <w:t>三是大力选树经验典型。</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综合改革工作报道《着力推动高质量发展</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 </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绘就兴农强社新画卷》《聚焦</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强基强能</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助推乡村全面振兴》、农产品销售工作报道《</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怀景怀乡怀味</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进北京 怀化市在京宣传推介优质农产品》《怀化：搭建供销红背篓销售平台助力山货出山》等7篇在人民日报新媒体平台</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人民号</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中华合作时报、中国供销合作网、湖南日报等上级媒体专版发布。据统计，全年中央、省、市主流媒体正面宣传报道、刊登转发达357次。各县市区供销社也开展了大量宣传报导，其中新晃、芷江、会同、沅陵宣传力度较大，氛围营造良好。</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70" w:lineRule="atLeast"/>
        <w:ind w:left="0" w:right="0" w:firstLine="643"/>
        <w:jc w:val="both"/>
        <w:textAlignment w:val="auto"/>
        <w:rPr>
          <w:rFonts w:hint="default" w:ascii="微软雅黑" w:hAnsi="微软雅黑" w:eastAsia="微软雅黑" w:cs="微软雅黑"/>
          <w:i w:val="0"/>
          <w:caps w:val="0"/>
          <w:color w:val="000000" w:themeColor="text1"/>
          <w:spacing w:val="0"/>
          <w:sz w:val="21"/>
          <w:szCs w:val="21"/>
          <w14:textFill>
            <w14:solidFill>
              <w14:schemeClr w14:val="tx1"/>
            </w14:solidFill>
          </w14:textFill>
        </w:rPr>
      </w:pPr>
      <w:r>
        <w:rPr>
          <w:rFonts w:hint="eastAsia" w:ascii="仿宋" w:hAnsi="仿宋" w:eastAsia="仿宋" w:cs="仿宋"/>
          <w:b/>
          <w:i w:val="0"/>
          <w:caps w:val="0"/>
          <w:color w:val="000000" w:themeColor="text1"/>
          <w:spacing w:val="0"/>
          <w:sz w:val="32"/>
          <w:szCs w:val="32"/>
          <w:shd w:val="clear" w:fill="FFFFFF"/>
          <w14:textFill>
            <w14:solidFill>
              <w14:schemeClr w14:val="tx1"/>
            </w14:solidFill>
          </w14:textFill>
        </w:rPr>
        <w:t>争资引项注入新动能。一是坚持高位推动。</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市委决策建设国际陆港，为引进中国供销集团带来了重大机遇。忠建书记将引进中国供销集团来怀投资、打造供销合作全国标杆列入市委全会决议，多次亲自接洽、陪同，高位推动。春秋市长高度重视，上门拜访，专题调度。登峰副市长担任招商工作领导小组组长，精心指导、跟踪推进。我社召开</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次党组会、专题会调度研究，成立工作专班，制定工作方案，组织全员上阵，压缩其它经费，全力保障争资引项工作顺利进行。</w:t>
      </w:r>
      <w:r>
        <w:rPr>
          <w:rFonts w:hint="eastAsia" w:ascii="仿宋" w:hAnsi="仿宋" w:eastAsia="仿宋" w:cs="仿宋"/>
          <w:b/>
          <w:i w:val="0"/>
          <w:caps w:val="0"/>
          <w:color w:val="000000" w:themeColor="text1"/>
          <w:spacing w:val="0"/>
          <w:sz w:val="32"/>
          <w:szCs w:val="32"/>
          <w:shd w:val="clear" w:fill="FFFFFF"/>
          <w14:textFill>
            <w14:solidFill>
              <w14:schemeClr w14:val="tx1"/>
            </w14:solidFill>
          </w14:textFill>
        </w:rPr>
        <w:t>二是强化沟通衔接。</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围绕全国总社、中国供销集团及</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11</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家一级子公司，多次以视频会议、函件、上门拜访、邀请来怀等方式，开展精准对接、深度沟通。全年先后</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9</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次赴北京上门拜访，</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13</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次赴长沙对接集团湖南公司，当面向全国总社党组书记韩立平汇报</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次，全国总社监事会主任蔡振红汇报</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次，全国总社党组成员、副主任、集团董事长侯顺利汇报</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次，集团总经理康玉国汇报</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7</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次。邀请</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7</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家子公司主要负责人和高管</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30</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余人</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11</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次来怀现场考察洽谈，并协助集团企业开展市场调研</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30</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余次。</w:t>
      </w:r>
      <w:r>
        <w:rPr>
          <w:rFonts w:hint="eastAsia" w:ascii="仿宋" w:hAnsi="仿宋" w:eastAsia="仿宋" w:cs="仿宋"/>
          <w:b/>
          <w:i w:val="0"/>
          <w:caps w:val="0"/>
          <w:color w:val="000000" w:themeColor="text1"/>
          <w:spacing w:val="0"/>
          <w:sz w:val="32"/>
          <w:szCs w:val="32"/>
          <w:shd w:val="clear" w:fill="FFFFFF"/>
          <w14:textFill>
            <w14:solidFill>
              <w14:schemeClr w14:val="tx1"/>
            </w14:solidFill>
          </w14:textFill>
        </w:rPr>
        <w:t>三是持续精细服务。</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全面梳理怀化投资政策优势，深入陆港、县市区调研考察，建立符合集团来怀投资项目库，编制项目可行性报告，组织开展项目论证座谈</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43</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次，对符合条件的</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8</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个项目进行</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轮修改完善，全年</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白</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黑</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”“5+2”“</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晴</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雨</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，有效化解集团对来怀投资回报、效益分析等多方面顾虑，促成项目落地，服务态度、质效得到中国供销集团书面表扬、致谢。</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4</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日，首届</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RCEP</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经贸博览会双方顺利签订《战略合作框架协议》。</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27</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日，投资</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亿元的芷江农产品批发市场签订项目协议；</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9</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12</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日，投资</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22</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亿的中国供销</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怀化三农产业园签订《招商引资协议》，</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12</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24</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日正式开工；</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11</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8</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日，投资</w:t>
      </w:r>
      <w:r>
        <w:rPr>
          <w:rFonts w:hint="default" w:ascii="Times New Roman" w:hAnsi="Times New Roman" w:eastAsia="微软雅黑" w:cs="Times New Roman"/>
          <w:i w:val="0"/>
          <w:caps w:val="0"/>
          <w:color w:val="000000" w:themeColor="text1"/>
          <w:spacing w:val="0"/>
          <w:sz w:val="32"/>
          <w:szCs w:val="32"/>
          <w:shd w:val="clear" w:fill="FFFFFF"/>
          <w14:textFill>
            <w14:solidFill>
              <w14:schemeClr w14:val="tx1"/>
            </w14:solidFill>
          </w14:textFill>
        </w:rPr>
        <w:t>15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亿元的麻阳智慧冷链物流园举行品牌商家进驻签约仪式。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70" w:lineRule="atLeast"/>
        <w:ind w:left="0" w:right="0" w:firstLine="643"/>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ascii="楷体_GB2312" w:hAnsi="Times New Roman" w:eastAsia="楷体_GB2312" w:cs="楷体_GB2312"/>
          <w:b/>
          <w:i w:val="0"/>
          <w:caps w:val="0"/>
          <w:color w:val="000000" w:themeColor="text1"/>
          <w:spacing w:val="0"/>
          <w:sz w:val="32"/>
          <w:szCs w:val="32"/>
          <w:shd w:val="clear" w:fill="FFFFFF"/>
          <w14:textFill>
            <w14:solidFill>
              <w14:schemeClr w14:val="tx1"/>
            </w14:solidFill>
          </w14:textFill>
        </w:rPr>
        <w:t>联农利农焕发新气象。</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一是抓实春耕保供。</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市</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本级联动新晃、溆浦、芷江、中方、会同等</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5个县投入财政资金150万元开展农资淡季储备工作，联合承储化肥2.25万吨，带动社会企业储备5万多吨，占全市化肥储备量的75%，辐射全市供销系统29个农超市场、149个农资网点，实现全年优质优价供应销售各类农业生产资料12万吨，销售金额达6亿元，较好发挥了供销系统农资淡储稳价保供功能。</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二是抓实农化联盟。</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市、县两级先后成立了</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农业社会化服务大联盟</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，截至目前怀化商品服务上架共606件，小程序用户人数3156人，农业生产组织321家，农业服务组织162家，农资生产企业17家，农机生产企业1家，银行机构9家，保险机构3家，位列全省前列。</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三是抓实土地托管。</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溆浦、会同、靖州成功申报中央资金支持农业社会化服务试点县，全年完成</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4.5万亩农业社会化服务土地托管工作，大力开展水稻集中连片</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耕、种、管、收</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等环节全程托管服务，切实为粮食安全提供有效保障。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70" w:lineRule="atLeast"/>
        <w:ind w:left="0" w:right="0" w:firstLine="643"/>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default" w:ascii="楷体_GB2312" w:hAnsi="Times New Roman" w:eastAsia="楷体_GB2312" w:cs="楷体_GB2312"/>
          <w:b/>
          <w:i w:val="0"/>
          <w:caps w:val="0"/>
          <w:color w:val="000000" w:themeColor="text1"/>
          <w:spacing w:val="0"/>
          <w:sz w:val="32"/>
          <w:szCs w:val="32"/>
          <w:shd w:val="clear" w:fill="FFFFFF"/>
          <w14:textFill>
            <w14:solidFill>
              <w14:schemeClr w14:val="tx1"/>
            </w14:solidFill>
          </w14:textFill>
        </w:rPr>
        <w:t>农产品销售呈现新作为。</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一是抓好平台服务。</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加强与国家</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832</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平台和湖南省乡村振兴馆两大平台的对接，打好</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媒体宣传+业务培训</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组合拳，为进驻平台本地企业做好销售服务，制作怀化农产品宣传视频113条，发布宣传信息191条，全年开展培训12期，培训4100余人次，实现全市本地农产品销售5400万元，同比增加42.7%，全年新增入驻生产、商贸企业230家，总量达到452家，同比增加103.6%。沅陵、麻阳、溆浦、辰溪、鹤城平台销售额比重较大效果突出。</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二是开展全域销售。</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持续开展</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山货出山 红背篓在行动</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农产品全域销售活动，线上建设微信、抖音2个全市农产品销售平台，线下建设市本级、鹤城区、中方县3个供销农产品体验中心、6个红背篓供销农场，目前已举办327场次网络直播，线上吸引消费者达到359万余人次。沅陵、中方、新晃、会同、洪江区、芷江组织直播活动精彩纷呈，深受消费者喜爱。</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三是注重节会推介。</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5月组团参加全国脱贫地区农副产品产销对接会，我市优质农产品得到全国总社党组书记韩立平和中央机关单位好评。9月，组织</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怀景怀乡怀味</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进北京农产品推介活动，进入中国供销集团总部、北京大型商超展销，受到北京人民的喜爱。12月，组团参加</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湘品出湘</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大湾区产销对接活动；参加海南国际粮油博览会，新晃侗藏红米、靖州老树山核桃油、芷江楚姑娘葡萄酒等9项产品荣获</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金奖</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，本单位被授予</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最佳组织奖</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70" w:lineRule="atLeast"/>
        <w:ind w:left="0" w:right="0" w:firstLine="643"/>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default" w:ascii="楷体_GB2312" w:hAnsi="Times New Roman" w:eastAsia="楷体_GB2312" w:cs="楷体_GB2312"/>
          <w:b/>
          <w:i w:val="0"/>
          <w:caps w:val="0"/>
          <w:color w:val="000000" w:themeColor="text1"/>
          <w:spacing w:val="0"/>
          <w:sz w:val="32"/>
          <w:szCs w:val="32"/>
          <w:shd w:val="clear" w:fill="FFFFFF"/>
          <w14:textFill>
            <w14:solidFill>
              <w14:schemeClr w14:val="tx1"/>
            </w14:solidFill>
          </w14:textFill>
        </w:rPr>
        <w:t>历史难题实现新突破。</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一是做好清产核资。</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聘请第三方机构对社有资产开展全面清产核资，大力开展资产确权和遗留问题、纠纷处置工作，按照</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主业相同、功能相近</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原则，重组市本级资产，对优良资产进行评估，为集团组建做好了出资准备。7月、10月，集团组建方案分别经市政府常务会、市委常委会会议研究通过，12月正式完成注册登记。通过设立怀化供销集团，以资本为纽带，逐步建成城乡流通四级供应链线上线下</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一张网</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，促进商流、物流、信息流、资金流</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四流合一</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，重点服务农资销售、农产品流通、日用品消费、再生资源回收</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四个产业链</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，形成怀化供销的</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一网四链</w:t>
      </w:r>
      <w:r>
        <w:rPr>
          <w:rFonts w:hint="default" w:ascii="Calibri" w:hAnsi="Calibri" w:eastAsia="仿宋" w:cs="Calibri"/>
          <w:i w:val="0"/>
          <w:caps w:val="0"/>
          <w:color w:val="000000" w:themeColor="text1"/>
          <w:spacing w:val="0"/>
          <w:sz w:val="32"/>
          <w:szCs w:val="32"/>
          <w:shd w:val="clear" w:fill="FFFFFF"/>
          <w14:textFill>
            <w14:solidFill>
              <w14:schemeClr w14:val="tx1"/>
            </w14:solidFill>
          </w14:textFill>
        </w:rPr>
        <w:t>”</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，打通双向运行堵点，促进农民保收、市场保供、乡村振兴。</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二是加强内部审计监督。</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通过对本单位直属企业开展年度内部审计、财务检查等方式，帮助和监督企业建立健全完善的决策、激励和约束机制，不断提高管理水平和经济效益，对</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7家社有企业开展4次内部监督检查，对6家社有企业开展监督审计。</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三是加强风险债务化解。</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聘请法律顾问，依法维护社有资产权益。全面完成怀化供销储运公司、日杂公司</w:t>
      </w:r>
      <w:r>
        <w:rPr>
          <w:rFonts w:hint="default" w:ascii="Times New Roman" w:hAnsi="Times New Roman" w:cs="Times New Roman"/>
          <w:i w:val="0"/>
          <w:caps w:val="0"/>
          <w:color w:val="000000" w:themeColor="text1"/>
          <w:spacing w:val="0"/>
          <w:sz w:val="32"/>
          <w:szCs w:val="32"/>
          <w:shd w:val="clear" w:fill="FFFFFF"/>
          <w14:textFill>
            <w14:solidFill>
              <w14:schemeClr w14:val="tx1"/>
            </w14:solidFill>
          </w14:textFill>
        </w:rPr>
        <w:t>980</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万元银行债务债权收购，通过法律程序对日杂公司</w:t>
      </w:r>
      <w:r>
        <w:rPr>
          <w:rFonts w:hint="default" w:ascii="Times New Roman" w:hAnsi="Times New Roman" w:cs="Times New Roman"/>
          <w:i w:val="0"/>
          <w:caps w:val="0"/>
          <w:color w:val="000000" w:themeColor="text1"/>
          <w:spacing w:val="0"/>
          <w:sz w:val="32"/>
          <w:szCs w:val="32"/>
          <w:shd w:val="clear" w:fill="FFFFFF"/>
          <w14:textFill>
            <w14:solidFill>
              <w14:schemeClr w14:val="tx1"/>
            </w14:solidFill>
          </w14:textFill>
        </w:rPr>
        <w:t>2800</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多平米商业房产进行确权，追回了泰平盛世社有房产，共挽回损失上亿元。同时，沅陵、</w:t>
      </w:r>
      <w:r>
        <w:rPr>
          <w:rFonts w:hint="eastAsia" w:ascii="仿宋_GB2312" w:hAnsi="Times New Roman" w:eastAsia="仿宋_GB2312" w:cs="仿宋_GB2312"/>
          <w:b w:val="0"/>
          <w:i w:val="0"/>
          <w:caps w:val="0"/>
          <w:color w:val="000000" w:themeColor="text1"/>
          <w:spacing w:val="0"/>
          <w:sz w:val="32"/>
          <w:szCs w:val="32"/>
          <w:shd w:val="clear" w:fill="FFFFFF"/>
          <w14:textFill>
            <w14:solidFill>
              <w14:schemeClr w14:val="tx1"/>
            </w14:solidFill>
          </w14:textFill>
        </w:rPr>
        <w:t>鹤城、通道、洪江市、新晃等</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切实加强资产管理，推动遗留问题化解，取得较好成效。</w:t>
      </w:r>
      <w:r>
        <w:rPr>
          <w:rFonts w:hint="eastAsia" w:ascii="仿宋_GB2312" w:hAnsi="Times New Roman" w:eastAsia="仿宋_GB2312" w:cs="仿宋_GB2312"/>
          <w:b/>
          <w:i w:val="0"/>
          <w:caps w:val="0"/>
          <w:color w:val="000000" w:themeColor="text1"/>
          <w:spacing w:val="0"/>
          <w:sz w:val="32"/>
          <w:szCs w:val="32"/>
          <w:shd w:val="clear" w:fill="FFFFFF"/>
          <w14:textFill>
            <w14:solidFill>
              <w14:schemeClr w14:val="tx1"/>
            </w14:solidFill>
          </w14:textFill>
        </w:rPr>
        <w:t>四是扎实维护安全稳定。</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全面落实安全生产</w:t>
      </w:r>
      <w:r>
        <w:rPr>
          <w:rFonts w:hint="default" w:ascii="Times New Roman" w:hAnsi="Times New Roman"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一单四制</w:t>
      </w:r>
      <w:r>
        <w:rPr>
          <w:rFonts w:hint="default" w:ascii="Times New Roman" w:hAnsi="Times New Roman" w:cs="Times New Roman"/>
          <w:i w:val="0"/>
          <w:caps w:val="0"/>
          <w:color w:val="000000" w:themeColor="text1"/>
          <w:spacing w:val="0"/>
          <w:sz w:val="32"/>
          <w:szCs w:val="32"/>
          <w:shd w:val="clear" w:fill="FFFFFF"/>
          <w14:textFill>
            <w14:solidFill>
              <w14:schemeClr w14:val="tx1"/>
            </w14:solidFill>
          </w14:textFill>
        </w:rPr>
        <w:t>”</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，将安全责任落实到直属各企业、各科室和租赁户、生产商家，坚决遏制各类安全事故发生。全年共开展安全生产检查</w:t>
      </w:r>
      <w:r>
        <w:rPr>
          <w:rFonts w:hint="default" w:ascii="Times New Roman" w:hAnsi="Times New Roman" w:cs="Times New Roman"/>
          <w:i w:val="0"/>
          <w:caps w:val="0"/>
          <w:color w:val="000000" w:themeColor="text1"/>
          <w:spacing w:val="0"/>
          <w:sz w:val="32"/>
          <w:szCs w:val="32"/>
          <w:shd w:val="clear" w:fill="FFFFFF"/>
          <w14:textFill>
            <w14:solidFill>
              <w14:schemeClr w14:val="tx1"/>
            </w14:solidFill>
          </w14:textFill>
        </w:rPr>
        <w:t>12</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次，查出安全隐患</w:t>
      </w:r>
      <w:r>
        <w:rPr>
          <w:rFonts w:hint="default" w:ascii="Times New Roman" w:hAnsi="Times New Roman" w:cs="Times New Roman"/>
          <w:i w:val="0"/>
          <w:caps w:val="0"/>
          <w:color w:val="000000" w:themeColor="text1"/>
          <w:spacing w:val="0"/>
          <w:sz w:val="32"/>
          <w:szCs w:val="32"/>
          <w:shd w:val="clear" w:fill="FFFFFF"/>
          <w14:textFill>
            <w14:solidFill>
              <w14:schemeClr w14:val="tx1"/>
            </w14:solidFill>
          </w14:textFill>
        </w:rPr>
        <w:t>45</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条并已全部整改到位。</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（三）</w:t>
      </w:r>
      <w:r>
        <w:rPr>
          <w:rFonts w:hint="eastAsia" w:ascii="楷体" w:hAnsi="楷体" w:eastAsia="楷体" w:cs="楷体"/>
          <w:b/>
          <w:bCs/>
          <w:color w:val="000000" w:themeColor="text1"/>
          <w:sz w:val="32"/>
          <w:szCs w:val="32"/>
          <w14:textFill>
            <w14:solidFill>
              <w14:schemeClr w14:val="tx1"/>
            </w14:solidFill>
          </w14:textFill>
        </w:rPr>
        <w:t>存在的问题及原因分析</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600" w:lineRule="atLeast"/>
        <w:ind w:left="0" w:right="0" w:firstLine="643"/>
        <w:jc w:val="both"/>
        <w:textAlignment w:val="auto"/>
        <w:rPr>
          <w:rFonts w:ascii="Calibri" w:hAnsi="Calibri" w:cs="Calibri"/>
          <w:i w:val="0"/>
          <w:caps w:val="0"/>
          <w:color w:val="000000" w:themeColor="text1"/>
          <w:spacing w:val="0"/>
          <w:sz w:val="21"/>
          <w:szCs w:val="21"/>
          <w14:textFill>
            <w14:solidFill>
              <w14:schemeClr w14:val="tx1"/>
            </w14:solidFill>
          </w14:textFill>
        </w:rPr>
      </w:pPr>
      <w:r>
        <w:rPr>
          <w:rFonts w:hint="default" w:ascii="楷体_GB2312" w:hAnsi="楷体" w:eastAsia="楷体_GB2312" w:cs="楷体_GB2312"/>
          <w:b/>
          <w:i w:val="0"/>
          <w:caps w:val="0"/>
          <w:color w:val="000000" w:themeColor="text1"/>
          <w:spacing w:val="0"/>
          <w:sz w:val="32"/>
          <w:szCs w:val="32"/>
          <w:shd w:val="clear" w:fill="FFFFFF"/>
          <w14:textFill>
            <w14:solidFill>
              <w14:schemeClr w14:val="tx1"/>
            </w14:solidFill>
          </w14:textFill>
        </w:rPr>
        <w:t>1.预算编制需进一步科学完善。</w:t>
      </w:r>
      <w:r>
        <w:rPr>
          <w:rFonts w:ascii="仿宋_GB2312" w:hAnsi="仿宋" w:eastAsia="仿宋_GB2312" w:cs="仿宋_GB2312"/>
          <w:i w:val="0"/>
          <w:caps w:val="0"/>
          <w:color w:val="000000" w:themeColor="text1"/>
          <w:spacing w:val="0"/>
          <w:sz w:val="32"/>
          <w:szCs w:val="32"/>
          <w:shd w:val="clear" w:fill="FFFFFF"/>
          <w14:textFill>
            <w14:solidFill>
              <w14:schemeClr w14:val="tx1"/>
            </w14:solidFill>
          </w14:textFill>
        </w:rPr>
        <w:t>编制方法不科学</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始终沿用增量预算法编制预算，多以上一年数据为准小幅度增减。未立足单位实际，贯彻“零基预算”理念，重新研究项目、人员配置等，或者不与工作计划挂钩，确定的预算准确性、合理性欠佳，容易出现资金浪费或缺口现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20" w:lineRule="atLeast"/>
        <w:ind w:left="0" w:right="0" w:firstLine="643"/>
        <w:jc w:val="both"/>
        <w:textAlignment w:val="auto"/>
        <w:rPr>
          <w:rFonts w:hint="default" w:ascii="Calibri" w:hAnsi="Calibri" w:cs="Calibri"/>
          <w:i w:val="0"/>
          <w:caps w:val="0"/>
          <w:color w:val="000000" w:themeColor="text1"/>
          <w:spacing w:val="0"/>
          <w:sz w:val="24"/>
          <w:szCs w:val="24"/>
          <w14:textFill>
            <w14:solidFill>
              <w14:schemeClr w14:val="tx1"/>
            </w14:solidFill>
          </w14:textFill>
        </w:rPr>
      </w:pPr>
      <w:r>
        <w:rPr>
          <w:rFonts w:hint="default" w:ascii="楷体_GB2312" w:hAnsi="楷体" w:eastAsia="楷体_GB2312" w:cs="楷体_GB2312"/>
          <w:b/>
          <w:i w:val="0"/>
          <w:caps w:val="0"/>
          <w:color w:val="000000" w:themeColor="text1"/>
          <w:spacing w:val="0"/>
          <w:sz w:val="32"/>
          <w:szCs w:val="32"/>
          <w:shd w:val="clear" w:fill="FFFFFF"/>
          <w14:textFill>
            <w14:solidFill>
              <w14:schemeClr w14:val="tx1"/>
            </w14:solidFill>
          </w14:textFill>
        </w:rPr>
        <w:t>2.项目进展执行力度需进一步加强。</w:t>
      </w:r>
      <w:r>
        <w:rPr>
          <w:rFonts w:hint="eastAsia" w:ascii="仿宋_GB2312" w:hAnsi="仿宋" w:eastAsia="仿宋_GB2312" w:cs="仿宋_GB2312"/>
          <w:i w:val="0"/>
          <w:caps w:val="0"/>
          <w:color w:val="000000" w:themeColor="text1"/>
          <w:spacing w:val="0"/>
          <w:sz w:val="32"/>
          <w:szCs w:val="32"/>
          <w:shd w:val="clear" w:fill="FFFFFF"/>
          <w14:textFill>
            <w14:solidFill>
              <w14:schemeClr w14:val="tx1"/>
            </w14:solidFill>
          </w14:textFill>
        </w:rPr>
        <w:t>预算管理理念较弱，缺乏对资金使用的控制和对预算执行情况的分析，不能合理安排预算资金使用进度，</w:t>
      </w:r>
      <w:r>
        <w:rPr>
          <w:rFonts w:hint="eastAsia" w:ascii="仿宋_GB2312" w:hAnsi="Times New Roman" w:eastAsia="仿宋_GB2312" w:cs="仿宋_GB2312"/>
          <w:i w:val="0"/>
          <w:caps w:val="0"/>
          <w:color w:val="000000" w:themeColor="text1"/>
          <w:spacing w:val="0"/>
          <w:sz w:val="32"/>
          <w:szCs w:val="32"/>
          <w:shd w:val="clear" w:fill="FFFFFF"/>
          <w14:textFill>
            <w14:solidFill>
              <w14:schemeClr w14:val="tx1"/>
            </w14:solidFill>
          </w14:textFill>
        </w:rPr>
        <w:t>同时由于项目验收时间一般在年末，导致资金支付相对集中，预算执行均衡性有待进一步提高。</w:t>
      </w: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r>
        <w:rPr>
          <w:rFonts w:hint="eastAsia" w:ascii="方正小标宋_GBK" w:hAnsi="方正小标宋_GBK" w:eastAsia="方正小标宋_GBK" w:cs="方正小标宋_GBK"/>
          <w:color w:val="000000" w:themeColor="text1"/>
          <w:sz w:val="72"/>
          <w:szCs w:val="72"/>
          <w14:textFill>
            <w14:solidFill>
              <w14:schemeClr w14:val="tx1"/>
            </w14:solidFill>
          </w14:textFill>
        </w:rPr>
        <w:t>第四部分</w:t>
      </w:r>
    </w:p>
    <w:p>
      <w:pPr>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kern w:val="0"/>
          <w:sz w:val="70"/>
          <w:szCs w:val="70"/>
          <w14:textFill>
            <w14:solidFill>
              <w14:schemeClr w14:val="tx1"/>
            </w14:solidFill>
          </w14:textFill>
        </w:rPr>
      </w:pPr>
    </w:p>
    <w:p>
      <w:pPr>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kern w:val="0"/>
          <w:sz w:val="70"/>
          <w:szCs w:val="70"/>
          <w14:textFill>
            <w14:solidFill>
              <w14:schemeClr w14:val="tx1"/>
            </w14:solidFill>
          </w14:textFill>
        </w:rPr>
      </w:pPr>
      <w:r>
        <w:rPr>
          <w:rFonts w:hint="eastAsia" w:ascii="方正小标宋_GBK" w:hAnsi="方正小标宋_GBK" w:eastAsia="方正小标宋_GBK" w:cs="方正小标宋_GBK"/>
          <w:color w:val="000000" w:themeColor="text1"/>
          <w:kern w:val="0"/>
          <w:sz w:val="70"/>
          <w:szCs w:val="70"/>
          <w14:textFill>
            <w14:solidFill>
              <w14:schemeClr w14:val="tx1"/>
            </w14:solidFill>
          </w14:textFill>
        </w:rPr>
        <w:t>名词解释</w:t>
      </w:r>
    </w:p>
    <w:p>
      <w:pPr>
        <w:keepNext w:val="0"/>
        <w:keepLines w:val="0"/>
        <w:pageBreakBefore w:val="0"/>
        <w:widowControl/>
        <w:kinsoku/>
        <w:wordWrap/>
        <w:overflowPunct/>
        <w:topLinePunct w:val="0"/>
        <w:bidi w:val="0"/>
        <w:jc w:val="both"/>
        <w:textAlignment w:val="auto"/>
        <w:rPr>
          <w:rFonts w:cs="黑体" w:asciiTheme="minorEastAsia" w:hAnsiTheme="minorEastAsia"/>
          <w:color w:val="000000" w:themeColor="text1"/>
          <w:kern w:val="0"/>
          <w:sz w:val="32"/>
          <w:szCs w:val="32"/>
          <w14:textFill>
            <w14:solidFill>
              <w14:schemeClr w14:val="tx1"/>
            </w14:solidFill>
          </w14:textFill>
        </w:rPr>
      </w:pPr>
      <w:r>
        <w:rPr>
          <w:rFonts w:hint="eastAsia" w:ascii="方正小标宋_GBK" w:hAnsi="方正小标宋_GBK" w:eastAsia="方正小标宋_GBK" w:cs="方正小标宋_GBK"/>
          <w:color w:val="000000" w:themeColor="text1"/>
          <w:kern w:val="0"/>
          <w:sz w:val="70"/>
          <w:szCs w:val="70"/>
          <w14:textFill>
            <w14:solidFill>
              <w14:schemeClr w14:val="tx1"/>
            </w14:solidFill>
          </w14:textFill>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atLeast"/>
        <w:ind w:left="0" w:right="0" w:firstLine="640"/>
        <w:jc w:val="both"/>
        <w:textAlignment w:val="auto"/>
        <w:rPr>
          <w:rFonts w:ascii="Calibri" w:hAnsi="Calibri" w:cs="Calibri"/>
          <w:i w:val="0"/>
          <w:caps w:val="0"/>
          <w:color w:val="000000" w:themeColor="text1"/>
          <w:spacing w:val="0"/>
          <w:sz w:val="21"/>
          <w:szCs w:val="21"/>
          <w14:textFill>
            <w14:solidFill>
              <w14:schemeClr w14:val="tx1"/>
            </w14:solidFill>
          </w14:textFill>
        </w:rPr>
      </w:pPr>
      <w:r>
        <w:rPr>
          <w:rFonts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一、基本支出：指单位为保障其机构正常运转、完成日常工作任务而发生的人员支出和公用支出。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二、项目支出：指单位为完成特定行政任务和事业发展目标在基本支出之外所发生的支出。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三、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atLeast"/>
        <w:ind w:left="0" w:right="0" w:firstLine="64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四、“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2"/>
          <w:szCs w:val="72"/>
          <w14:textFill>
            <w14:solidFill>
              <w14:schemeClr w14:val="tx1"/>
            </w14:solidFill>
          </w14:textFill>
        </w:rPr>
      </w:pPr>
      <w:r>
        <w:rPr>
          <w:rFonts w:hint="eastAsia" w:ascii="方正小标宋_GBK" w:hAnsi="方正小标宋_GBK" w:eastAsia="方正小标宋_GBK" w:cs="方正小标宋_GBK"/>
          <w:color w:val="000000" w:themeColor="text1"/>
          <w:sz w:val="72"/>
          <w:szCs w:val="72"/>
          <w14:textFill>
            <w14:solidFill>
              <w14:schemeClr w14:val="tx1"/>
            </w14:solidFill>
          </w14:textFill>
        </w:rPr>
        <w:t>第</w:t>
      </w:r>
      <w:r>
        <w:rPr>
          <w:rFonts w:hint="eastAsia" w:ascii="方正小标宋_GBK" w:hAnsi="方正小标宋_GBK" w:eastAsia="方正小标宋_GBK" w:cs="方正小标宋_GBK"/>
          <w:color w:val="000000" w:themeColor="text1"/>
          <w:sz w:val="72"/>
          <w:szCs w:val="72"/>
          <w:lang w:eastAsia="zh-CN"/>
          <w14:textFill>
            <w14:solidFill>
              <w14:schemeClr w14:val="tx1"/>
            </w14:solidFill>
          </w14:textFill>
        </w:rPr>
        <w:t>五</w:t>
      </w:r>
      <w:r>
        <w:rPr>
          <w:rFonts w:hint="eastAsia" w:ascii="方正小标宋_GBK" w:hAnsi="方正小标宋_GBK" w:eastAsia="方正小标宋_GBK" w:cs="方正小标宋_GBK"/>
          <w:color w:val="000000" w:themeColor="text1"/>
          <w:sz w:val="72"/>
          <w:szCs w:val="72"/>
          <w14:textFill>
            <w14:solidFill>
              <w14:schemeClr w14:val="tx1"/>
            </w14:solidFill>
          </w14:textFill>
        </w:rPr>
        <w:t>部分</w:t>
      </w:r>
    </w:p>
    <w:p>
      <w:pPr>
        <w:pStyle w:val="15"/>
        <w:keepNext w:val="0"/>
        <w:keepLines w:val="0"/>
        <w:pageBreakBefore w:val="0"/>
        <w:kinsoku/>
        <w:wordWrap/>
        <w:overflowPunct/>
        <w:topLinePunct w:val="0"/>
        <w:bidi w:val="0"/>
        <w:jc w:val="center"/>
        <w:textAlignment w:val="auto"/>
        <w:rPr>
          <w:rFonts w:hint="eastAsia" w:ascii="方正小标宋_GBK" w:hAnsi="方正小标宋_GBK" w:eastAsia="方正小标宋_GBK" w:cs="方正小标宋_GBK"/>
          <w:color w:val="000000" w:themeColor="text1"/>
          <w:sz w:val="70"/>
          <w:szCs w:val="70"/>
          <w14:textFill>
            <w14:solidFill>
              <w14:schemeClr w14:val="tx1"/>
            </w14:solidFill>
          </w14:textFill>
        </w:rPr>
      </w:pPr>
    </w:p>
    <w:p>
      <w:pPr>
        <w:pStyle w:val="15"/>
        <w:keepNext w:val="0"/>
        <w:keepLines w:val="0"/>
        <w:pageBreakBefore w:val="0"/>
        <w:kinsoku/>
        <w:wordWrap/>
        <w:overflowPunct/>
        <w:topLinePunct w:val="0"/>
        <w:bidi w:val="0"/>
        <w:jc w:val="center"/>
        <w:textAlignment w:val="auto"/>
        <w:rPr>
          <w:rFonts w:hint="eastAsia" w:eastAsia="黑体"/>
          <w:color w:val="000000" w:themeColor="text1"/>
          <w:sz w:val="72"/>
          <w:szCs w:val="7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70"/>
          <w:szCs w:val="70"/>
          <w:lang w:eastAsia="zh-CN"/>
          <w14:textFill>
            <w14:solidFill>
              <w14:schemeClr w14:val="tx1"/>
            </w14:solidFill>
          </w14:textFill>
        </w:rPr>
        <w:t>附</w:t>
      </w:r>
      <w:r>
        <w:rPr>
          <w:rFonts w:hint="eastAsia" w:ascii="方正小标宋_GBK" w:hAnsi="方正小标宋_GBK" w:eastAsia="方正小标宋_GBK" w:cs="方正小标宋_GBK"/>
          <w:color w:val="000000" w:themeColor="text1"/>
          <w:sz w:val="70"/>
          <w:szCs w:val="70"/>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70"/>
          <w:szCs w:val="70"/>
          <w:lang w:eastAsia="zh-CN"/>
          <w14:textFill>
            <w14:solidFill>
              <w14:schemeClr w14:val="tx1"/>
            </w14:solidFill>
          </w14:textFill>
        </w:rPr>
        <w:t>件</w:t>
      </w:r>
    </w:p>
    <w:p>
      <w:pPr>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r>
        <w:rPr>
          <w:color w:val="000000" w:themeColor="text1"/>
          <w:sz w:val="72"/>
          <w:szCs w:val="72"/>
          <w14:textFill>
            <w14:solidFill>
              <w14:schemeClr w14:val="tx1"/>
            </w14:solidFill>
          </w14:textFill>
        </w:rPr>
        <w:br w:type="page"/>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仿宋_GB2312" w:cs="黑体"/>
          <w:b w:val="0"/>
          <w:color w:val="000000" w:themeColor="text1"/>
          <w:kern w:val="0"/>
          <w:sz w:val="32"/>
          <w:szCs w:val="32"/>
          <w:lang w:eastAsia="zh-CN" w:bidi="ar-SA"/>
          <w14:textFill>
            <w14:solidFill>
              <w14:schemeClr w14:val="tx1"/>
            </w14:solidFill>
          </w14:textFill>
        </w:rPr>
      </w:pPr>
      <w:r>
        <w:rPr>
          <w:rFonts w:hint="default" w:ascii="Times New Roman" w:hAnsi="Times New Roman" w:eastAsia="仿宋_GB2312" w:cs="黑体"/>
          <w:b w:val="0"/>
          <w:color w:val="000000" w:themeColor="text1"/>
          <w:kern w:val="0"/>
          <w:sz w:val="32"/>
          <w:szCs w:val="32"/>
          <w:lang w:eastAsia="zh-CN" w:bidi="ar-SA"/>
          <w14:textFill>
            <w14:solidFill>
              <w14:schemeClr w14:val="tx1"/>
            </w14:solidFill>
          </w14:textFill>
        </w:rPr>
        <w:t>一、</w:t>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fldChar w:fldCharType="begin"/>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instrText xml:space="preserve"> HYPERLINK "https://www.huaihua.gov.cn/gxs/c100581/202310/a5000a3756c54c7a9d36e55e5f8bd332/files/c875acd6b1dd454b85a6d84941c7d41d.XLS" \t "/home/greatwall/文档\\x/_blank" </w:instrText>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fldChar w:fldCharType="separate"/>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t>怀化市供销合作联合社202</w:t>
      </w:r>
      <w:r>
        <w:rPr>
          <w:rFonts w:hint="default" w:ascii="Times New Roman" w:hAnsi="Times New Roman" w:eastAsia="仿宋_GB2312" w:cs="黑体"/>
          <w:b w:val="0"/>
          <w:color w:val="000000" w:themeColor="text1"/>
          <w:kern w:val="0"/>
          <w:sz w:val="32"/>
          <w:szCs w:val="32"/>
          <w:lang w:eastAsia="zh-CN" w:bidi="ar-SA"/>
          <w14:textFill>
            <w14:solidFill>
              <w14:schemeClr w14:val="tx1"/>
            </w14:solidFill>
          </w14:textFill>
        </w:rPr>
        <w:t>3</w:t>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t>年度决算公开</w:t>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fldChar w:fldCharType="end"/>
      </w:r>
      <w:r>
        <w:rPr>
          <w:rFonts w:hint="default" w:ascii="Times New Roman" w:hAnsi="Times New Roman" w:eastAsia="仿宋_GB2312" w:cs="黑体"/>
          <w:b w:val="0"/>
          <w:color w:val="000000" w:themeColor="text1"/>
          <w:kern w:val="0"/>
          <w:sz w:val="32"/>
          <w:szCs w:val="32"/>
          <w:lang w:eastAsia="zh-CN" w:bidi="ar-SA"/>
          <w14:textFill>
            <w14:solidFill>
              <w14:schemeClr w14:val="tx1"/>
            </w14:solidFill>
          </w14:textFill>
        </w:rPr>
        <w:t>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Times New Roman" w:hAnsi="Times New Roman" w:eastAsia="仿宋_GB2312" w:cs="黑体"/>
          <w:b w:val="0"/>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黑体"/>
          <w:b w:val="0"/>
          <w:color w:val="000000" w:themeColor="text1"/>
          <w:kern w:val="0"/>
          <w:sz w:val="32"/>
          <w:szCs w:val="32"/>
          <w:lang w:eastAsia="zh-CN" w:bidi="ar-SA"/>
          <w14:textFill>
            <w14:solidFill>
              <w14:schemeClr w14:val="tx1"/>
            </w14:solidFill>
          </w14:textFill>
        </w:rPr>
        <w:t>二、</w:t>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t>2023年度怀化市供销合作联合社部门整体支出绩效自评报告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Times New Roman" w:hAnsi="Times New Roman" w:eastAsia="仿宋_GB2312" w:cs="黑体"/>
          <w:b w:val="0"/>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黑体"/>
          <w:b w:val="0"/>
          <w:color w:val="000000" w:themeColor="text1"/>
          <w:kern w:val="0"/>
          <w:sz w:val="32"/>
          <w:szCs w:val="32"/>
          <w:lang w:eastAsia="zh-CN" w:bidi="ar-SA"/>
          <w14:textFill>
            <w14:solidFill>
              <w14:schemeClr w14:val="tx1"/>
            </w14:solidFill>
          </w14:textFill>
        </w:rPr>
        <w:t>三、</w:t>
      </w:r>
      <w:r>
        <w:rPr>
          <w:rFonts w:hint="default" w:ascii="Times New Roman" w:hAnsi="Times New Roman" w:eastAsia="仿宋_GB2312" w:cs="黑体"/>
          <w:b w:val="0"/>
          <w:color w:val="000000" w:themeColor="text1"/>
          <w:kern w:val="0"/>
          <w:sz w:val="32"/>
          <w:szCs w:val="32"/>
          <w:lang w:val="en-US" w:eastAsia="zh-CN" w:bidi="ar-SA"/>
          <w14:textFill>
            <w14:solidFill>
              <w14:schemeClr w14:val="tx1"/>
            </w14:solidFill>
          </w14:textFill>
        </w:rPr>
        <w:t>2023年度怀化市供销合作联合社项目支出绩效自评报告</w:t>
      </w:r>
    </w:p>
    <w:p>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pStyle w:val="15"/>
        <w:keepNext w:val="0"/>
        <w:keepLines w:val="0"/>
        <w:pageBreakBefore w:val="0"/>
        <w:kinsoku/>
        <w:wordWrap/>
        <w:overflowPunct/>
        <w:topLinePunct w:val="0"/>
        <w:bidi w:val="0"/>
        <w:jc w:val="both"/>
        <w:textAlignment w:val="auto"/>
        <w:rPr>
          <w:color w:val="000000" w:themeColor="text1"/>
          <w:sz w:val="72"/>
          <w:szCs w:val="72"/>
          <w14:textFill>
            <w14:solidFill>
              <w14:schemeClr w14:val="tx1"/>
            </w14:solidFill>
          </w14:textFill>
        </w:rPr>
      </w:pPr>
    </w:p>
    <w:p>
      <w:pPr>
        <w:keepNext w:val="0"/>
        <w:keepLines w:val="0"/>
        <w:pageBreakBefore w:val="0"/>
        <w:kinsoku/>
        <w:wordWrap/>
        <w:overflowPunct/>
        <w:topLinePunct w:val="0"/>
        <w:bidi w:val="0"/>
        <w:jc w:val="both"/>
        <w:textAlignment w:val="auto"/>
        <w:rPr>
          <w:rFonts w:cs="黑体" w:asciiTheme="minorEastAsia" w:hAnsiTheme="minorEastAsia"/>
          <w:color w:val="000000" w:themeColor="text1"/>
          <w:kern w:val="0"/>
          <w:sz w:val="32"/>
          <w:szCs w:val="32"/>
          <w14:textFill>
            <w14:solidFill>
              <w14:schemeClr w14:val="tx1"/>
            </w14:solidFill>
          </w14:textFill>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7A6E12"/>
    <w:multiLevelType w:val="singleLevel"/>
    <w:tmpl w:val="DE7A6E12"/>
    <w:lvl w:ilvl="0" w:tentative="0">
      <w:start w:val="6"/>
      <w:numFmt w:val="decimal"/>
      <w:suff w:val="nothing"/>
      <w:lvlText w:val="%1、"/>
      <w:lvlJc w:val="left"/>
    </w:lvl>
  </w:abstractNum>
  <w:abstractNum w:abstractNumId="1">
    <w:nsid w:val="FFFF757F"/>
    <w:multiLevelType w:val="singleLevel"/>
    <w:tmpl w:val="FFFF757F"/>
    <w:lvl w:ilvl="0" w:tentative="0">
      <w:start w:val="1"/>
      <w:numFmt w:val="decimal"/>
      <w:suff w:val="nothing"/>
      <w:lvlText w:val="%1、"/>
      <w:lvlJc w:val="left"/>
    </w:lvl>
  </w:abstractNum>
  <w:abstractNum w:abstractNumId="2">
    <w:nsid w:val="5AF6EB02"/>
    <w:multiLevelType w:val="singleLevel"/>
    <w:tmpl w:val="5AF6EB02"/>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3AFEF90"/>
    <w:rsid w:val="14F98272"/>
    <w:rsid w:val="19F7A0B7"/>
    <w:rsid w:val="1D97DEFF"/>
    <w:rsid w:val="1DFF72E5"/>
    <w:rsid w:val="1DFF7F7E"/>
    <w:rsid w:val="1EFC6F07"/>
    <w:rsid w:val="1FE1B6B5"/>
    <w:rsid w:val="1FEFACDB"/>
    <w:rsid w:val="1FFDD01D"/>
    <w:rsid w:val="237F07D3"/>
    <w:rsid w:val="25E7C90A"/>
    <w:rsid w:val="279F7176"/>
    <w:rsid w:val="2BBE37B7"/>
    <w:rsid w:val="2BEB19CB"/>
    <w:rsid w:val="2F0A3E9F"/>
    <w:rsid w:val="2F9D8F1E"/>
    <w:rsid w:val="2FC77941"/>
    <w:rsid w:val="2FD373BB"/>
    <w:rsid w:val="2FDF85B8"/>
    <w:rsid w:val="2FF67D3C"/>
    <w:rsid w:val="2FFC0BA7"/>
    <w:rsid w:val="2FFFEE04"/>
    <w:rsid w:val="30314250"/>
    <w:rsid w:val="333F4F2A"/>
    <w:rsid w:val="337F2756"/>
    <w:rsid w:val="33F6278E"/>
    <w:rsid w:val="33FE2ACD"/>
    <w:rsid w:val="34DF85B0"/>
    <w:rsid w:val="34FE12F9"/>
    <w:rsid w:val="34FF351C"/>
    <w:rsid w:val="377635CC"/>
    <w:rsid w:val="377BDB00"/>
    <w:rsid w:val="378736D1"/>
    <w:rsid w:val="37AF7093"/>
    <w:rsid w:val="37D1AAA8"/>
    <w:rsid w:val="3A176CA2"/>
    <w:rsid w:val="3B8F36BC"/>
    <w:rsid w:val="3CEE8163"/>
    <w:rsid w:val="3D3FE9D9"/>
    <w:rsid w:val="3DEF65A8"/>
    <w:rsid w:val="3DF77E6C"/>
    <w:rsid w:val="3EEF18F6"/>
    <w:rsid w:val="3EFF93F4"/>
    <w:rsid w:val="3EFFF3D6"/>
    <w:rsid w:val="3F7BBB53"/>
    <w:rsid w:val="3F7D755E"/>
    <w:rsid w:val="3FBDE51A"/>
    <w:rsid w:val="3FEDB6A6"/>
    <w:rsid w:val="3FF79D94"/>
    <w:rsid w:val="3FFCA384"/>
    <w:rsid w:val="3FFF37B1"/>
    <w:rsid w:val="477726BB"/>
    <w:rsid w:val="47AB6B6B"/>
    <w:rsid w:val="491FF225"/>
    <w:rsid w:val="4C7F0E6B"/>
    <w:rsid w:val="4D77E960"/>
    <w:rsid w:val="4EB1AE9F"/>
    <w:rsid w:val="4EF0D6A9"/>
    <w:rsid w:val="4FCD165A"/>
    <w:rsid w:val="4FEF422E"/>
    <w:rsid w:val="4FFD214C"/>
    <w:rsid w:val="565208E6"/>
    <w:rsid w:val="5777D4F5"/>
    <w:rsid w:val="59B5CBF8"/>
    <w:rsid w:val="59DD8326"/>
    <w:rsid w:val="5B7EAD24"/>
    <w:rsid w:val="5BFE115E"/>
    <w:rsid w:val="5BFFBBB8"/>
    <w:rsid w:val="5CBD7C8C"/>
    <w:rsid w:val="5CE587F5"/>
    <w:rsid w:val="5CFFC365"/>
    <w:rsid w:val="5DEF592A"/>
    <w:rsid w:val="5DFE0BE3"/>
    <w:rsid w:val="5E6FB751"/>
    <w:rsid w:val="5EFBEFFA"/>
    <w:rsid w:val="5EFF16AC"/>
    <w:rsid w:val="5F7F007C"/>
    <w:rsid w:val="5F8EF5CE"/>
    <w:rsid w:val="5FBF0C9B"/>
    <w:rsid w:val="5FBF2E6A"/>
    <w:rsid w:val="5FC6BB1E"/>
    <w:rsid w:val="5FDB4FAB"/>
    <w:rsid w:val="5FDFDBD5"/>
    <w:rsid w:val="5FF720F1"/>
    <w:rsid w:val="5FFCFB62"/>
    <w:rsid w:val="61BF58AA"/>
    <w:rsid w:val="63FFC08F"/>
    <w:rsid w:val="668E54AC"/>
    <w:rsid w:val="67BFCF8A"/>
    <w:rsid w:val="67FF5C0B"/>
    <w:rsid w:val="69FD1792"/>
    <w:rsid w:val="6ABFBF47"/>
    <w:rsid w:val="6BAD3FBE"/>
    <w:rsid w:val="6BBBAC49"/>
    <w:rsid w:val="6C7D03A2"/>
    <w:rsid w:val="6CA34CB1"/>
    <w:rsid w:val="6CEF0D47"/>
    <w:rsid w:val="6D164D5F"/>
    <w:rsid w:val="6DB33FB4"/>
    <w:rsid w:val="6DEFCFA8"/>
    <w:rsid w:val="6DF71EC1"/>
    <w:rsid w:val="6DFEDA0D"/>
    <w:rsid w:val="6EFC0924"/>
    <w:rsid w:val="6F7B6B57"/>
    <w:rsid w:val="6FA689AF"/>
    <w:rsid w:val="6FB74722"/>
    <w:rsid w:val="6FD72544"/>
    <w:rsid w:val="6FDD10C7"/>
    <w:rsid w:val="6FE711C8"/>
    <w:rsid w:val="6FEF8B7E"/>
    <w:rsid w:val="6FFBA1CB"/>
    <w:rsid w:val="6FFE1BCF"/>
    <w:rsid w:val="6FFF349C"/>
    <w:rsid w:val="6FFFB719"/>
    <w:rsid w:val="71A6591B"/>
    <w:rsid w:val="71B97C82"/>
    <w:rsid w:val="721BFD1E"/>
    <w:rsid w:val="725DB2E1"/>
    <w:rsid w:val="737D59BA"/>
    <w:rsid w:val="73CC804B"/>
    <w:rsid w:val="73FD3B89"/>
    <w:rsid w:val="73FF7503"/>
    <w:rsid w:val="749E6179"/>
    <w:rsid w:val="757DAFBE"/>
    <w:rsid w:val="763F3EEB"/>
    <w:rsid w:val="76FA37D7"/>
    <w:rsid w:val="76FDF3E7"/>
    <w:rsid w:val="774F42D3"/>
    <w:rsid w:val="77B4F49C"/>
    <w:rsid w:val="77C37683"/>
    <w:rsid w:val="77DF25FA"/>
    <w:rsid w:val="77DF75C5"/>
    <w:rsid w:val="77EF614C"/>
    <w:rsid w:val="77FDDCB6"/>
    <w:rsid w:val="77FE02AA"/>
    <w:rsid w:val="78FFCB6B"/>
    <w:rsid w:val="793F2A68"/>
    <w:rsid w:val="797F29FA"/>
    <w:rsid w:val="79DC7334"/>
    <w:rsid w:val="79FF515B"/>
    <w:rsid w:val="7A3F78F3"/>
    <w:rsid w:val="7ABE8364"/>
    <w:rsid w:val="7B7D9C49"/>
    <w:rsid w:val="7B7F08E5"/>
    <w:rsid w:val="7BCF49A7"/>
    <w:rsid w:val="7BFE7816"/>
    <w:rsid w:val="7C1FC07F"/>
    <w:rsid w:val="7C87D05C"/>
    <w:rsid w:val="7D6F4665"/>
    <w:rsid w:val="7D8F9F92"/>
    <w:rsid w:val="7DBB1446"/>
    <w:rsid w:val="7DDC5049"/>
    <w:rsid w:val="7DDF61D2"/>
    <w:rsid w:val="7DF2AA21"/>
    <w:rsid w:val="7DFDC8F3"/>
    <w:rsid w:val="7DFEAAD9"/>
    <w:rsid w:val="7E4F1487"/>
    <w:rsid w:val="7E6CE544"/>
    <w:rsid w:val="7E72C9A4"/>
    <w:rsid w:val="7E7F80AD"/>
    <w:rsid w:val="7E95AEF9"/>
    <w:rsid w:val="7E9E1962"/>
    <w:rsid w:val="7E9F11B4"/>
    <w:rsid w:val="7EBB8E29"/>
    <w:rsid w:val="7EDFB02D"/>
    <w:rsid w:val="7EE7DEC0"/>
    <w:rsid w:val="7EEB357B"/>
    <w:rsid w:val="7F279966"/>
    <w:rsid w:val="7F37EC1E"/>
    <w:rsid w:val="7F3BC182"/>
    <w:rsid w:val="7F67FA4E"/>
    <w:rsid w:val="7F74B9F0"/>
    <w:rsid w:val="7F7DCD9D"/>
    <w:rsid w:val="7F7FC02F"/>
    <w:rsid w:val="7F970A6F"/>
    <w:rsid w:val="7F97B7F1"/>
    <w:rsid w:val="7F9D373A"/>
    <w:rsid w:val="7F9EADCC"/>
    <w:rsid w:val="7FAD2B6A"/>
    <w:rsid w:val="7FB511F4"/>
    <w:rsid w:val="7FBBB57E"/>
    <w:rsid w:val="7FBDBD84"/>
    <w:rsid w:val="7FBF7535"/>
    <w:rsid w:val="7FC1FFF3"/>
    <w:rsid w:val="7FC69637"/>
    <w:rsid w:val="7FD34767"/>
    <w:rsid w:val="7FDA9E6F"/>
    <w:rsid w:val="7FDF8620"/>
    <w:rsid w:val="7FEE15BD"/>
    <w:rsid w:val="7FEF0DE0"/>
    <w:rsid w:val="7FFB242F"/>
    <w:rsid w:val="7FFD9853"/>
    <w:rsid w:val="7FFDB408"/>
    <w:rsid w:val="7FFDC5ED"/>
    <w:rsid w:val="7FFE4EEB"/>
    <w:rsid w:val="7FFF1949"/>
    <w:rsid w:val="7FFFC9AD"/>
    <w:rsid w:val="7FFFFB84"/>
    <w:rsid w:val="83F7DE5A"/>
    <w:rsid w:val="87FEB2A3"/>
    <w:rsid w:val="8E4752F3"/>
    <w:rsid w:val="93DEFEB2"/>
    <w:rsid w:val="95FB2B98"/>
    <w:rsid w:val="9A639BC2"/>
    <w:rsid w:val="9CCFAB22"/>
    <w:rsid w:val="9DFE22D0"/>
    <w:rsid w:val="9F8BECAC"/>
    <w:rsid w:val="9FF7D786"/>
    <w:rsid w:val="ABBFB23D"/>
    <w:rsid w:val="AF9F1231"/>
    <w:rsid w:val="AFED30B3"/>
    <w:rsid w:val="AFFD2C01"/>
    <w:rsid w:val="B3F73610"/>
    <w:rsid w:val="B3FF3624"/>
    <w:rsid w:val="B4FD4566"/>
    <w:rsid w:val="B9AF6890"/>
    <w:rsid w:val="BA8763D3"/>
    <w:rsid w:val="BCE7DF3D"/>
    <w:rsid w:val="BDD777D9"/>
    <w:rsid w:val="BDE5F264"/>
    <w:rsid w:val="BEFDD659"/>
    <w:rsid w:val="BEFFAE3E"/>
    <w:rsid w:val="BF7F1B72"/>
    <w:rsid w:val="BFBFF0D7"/>
    <w:rsid w:val="BFDF63EB"/>
    <w:rsid w:val="BFFB878E"/>
    <w:rsid w:val="C3B4DA5A"/>
    <w:rsid w:val="CBFF70E0"/>
    <w:rsid w:val="CD7F2E7C"/>
    <w:rsid w:val="CDA562EC"/>
    <w:rsid w:val="CFDB22B1"/>
    <w:rsid w:val="CFF50B82"/>
    <w:rsid w:val="CFFFA297"/>
    <w:rsid w:val="CFFFAD89"/>
    <w:rsid w:val="D7FCE70D"/>
    <w:rsid w:val="D7FD9777"/>
    <w:rsid w:val="D7FDEDA1"/>
    <w:rsid w:val="D85BB1DA"/>
    <w:rsid w:val="D9FBA9A7"/>
    <w:rsid w:val="DA5D83D6"/>
    <w:rsid w:val="DAE73613"/>
    <w:rsid w:val="DB6ED233"/>
    <w:rsid w:val="DBEF9034"/>
    <w:rsid w:val="DD1A90C7"/>
    <w:rsid w:val="DDDFB87B"/>
    <w:rsid w:val="DFA7461E"/>
    <w:rsid w:val="DFCE6155"/>
    <w:rsid w:val="DFDEFADC"/>
    <w:rsid w:val="DFDFB891"/>
    <w:rsid w:val="DFFE359E"/>
    <w:rsid w:val="DFFE4FFD"/>
    <w:rsid w:val="E1FFAB0A"/>
    <w:rsid w:val="E5FF5A31"/>
    <w:rsid w:val="E6E94412"/>
    <w:rsid w:val="EA0FE78D"/>
    <w:rsid w:val="EBBFBC68"/>
    <w:rsid w:val="EBE99477"/>
    <w:rsid w:val="EDDF4936"/>
    <w:rsid w:val="EEABED75"/>
    <w:rsid w:val="EEC71A8A"/>
    <w:rsid w:val="EECDBBC3"/>
    <w:rsid w:val="EF3F95F5"/>
    <w:rsid w:val="EF6BCF0C"/>
    <w:rsid w:val="EFB225E1"/>
    <w:rsid w:val="EFBF31C4"/>
    <w:rsid w:val="EFBFC832"/>
    <w:rsid w:val="EFD7559D"/>
    <w:rsid w:val="EFF75EFC"/>
    <w:rsid w:val="EFF7E10F"/>
    <w:rsid w:val="EFFF0A7D"/>
    <w:rsid w:val="EFFF4707"/>
    <w:rsid w:val="EFFFA15E"/>
    <w:rsid w:val="F12990DE"/>
    <w:rsid w:val="F2EF881F"/>
    <w:rsid w:val="F35C6588"/>
    <w:rsid w:val="F46F4F0A"/>
    <w:rsid w:val="F56FDF51"/>
    <w:rsid w:val="F5BD182A"/>
    <w:rsid w:val="F5FD6770"/>
    <w:rsid w:val="F6B69F17"/>
    <w:rsid w:val="F6DD9D13"/>
    <w:rsid w:val="F6EBA1A1"/>
    <w:rsid w:val="F77F1D61"/>
    <w:rsid w:val="F7A49816"/>
    <w:rsid w:val="F7B38012"/>
    <w:rsid w:val="F7B3BCD0"/>
    <w:rsid w:val="F7CAA169"/>
    <w:rsid w:val="F7ED81E3"/>
    <w:rsid w:val="F7FC43D7"/>
    <w:rsid w:val="F7FED3A9"/>
    <w:rsid w:val="F8471821"/>
    <w:rsid w:val="F8C9DB26"/>
    <w:rsid w:val="F8FF5E1E"/>
    <w:rsid w:val="F97E8EAE"/>
    <w:rsid w:val="F99FE84F"/>
    <w:rsid w:val="F9FF04FE"/>
    <w:rsid w:val="FAF71CFF"/>
    <w:rsid w:val="FAF7207E"/>
    <w:rsid w:val="FB36E1A6"/>
    <w:rsid w:val="FB3BE134"/>
    <w:rsid w:val="FB4F6273"/>
    <w:rsid w:val="FB6B4210"/>
    <w:rsid w:val="FBAEB457"/>
    <w:rsid w:val="FBBF1400"/>
    <w:rsid w:val="FBBFAA61"/>
    <w:rsid w:val="FBD32128"/>
    <w:rsid w:val="FBD79475"/>
    <w:rsid w:val="FBE5CE16"/>
    <w:rsid w:val="FBED226D"/>
    <w:rsid w:val="FBF3BD6C"/>
    <w:rsid w:val="FBFF6DB2"/>
    <w:rsid w:val="FC6F9441"/>
    <w:rsid w:val="FCBEEB88"/>
    <w:rsid w:val="FCFF4275"/>
    <w:rsid w:val="FCFFE17A"/>
    <w:rsid w:val="FD7F1892"/>
    <w:rsid w:val="FD7FEEEA"/>
    <w:rsid w:val="FD87A9F1"/>
    <w:rsid w:val="FD9F3AFB"/>
    <w:rsid w:val="FD9FE032"/>
    <w:rsid w:val="FDD9D738"/>
    <w:rsid w:val="FDFBB563"/>
    <w:rsid w:val="FDFFB577"/>
    <w:rsid w:val="FEAF49B6"/>
    <w:rsid w:val="FEBC9A05"/>
    <w:rsid w:val="FEEA50FE"/>
    <w:rsid w:val="FEEE3C8A"/>
    <w:rsid w:val="FEFBA849"/>
    <w:rsid w:val="FEFC7858"/>
    <w:rsid w:val="FEFFED2F"/>
    <w:rsid w:val="FF239EA8"/>
    <w:rsid w:val="FF2B0AB1"/>
    <w:rsid w:val="FF3DB648"/>
    <w:rsid w:val="FF5F479E"/>
    <w:rsid w:val="FF67E432"/>
    <w:rsid w:val="FF6F62BB"/>
    <w:rsid w:val="FF757874"/>
    <w:rsid w:val="FF7B3D36"/>
    <w:rsid w:val="FF7D47A9"/>
    <w:rsid w:val="FF7D63B7"/>
    <w:rsid w:val="FF7F3E18"/>
    <w:rsid w:val="FF7F806B"/>
    <w:rsid w:val="FF9E01C3"/>
    <w:rsid w:val="FFB4A94B"/>
    <w:rsid w:val="FFBB6B99"/>
    <w:rsid w:val="FFBB70AC"/>
    <w:rsid w:val="FFBB7268"/>
    <w:rsid w:val="FFBF4FC0"/>
    <w:rsid w:val="FFC7F02D"/>
    <w:rsid w:val="FFCF21CB"/>
    <w:rsid w:val="FFDDC807"/>
    <w:rsid w:val="FFEFF368"/>
    <w:rsid w:val="FFF33A99"/>
    <w:rsid w:val="FFFB9837"/>
    <w:rsid w:val="FFFC14D5"/>
    <w:rsid w:val="FFFDE664"/>
    <w:rsid w:val="FFFF1C8B"/>
    <w:rsid w:val="FFFF3398"/>
    <w:rsid w:val="FFFF6E3E"/>
    <w:rsid w:val="FFFF7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character" w:customStyle="1" w:styleId="13">
    <w:name w:val="页眉 Char"/>
    <w:basedOn w:val="11"/>
    <w:link w:val="8"/>
    <w:qFormat/>
    <w:uiPriority w:val="99"/>
    <w:rPr>
      <w:sz w:val="18"/>
      <w:szCs w:val="18"/>
    </w:rPr>
  </w:style>
  <w:style w:type="character" w:customStyle="1" w:styleId="14">
    <w:name w:val="页脚 Char"/>
    <w:basedOn w:val="11"/>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6"/>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19</TotalTime>
  <ScaleCrop>false</ScaleCrop>
  <LinksUpToDate>false</LinksUpToDate>
  <CharactersWithSpaces>9008</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2020-07-11T10:32:00Z</dcterms:created>
  <dc:creator>李航 null</dc:creator>
  <cp:lastModifiedBy>greatwall</cp:lastModifiedBy>
  <cp:lastPrinted>2024-08-11T18:20:00Z</cp:lastPrinted>
  <dcterms:modified xsi:type="dcterms:W3CDTF">2024-09-23T10:53:24Z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