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jc w:val="both"/>
        <w:rPr>
          <w:rFonts w:hAnsi="黑体"/>
          <w:sz w:val="36"/>
          <w:szCs w:val="36"/>
        </w:rPr>
      </w:pPr>
      <w:r>
        <w:rPr>
          <w:rFonts w:hint="eastAsia" w:hAnsi="黑体"/>
          <w:sz w:val="36"/>
          <w:szCs w:val="36"/>
        </w:rPr>
        <w:t>附件1</w:t>
      </w:r>
    </w:p>
    <w:p>
      <w:pPr>
        <w:pStyle w:val="13"/>
        <w:jc w:val="center"/>
        <w:rPr>
          <w:rFonts w:ascii="Times New Roman" w:hAnsi="Times New Roman" w:cs="Times New Roman"/>
          <w:sz w:val="56"/>
          <w:szCs w:val="56"/>
        </w:rPr>
      </w:pPr>
    </w:p>
    <w:p>
      <w:pPr>
        <w:pStyle w:val="13"/>
        <w:jc w:val="center"/>
        <w:rPr>
          <w:rFonts w:ascii="Times New Roman" w:hAnsi="Times New Roman" w:cs="Times New Roman"/>
          <w:sz w:val="84"/>
          <w:szCs w:val="84"/>
        </w:rPr>
      </w:pPr>
    </w:p>
    <w:p>
      <w:pPr>
        <w:pStyle w:val="13"/>
        <w:jc w:val="center"/>
        <w:rPr>
          <w:rFonts w:ascii="Times New Roman" w:hAnsi="Times New Roman" w:cs="Times New Roman"/>
          <w:sz w:val="84"/>
          <w:szCs w:val="84"/>
        </w:rPr>
      </w:pPr>
    </w:p>
    <w:p>
      <w:pPr>
        <w:pStyle w:val="13"/>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pPr>
        <w:pStyle w:val="13"/>
        <w:jc w:val="center"/>
        <w:rPr>
          <w:rFonts w:ascii="Times New Roman" w:hAnsi="Times New Roman" w:eastAsia="方正小标宋简体" w:cs="Times New Roman"/>
          <w:sz w:val="72"/>
          <w:szCs w:val="72"/>
        </w:rPr>
      </w:pPr>
      <w:r>
        <w:rPr>
          <w:rFonts w:hint="eastAsia" w:ascii="Times New Roman" w:hAnsi="Times New Roman" w:eastAsia="方正小标宋简体" w:cs="Times New Roman"/>
          <w:sz w:val="72"/>
          <w:szCs w:val="72"/>
        </w:rPr>
        <w:t>怀化市交通运输指挥中心</w:t>
      </w:r>
    </w:p>
    <w:p>
      <w:pPr>
        <w:pStyle w:val="13"/>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部门决算</w:t>
      </w:r>
    </w:p>
    <w:p>
      <w:pPr>
        <w:pStyle w:val="13"/>
        <w:jc w:val="center"/>
        <w:rPr>
          <w:rFonts w:ascii="Times New Roman" w:hAnsi="Times New Roman" w:eastAsia="方正小标宋_GBK" w:cs="Times New Roman"/>
          <w:sz w:val="56"/>
          <w:szCs w:val="56"/>
        </w:rPr>
      </w:pPr>
    </w:p>
    <w:p>
      <w:pPr>
        <w:pStyle w:val="13"/>
        <w:jc w:val="center"/>
        <w:rPr>
          <w:rFonts w:ascii="Times New Roman" w:hAnsi="Times New Roman" w:cs="Times New Roman"/>
          <w:sz w:val="56"/>
          <w:szCs w:val="56"/>
        </w:rPr>
      </w:pPr>
    </w:p>
    <w:p>
      <w:pPr>
        <w:pStyle w:val="13"/>
        <w:rPr>
          <w:rFonts w:ascii="Times New Roman" w:hAnsi="Times New Roman" w:cs="Times New Roman"/>
          <w:sz w:val="56"/>
          <w:szCs w:val="56"/>
        </w:rPr>
      </w:pPr>
    </w:p>
    <w:p>
      <w:pPr>
        <w:pStyle w:val="13"/>
        <w:jc w:val="center"/>
        <w:rPr>
          <w:rFonts w:ascii="Times New Roman" w:hAnsi="Times New Roman" w:cs="Times New Roman"/>
          <w:sz w:val="32"/>
          <w:szCs w:val="32"/>
        </w:rPr>
      </w:pPr>
    </w:p>
    <w:p>
      <w:pPr>
        <w:pStyle w:val="13"/>
        <w:jc w:val="center"/>
        <w:rPr>
          <w:rFonts w:ascii="Times New Roman" w:hAnsi="Times New Roman" w:cs="Times New Roman"/>
          <w:sz w:val="32"/>
          <w:szCs w:val="32"/>
        </w:rPr>
      </w:pPr>
    </w:p>
    <w:p>
      <w:pPr>
        <w:pStyle w:val="13"/>
        <w:jc w:val="center"/>
        <w:rPr>
          <w:rFonts w:ascii="Times New Roman" w:hAnsi="Times New Roman" w:cs="Times New Roman"/>
          <w:sz w:val="32"/>
          <w:szCs w:val="32"/>
        </w:rPr>
      </w:pPr>
    </w:p>
    <w:p>
      <w:pPr>
        <w:pStyle w:val="13"/>
        <w:jc w:val="center"/>
        <w:rPr>
          <w:rFonts w:ascii="Times New Roman" w:hAnsi="Times New Roman" w:cs="Times New Roman"/>
          <w:sz w:val="32"/>
          <w:szCs w:val="32"/>
        </w:rPr>
      </w:pPr>
    </w:p>
    <w:p>
      <w:pPr>
        <w:pStyle w:val="13"/>
        <w:jc w:val="center"/>
        <w:rPr>
          <w:rFonts w:ascii="Times New Roman" w:hAnsi="Times New Roman" w:cs="Times New Roman"/>
          <w:sz w:val="32"/>
          <w:szCs w:val="32"/>
        </w:rPr>
      </w:pPr>
    </w:p>
    <w:p>
      <w:pPr>
        <w:pStyle w:val="13"/>
        <w:jc w:val="center"/>
        <w:rPr>
          <w:rFonts w:ascii="Times New Roman" w:hAnsi="Times New Roman" w:cs="Times New Roman"/>
          <w:sz w:val="32"/>
          <w:szCs w:val="32"/>
        </w:rPr>
      </w:pPr>
    </w:p>
    <w:p>
      <w:pPr>
        <w:pStyle w:val="13"/>
        <w:spacing w:line="540" w:lineRule="exact"/>
        <w:jc w:val="center"/>
        <w:rPr>
          <w:rFonts w:ascii="Times New Roman" w:hAnsi="Times New Roman" w:cs="Times New Roman"/>
          <w:sz w:val="56"/>
          <w:szCs w:val="56"/>
        </w:rPr>
      </w:pPr>
    </w:p>
    <w:p>
      <w:pPr>
        <w:rPr>
          <w:rFonts w:ascii="Times New Roman" w:hAnsi="Times New Roman" w:cs="Times New Roman"/>
          <w:b/>
          <w:sz w:val="36"/>
          <w:szCs w:val="28"/>
        </w:rPr>
        <w:sectPr>
          <w:pgSz w:w="11906" w:h="16838"/>
          <w:pgMar w:top="1417" w:right="1588" w:bottom="1417" w:left="1588" w:header="851" w:footer="992" w:gutter="0"/>
          <w:cols w:space="425" w:num="1"/>
          <w:docGrid w:type="lines" w:linePitch="312" w:charSpace="0"/>
        </w:sectPr>
      </w:pPr>
    </w:p>
    <w:p>
      <w:pPr>
        <w:pStyle w:val="13"/>
        <w:spacing w:line="600" w:lineRule="exact"/>
        <w:jc w:val="both"/>
        <w:rPr>
          <w:rFonts w:ascii="Times New Roman" w:hAnsi="Times New Roman" w:cs="Times New Roman"/>
          <w:b/>
          <w:sz w:val="36"/>
          <w:szCs w:val="28"/>
        </w:rPr>
        <w:sectPr>
          <w:footerReference r:id="rId3" w:type="default"/>
          <w:pgSz w:w="11906" w:h="16838"/>
          <w:pgMar w:top="1417" w:right="1588" w:bottom="1417" w:left="1588" w:header="851" w:footer="992" w:gutter="0"/>
          <w:pgNumType w:start="1"/>
          <w:cols w:space="425" w:num="1"/>
          <w:docGrid w:type="lines" w:linePitch="312" w:charSpace="0"/>
        </w:sectPr>
      </w:pPr>
    </w:p>
    <w:p>
      <w:pPr>
        <w:pStyle w:val="13"/>
        <w:spacing w:line="600" w:lineRule="exact"/>
        <w:jc w:val="both"/>
        <w:rPr>
          <w:rFonts w:ascii="Times New Roman" w:hAnsi="Times New Roman" w:cs="Times New Roman"/>
          <w:b/>
          <w:sz w:val="36"/>
          <w:szCs w:val="28"/>
        </w:rPr>
      </w:pPr>
    </w:p>
    <w:p>
      <w:pPr>
        <w:pStyle w:val="13"/>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pPr>
        <w:pStyle w:val="13"/>
        <w:spacing w:line="600" w:lineRule="exact"/>
        <w:jc w:val="center"/>
        <w:rPr>
          <w:rFonts w:ascii="Times New Roman" w:hAnsi="Times New Roman" w:cs="Times New Roman"/>
          <w:b/>
          <w:sz w:val="36"/>
          <w:szCs w:val="28"/>
        </w:rPr>
      </w:pPr>
    </w:p>
    <w:p>
      <w:pPr>
        <w:pStyle w:val="13"/>
        <w:spacing w:afterLines="50" w:line="600" w:lineRule="exact"/>
        <w:rPr>
          <w:rFonts w:ascii="Times New Roman" w:hAnsi="Times New Roman" w:cs="Times New Roman"/>
          <w:bCs/>
          <w:sz w:val="32"/>
          <w:szCs w:val="32"/>
        </w:rPr>
      </w:pPr>
      <w:r>
        <w:rPr>
          <w:rFonts w:ascii="Times New Roman" w:hAnsi="Times New Roman" w:cs="Times New Roman"/>
          <w:bCs/>
          <w:sz w:val="32"/>
          <w:szCs w:val="32"/>
        </w:rPr>
        <w:t>第一部分</w:t>
      </w:r>
      <w:r>
        <w:rPr>
          <w:rFonts w:hint="eastAsia" w:ascii="Times New Roman" w:hAnsi="Times New Roman" w:cs="Times New Roman"/>
          <w:bCs/>
          <w:sz w:val="32"/>
          <w:szCs w:val="32"/>
        </w:rPr>
        <w:t>怀化市交通运输指挥中心</w:t>
      </w:r>
      <w:r>
        <w:rPr>
          <w:rFonts w:ascii="Times New Roman" w:hAnsi="Times New Roman" w:cs="Times New Roman"/>
          <w:bCs/>
          <w:sz w:val="32"/>
          <w:szCs w:val="32"/>
        </w:rPr>
        <w:t>概况</w:t>
      </w:r>
    </w:p>
    <w:p>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pPr>
        <w:pStyle w:val="13"/>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pPr>
        <w:pStyle w:val="13"/>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4" w:type="default"/>
          <w:pgSz w:w="11906" w:h="16838"/>
          <w:pgMar w:top="1417" w:right="1588" w:bottom="1417" w:left="1588" w:header="851" w:footer="992" w:gutter="0"/>
          <w:pgNumType w:start="1"/>
          <w:cols w:space="425" w:num="1"/>
          <w:docGrid w:type="lines" w:linePitch="312" w:charSpace="0"/>
        </w:sectPr>
      </w:pP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pPr>
        <w:autoSpaceDE w:val="0"/>
        <w:autoSpaceDN w:val="0"/>
        <w:adjustRightInd w:val="0"/>
        <w:spacing w:line="600" w:lineRule="exact"/>
        <w:jc w:val="left"/>
        <w:rPr>
          <w:rFonts w:ascii="Times New Roman" w:hAnsi="Times New Roman" w:eastAsia="仿宋_GB2312" w:cs="Times New Roman"/>
          <w:color w:val="0000FF"/>
          <w:kern w:val="0"/>
          <w:sz w:val="32"/>
          <w:szCs w:val="32"/>
        </w:rPr>
      </w:pPr>
      <w:r>
        <w:rPr>
          <w:rFonts w:hint="eastAsia" w:ascii="Times New Roman" w:hAnsi="Times New Roman" w:eastAsia="仿宋_GB2312" w:cs="Times New Roman"/>
          <w:kern w:val="0"/>
          <w:sz w:val="32"/>
          <w:szCs w:val="32"/>
        </w:rPr>
        <w:t>九、</w:t>
      </w:r>
      <w:r>
        <w:rPr>
          <w:rFonts w:hint="eastAsia" w:ascii="仿宋_GB2312" w:hAnsi="仿宋_GB2312" w:eastAsia="仿宋_GB2312" w:cs="仿宋_GB2312"/>
          <w:kern w:val="0"/>
          <w:sz w:val="30"/>
          <w:szCs w:val="30"/>
        </w:rPr>
        <w:t>国有资本经营预算收入支出决算情况</w:t>
      </w:r>
      <w:r>
        <w:rPr>
          <w:rFonts w:ascii="仿宋_GB2312" w:hAnsi="仿宋_GB2312" w:eastAsia="仿宋_GB2312" w:cs="仿宋_GB2312"/>
          <w:color w:val="FF0000"/>
          <w:kern w:val="0"/>
          <w:sz w:val="30"/>
          <w:szCs w:val="30"/>
        </w:rPr>
        <w:t xml:space="preserve"> </w:t>
      </w:r>
    </w:p>
    <w:p>
      <w:pPr>
        <w:autoSpaceDE w:val="0"/>
        <w:autoSpaceDN w:val="0"/>
        <w:adjustRightInd w:val="0"/>
        <w:spacing w:line="600" w:lineRule="exact"/>
        <w:jc w:val="left"/>
      </w:pPr>
      <w:r>
        <w:rPr>
          <w:rFonts w:hint="eastAsia" w:ascii="Times New Roman" w:hAnsi="Times New Roman" w:eastAsia="仿宋_GB2312" w:cs="Times New Roman"/>
          <w:color w:val="000000"/>
          <w:kern w:val="0"/>
          <w:sz w:val="32"/>
          <w:szCs w:val="32"/>
        </w:rPr>
        <w:t>十</w:t>
      </w:r>
      <w:r>
        <w:rPr>
          <w:rFonts w:ascii="Times New Roman" w:hAnsi="Times New Roman" w:eastAsia="仿宋_GB2312" w:cs="Times New Roman"/>
          <w:color w:val="000000"/>
          <w:kern w:val="0"/>
          <w:sz w:val="32"/>
          <w:szCs w:val="32"/>
        </w:rPr>
        <w:t>、关于机关运行经费支出说明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rPr>
        <w:t>一</w:t>
      </w:r>
      <w:r>
        <w:rPr>
          <w:rFonts w:ascii="Times New Roman" w:hAnsi="Times New Roman" w:eastAsia="仿宋_GB2312" w:cs="Times New Roman"/>
          <w:color w:val="000000"/>
          <w:kern w:val="0"/>
          <w:sz w:val="32"/>
          <w:szCs w:val="32"/>
        </w:rPr>
        <w:t>、一般性支出情况说明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rPr>
        <w:t>二</w:t>
      </w:r>
      <w:r>
        <w:rPr>
          <w:rFonts w:ascii="Times New Roman" w:hAnsi="Times New Roman" w:eastAsia="仿宋_GB2312" w:cs="Times New Roman"/>
          <w:color w:val="000000"/>
          <w:kern w:val="0"/>
          <w:sz w:val="32"/>
          <w:szCs w:val="32"/>
        </w:rPr>
        <w:t>、关于政府采购支出说明</w:t>
      </w:r>
    </w:p>
    <w:p>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rPr>
        <w:t>三</w:t>
      </w:r>
      <w:r>
        <w:rPr>
          <w:rFonts w:ascii="Times New Roman" w:hAnsi="Times New Roman" w:eastAsia="仿宋_GB2312" w:cs="Times New Roman"/>
          <w:sz w:val="32"/>
          <w:szCs w:val="32"/>
        </w:rPr>
        <w:t>、关于国有资产占用情况说明</w:t>
      </w:r>
    </w:p>
    <w:p>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rPr>
        <w:t>四</w:t>
      </w:r>
      <w:r>
        <w:rPr>
          <w:rFonts w:ascii="Times New Roman" w:hAnsi="Times New Roman" w:eastAsia="仿宋_GB2312" w:cs="Times New Roman"/>
          <w:sz w:val="32"/>
          <w:szCs w:val="32"/>
        </w:rPr>
        <w:t>、关于2024年度预算绩效管理情况的说明</w:t>
      </w:r>
    </w:p>
    <w:p>
      <w:pPr>
        <w:pStyle w:val="13"/>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pPr>
        <w:pStyle w:val="13"/>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pPr>
        <w:pStyle w:val="13"/>
        <w:spacing w:line="600" w:lineRule="exact"/>
        <w:rPr>
          <w:rFonts w:ascii="Times New Roman" w:hAnsi="Times New Roman" w:cs="Times New Roman"/>
          <w:bCs/>
          <w:sz w:val="28"/>
          <w:szCs w:val="28"/>
        </w:rPr>
      </w:pPr>
    </w:p>
    <w:p>
      <w:pPr>
        <w:jc w:val="center"/>
        <w:rPr>
          <w:rFonts w:ascii="Times New Roman" w:hAnsi="Times New Roman" w:cs="Times New Roman"/>
          <w:sz w:val="72"/>
          <w:szCs w:val="72"/>
        </w:rPr>
      </w:pPr>
    </w:p>
    <w:p>
      <w:pPr>
        <w:jc w:val="center"/>
        <w:rPr>
          <w:rFonts w:ascii="Times New Roman" w:hAnsi="Times New Roman" w:cs="Times New Roman"/>
          <w:sz w:val="72"/>
          <w:szCs w:val="72"/>
        </w:rPr>
      </w:pPr>
    </w:p>
    <w:p>
      <w:pPr>
        <w:jc w:val="center"/>
        <w:rPr>
          <w:rFonts w:ascii="Times New Roman" w:hAnsi="Times New Roman" w:cs="Times New Roman"/>
          <w:sz w:val="72"/>
          <w:szCs w:val="72"/>
        </w:rPr>
      </w:pPr>
    </w:p>
    <w:p>
      <w:pPr>
        <w:pStyle w:val="2"/>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pPr>
        <w:rPr>
          <w:rFonts w:ascii="Times New Roman" w:hAnsi="Times New Roman" w:eastAsia="方正小标宋_GBK" w:cs="Times New Roman"/>
          <w:sz w:val="72"/>
          <w:szCs w:val="72"/>
        </w:rPr>
      </w:pPr>
    </w:p>
    <w:p>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pPr>
        <w:pStyle w:val="13"/>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rPr>
        <w:t>怀化市交通运输指挥中心</w:t>
      </w:r>
      <w:r>
        <w:rPr>
          <w:rFonts w:ascii="Times New Roman" w:hAnsi="Times New Roman" w:eastAsia="方正小标宋_GBK" w:cs="Times New Roman"/>
          <w:sz w:val="52"/>
          <w:szCs w:val="52"/>
        </w:rPr>
        <w:t>概况</w:t>
      </w:r>
    </w:p>
    <w:p>
      <w:pPr>
        <w:pStyle w:val="3"/>
        <w:ind w:left="0" w:leftChars="0" w:firstLine="0" w:firstLineChars="0"/>
        <w:rPr>
          <w:rFonts w:ascii="Times New Roman" w:hAnsi="Times New Roman" w:cs="Times New Roman"/>
        </w:rPr>
      </w:pPr>
    </w:p>
    <w:p>
      <w:pPr>
        <w:pStyle w:val="14"/>
        <w:widowControl/>
        <w:numPr>
          <w:ilvl w:val="0"/>
          <w:numId w:val="1"/>
        </w:numPr>
        <w:spacing w:line="600" w:lineRule="exact"/>
        <w:ind w:firstLineChars="0"/>
        <w:rPr>
          <w:rFonts w:ascii="Times New Roman" w:hAnsi="Times New Roman" w:eastAsia="黑体" w:cs="Times New Roman"/>
          <w:sz w:val="32"/>
          <w:szCs w:val="32"/>
        </w:rPr>
      </w:pPr>
      <w:r>
        <w:rPr>
          <w:rFonts w:ascii="Times New Roman" w:hAnsi="Times New Roman" w:eastAsia="黑体" w:cs="Times New Roman"/>
          <w:sz w:val="32"/>
          <w:szCs w:val="32"/>
        </w:rPr>
        <w:t>部门职责</w:t>
      </w:r>
    </w:p>
    <w:p>
      <w:pPr>
        <w:widowControl/>
        <w:spacing w:line="600" w:lineRule="exact"/>
        <w:ind w:firstLine="790" w:firstLineChars="250"/>
        <w:rPr>
          <w:rStyle w:val="19"/>
          <w:rFonts w:hint="default" w:ascii="仿宋" w:hAnsi="仿宋" w:eastAsia="仿宋" w:cs="仿宋_GB2312"/>
          <w:sz w:val="32"/>
          <w:szCs w:val="32"/>
        </w:rPr>
      </w:pPr>
      <w:r>
        <w:rPr>
          <w:rFonts w:hint="eastAsia" w:ascii="仿宋" w:hAnsi="仿宋" w:eastAsia="仿宋"/>
          <w:spacing w:val="-2"/>
          <w:sz w:val="32"/>
          <w:szCs w:val="32"/>
        </w:rPr>
        <w:t>本单位</w:t>
      </w:r>
      <w:r>
        <w:rPr>
          <w:rStyle w:val="19"/>
          <w:rFonts w:hint="default" w:ascii="仿宋" w:hAnsi="仿宋" w:eastAsia="仿宋" w:cs="仿宋_GB2312"/>
          <w:sz w:val="32"/>
          <w:szCs w:val="32"/>
        </w:rPr>
        <w:t>主要承担市交通运输信息化发展、政务服务、交通信息科技推广等事务性工作。目前年度重点工作是完成交通政务窗口道路运输服务类政务服务事务性工作，协助推进智慧交通项目建设等前期工作，安全管理等日常工作。</w:t>
      </w:r>
    </w:p>
    <w:p>
      <w:pPr>
        <w:pStyle w:val="14"/>
        <w:spacing w:line="600" w:lineRule="exact"/>
        <w:ind w:firstLine="0" w:firstLineChars="0"/>
        <w:jc w:val="left"/>
        <w:rPr>
          <w:rFonts w:ascii="Times New Roman" w:hAnsi="Times New Roman" w:eastAsia="黑体" w:cs="Times New Roman"/>
          <w:sz w:val="32"/>
          <w:szCs w:val="32"/>
        </w:rPr>
      </w:pPr>
    </w:p>
    <w:p>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pPr>
        <w:widowControl/>
        <w:spacing w:line="600" w:lineRule="exact"/>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（一）怀化市交通运输指挥中心属怀化市交通运输局下的二级全额拨款的部门预算单位。</w:t>
      </w:r>
    </w:p>
    <w:p>
      <w:pPr>
        <w:widowControl/>
        <w:spacing w:line="600" w:lineRule="exact"/>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（二）决算单位构成。怀化市交通运输指挥中心单位2024年部门决算汇总公开单位构成包括：怀化市交通运输指挥中心单位本级。</w:t>
      </w:r>
    </w:p>
    <w:p>
      <w:pPr>
        <w:rPr>
          <w:rFonts w:ascii="Times New Roman" w:hAnsi="Times New Roman" w:eastAsia="黑体" w:cs="Times New Roman"/>
          <w:sz w:val="28"/>
          <w:szCs w:val="28"/>
        </w:rPr>
      </w:pPr>
    </w:p>
    <w:p>
      <w:pPr>
        <w:jc w:val="center"/>
        <w:rPr>
          <w:rFonts w:ascii="Times New Roman" w:hAnsi="Times New Roman" w:eastAsia="黑体" w:cs="Times New Roman"/>
          <w:sz w:val="28"/>
          <w:szCs w:val="28"/>
        </w:rPr>
      </w:pPr>
    </w:p>
    <w:p>
      <w:pPr>
        <w:jc w:val="center"/>
        <w:rPr>
          <w:rFonts w:ascii="Times New Roman" w:hAnsi="Times New Roman" w:eastAsia="黑体" w:cs="Times New Roman"/>
          <w:sz w:val="28"/>
          <w:szCs w:val="28"/>
        </w:rPr>
      </w:pPr>
    </w:p>
    <w:p>
      <w:pPr>
        <w:jc w:val="center"/>
        <w:rPr>
          <w:rFonts w:ascii="Times New Roman" w:hAnsi="Times New Roman" w:eastAsia="黑体" w:cs="Times New Roman"/>
          <w:sz w:val="28"/>
          <w:szCs w:val="28"/>
        </w:rPr>
      </w:pPr>
    </w:p>
    <w:p>
      <w:pPr>
        <w:jc w:val="center"/>
        <w:rPr>
          <w:rFonts w:ascii="Times New Roman" w:hAnsi="Times New Roman" w:eastAsia="黑体" w:cs="Times New Roman"/>
          <w:sz w:val="28"/>
          <w:szCs w:val="28"/>
        </w:rPr>
      </w:pPr>
    </w:p>
    <w:p>
      <w:pPr>
        <w:pStyle w:val="2"/>
        <w:rPr>
          <w:rFonts w:ascii="Times New Roman" w:hAnsi="Times New Roman" w:cs="Times New Roman"/>
        </w:rPr>
        <w:sectPr>
          <w:footerReference r:id="rId6" w:type="default"/>
          <w:pgSz w:w="11906" w:h="16838"/>
          <w:pgMar w:top="1417" w:right="1588" w:bottom="1417" w:left="1588" w:header="851" w:footer="992" w:gutter="0"/>
          <w:pgNumType w:start="1"/>
          <w:cols w:space="425" w:num="1"/>
          <w:docGrid w:type="lines" w:linePitch="312" w:charSpace="0"/>
        </w:sectPr>
      </w:pPr>
    </w:p>
    <w:p>
      <w:pPr>
        <w:pStyle w:val="13"/>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w:t>
      </w:r>
      <w:r>
        <w:rPr>
          <w:rFonts w:hint="eastAsia" w:ascii="Times New Roman" w:hAnsi="Times New Roman" w:eastAsia="方正小标宋_GBK" w:cs="Times New Roman"/>
          <w:sz w:val="52"/>
          <w:szCs w:val="52"/>
        </w:rPr>
        <w:t>怀化市交通运输指挥中心</w:t>
      </w:r>
      <w:r>
        <w:rPr>
          <w:rFonts w:ascii="Times New Roman" w:hAnsi="Times New Roman" w:eastAsia="方正小标宋_GBK" w:cs="Times New Roman"/>
          <w:sz w:val="52"/>
          <w:szCs w:val="52"/>
        </w:rPr>
        <w:t>决算表</w:t>
      </w:r>
    </w:p>
    <w:p>
      <w:pPr>
        <w:widowControl/>
        <w:spacing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rPr>
        <w:t>收入支出决算总表</w:t>
      </w:r>
    </w:p>
    <w:p>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rPr>
        <w:t>公开01表</w:t>
      </w:r>
    </w:p>
    <w:p>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rPr>
        <w:t>怀化市交通运输指挥中心</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rPr>
        <w:t>单位：万元</w:t>
      </w:r>
    </w:p>
    <w:tbl>
      <w:tblPr>
        <w:tblStyle w:val="9"/>
        <w:tblW w:w="14896" w:type="dxa"/>
        <w:jc w:val="center"/>
        <w:tblLayout w:type="fixed"/>
        <w:tblCellMar>
          <w:top w:w="0" w:type="dxa"/>
          <w:left w:w="108" w:type="dxa"/>
          <w:bottom w:w="0" w:type="dxa"/>
          <w:right w:w="108" w:type="dxa"/>
        </w:tblCellMar>
      </w:tblPr>
      <w:tblGrid>
        <w:gridCol w:w="5763"/>
        <w:gridCol w:w="850"/>
        <w:gridCol w:w="1291"/>
        <w:gridCol w:w="4851"/>
        <w:gridCol w:w="850"/>
        <w:gridCol w:w="1291"/>
      </w:tblGrid>
      <w:tr>
        <w:tblPrEx>
          <w:tblCellMar>
            <w:top w:w="0" w:type="dxa"/>
            <w:left w:w="108" w:type="dxa"/>
            <w:bottom w:w="0" w:type="dxa"/>
            <w:right w:w="108" w:type="dxa"/>
          </w:tblCellMar>
        </w:tblPrEx>
        <w:trPr>
          <w:trHeight w:val="589" w:hRule="exact"/>
          <w:jc w:val="center"/>
        </w:trPr>
        <w:tc>
          <w:tcPr>
            <w:tcW w:w="790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收入</w:t>
            </w:r>
          </w:p>
        </w:tc>
        <w:tc>
          <w:tcPr>
            <w:tcW w:w="6992"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支出</w:t>
            </w:r>
          </w:p>
        </w:tc>
      </w:tr>
      <w:tr>
        <w:tblPrEx>
          <w:tblCellMar>
            <w:top w:w="0" w:type="dxa"/>
            <w:left w:w="108" w:type="dxa"/>
            <w:bottom w:w="0" w:type="dxa"/>
            <w:right w:w="108" w:type="dxa"/>
          </w:tblCellMar>
        </w:tblPrEx>
        <w:trPr>
          <w:trHeight w:val="711"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项    目</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行次</w:t>
            </w:r>
          </w:p>
        </w:tc>
        <w:tc>
          <w:tcPr>
            <w:tcW w:w="12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决算数</w:t>
            </w: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项    目</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行次</w:t>
            </w:r>
          </w:p>
        </w:tc>
        <w:tc>
          <w:tcPr>
            <w:tcW w:w="12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决算数</w:t>
            </w:r>
          </w:p>
        </w:tc>
      </w:tr>
      <w:tr>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    次</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ascii="Times New Roman" w:hAnsi="Times New Roman" w:eastAsia="仿宋_GB2312" w:cs="Times New Roman"/>
                <w:color w:val="000000"/>
                <w:sz w:val="24"/>
                <w:szCs w:val="24"/>
              </w:rPr>
            </w:pPr>
          </w:p>
        </w:tc>
        <w:tc>
          <w:tcPr>
            <w:tcW w:w="12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    次</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ascii="Times New Roman" w:hAnsi="Times New Roman" w:eastAsia="仿宋_GB2312" w:cs="Times New Roman"/>
                <w:color w:val="000000"/>
                <w:sz w:val="24"/>
                <w:szCs w:val="24"/>
              </w:rPr>
            </w:pPr>
          </w:p>
        </w:tc>
        <w:tc>
          <w:tcPr>
            <w:tcW w:w="12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r>
      <w:tr>
        <w:tblPrEx>
          <w:tblCellMar>
            <w:top w:w="0" w:type="dxa"/>
            <w:left w:w="108" w:type="dxa"/>
            <w:bottom w:w="0" w:type="dxa"/>
            <w:right w:w="108" w:type="dxa"/>
          </w:tblCellMar>
        </w:tblPrEx>
        <w:trPr>
          <w:trHeight w:val="655"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一、一般公共预算财政拨款收入</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一、一般公共服务支出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p>
        </w:tc>
      </w:tr>
      <w:tr>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二、政府性基金预算财政拨款收入</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二、外交支出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p>
        </w:tc>
      </w:tr>
      <w:tr>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三、国有资本经营预算财政拨款收入</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3</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三、国防支出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16</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p>
        </w:tc>
      </w:tr>
      <w:tr>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四、上级补助收入</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四、公共安全支出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17</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p>
        </w:tc>
      </w:tr>
      <w:tr>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五、事业收入</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五、教育支出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18</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p>
        </w:tc>
      </w:tr>
      <w:tr>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六、经营收入</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6</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六、科学技术支出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19</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p>
        </w:tc>
      </w:tr>
      <w:tr>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七、附属单位上缴收入</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7</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kern w:val="0"/>
                <w:sz w:val="24"/>
                <w:szCs w:val="24"/>
              </w:rPr>
              <w:t>七、交通运输支出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20</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368.43</w:t>
            </w:r>
          </w:p>
        </w:tc>
      </w:tr>
      <w:tr>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八、其他收入</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8</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ascii="Times New Roman" w:hAnsi="Times New Roman" w:eastAsia="仿宋_GB2312" w:cs="Times New Roman"/>
                <w:color w:val="000000"/>
                <w:sz w:val="22"/>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21</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仿宋_GB2312" w:cs="Times New Roman"/>
                <w:color w:val="000000"/>
                <w:sz w:val="22"/>
              </w:rPr>
            </w:pPr>
          </w:p>
        </w:tc>
      </w:tr>
      <w:tr>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0"/>
                <w:szCs w:val="20"/>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9</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0"/>
                <w:szCs w:val="20"/>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22</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Times New Roman" w:hAnsi="Times New Roman" w:eastAsia="仿宋_GB2312" w:cs="Times New Roman"/>
                <w:b/>
                <w:color w:val="000000"/>
                <w:sz w:val="22"/>
              </w:rPr>
            </w:pPr>
          </w:p>
        </w:tc>
      </w:tr>
      <w:tr>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本年收入合计</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10</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本年支出合计</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23</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368.43</w:t>
            </w:r>
          </w:p>
        </w:tc>
      </w:tr>
      <w:tr>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 xml:space="preserve">    使用非财政拨款结余（含专用结余）</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11</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 xml:space="preserve">                结余分配</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24</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Times New Roman" w:hAnsi="Times New Roman" w:eastAsia="仿宋_GB2312" w:cs="Times New Roman"/>
                <w:color w:val="000000"/>
                <w:sz w:val="22"/>
              </w:rPr>
            </w:pPr>
          </w:p>
        </w:tc>
      </w:tr>
      <w:tr>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 xml:space="preserve">         年初结转和结余</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12</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 xml:space="preserve">                年末结转和结余</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25</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Times New Roman" w:hAnsi="Times New Roman" w:eastAsia="仿宋_GB2312" w:cs="Times New Roman"/>
                <w:color w:val="000000"/>
                <w:sz w:val="22"/>
              </w:rPr>
            </w:pPr>
          </w:p>
        </w:tc>
      </w:tr>
      <w:tr>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总计</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13</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总计</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26</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Times New Roman" w:hAnsi="Times New Roman" w:eastAsia="仿宋_GB2312" w:cs="Times New Roman"/>
                <w:b/>
                <w:color w:val="000000"/>
                <w:sz w:val="22"/>
              </w:rPr>
            </w:pPr>
          </w:p>
        </w:tc>
      </w:tr>
    </w:tbl>
    <w:p>
      <w:pPr>
        <w:widowControl/>
        <w:jc w:val="left"/>
        <w:textAlignment w:val="center"/>
        <w:rPr>
          <w:rFonts w:ascii="Times New Roman" w:hAnsi="Times New Roman" w:eastAsia="宋体" w:cs="Times New Roman"/>
          <w:color w:val="000000"/>
          <w:kern w:val="0"/>
          <w:sz w:val="24"/>
          <w:szCs w:val="24"/>
        </w:rPr>
      </w:pPr>
    </w:p>
    <w:p>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注：1.本表反映部门本年度的总收支和年末结转结余情况。</w:t>
      </w:r>
      <w:r>
        <w:rPr>
          <w:rFonts w:ascii="Times New Roman" w:hAnsi="Times New Roman" w:eastAsia="仿宋_GB2312" w:cs="Times New Roman"/>
          <w:color w:val="000000"/>
          <w:kern w:val="0"/>
          <w:sz w:val="24"/>
          <w:szCs w:val="24"/>
        </w:rPr>
        <w:br w:type="textWrapping"/>
      </w:r>
      <w:r>
        <w:rPr>
          <w:rFonts w:ascii="Times New Roman" w:hAnsi="Times New Roman" w:eastAsia="仿宋_GB2312" w:cs="Times New Roman"/>
          <w:color w:val="000000"/>
          <w:kern w:val="0"/>
          <w:sz w:val="24"/>
          <w:szCs w:val="24"/>
        </w:rPr>
        <w:t xml:space="preserve">    2.本套报表金额单位转换时可能存在尾数误差。</w:t>
      </w:r>
    </w:p>
    <w:p>
      <w:pPr>
        <w:rPr>
          <w:rFonts w:ascii="Times New Roman" w:hAnsi="Times New Roman" w:eastAsia="华文中宋" w:cs="Times New Roman"/>
          <w:color w:val="000000"/>
          <w:sz w:val="32"/>
          <w:szCs w:val="32"/>
        </w:rPr>
      </w:pPr>
      <w:r>
        <w:rPr>
          <w:rFonts w:ascii="Times New Roman" w:hAnsi="Times New Roman" w:eastAsia="华文中宋" w:cs="Times New Roman"/>
          <w:color w:val="000000"/>
          <w:sz w:val="32"/>
          <w:szCs w:val="32"/>
        </w:rPr>
        <w:br w:type="page"/>
      </w:r>
    </w:p>
    <w:p>
      <w:pPr>
        <w:widowControl/>
        <w:spacing w:line="400" w:lineRule="exact"/>
        <w:jc w:val="center"/>
        <w:textAlignment w:val="center"/>
        <w:rPr>
          <w:rFonts w:ascii="Times New Roman" w:hAnsi="Times New Roman" w:eastAsia="黑体" w:cs="Times New Roman"/>
          <w:color w:val="000000"/>
          <w:kern w:val="0"/>
          <w:sz w:val="32"/>
          <w:szCs w:val="32"/>
        </w:rPr>
      </w:pPr>
    </w:p>
    <w:p>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收入决算表</w:t>
      </w:r>
    </w:p>
    <w:p>
      <w:pPr>
        <w:tabs>
          <w:tab w:val="left" w:pos="315"/>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公开02表</w:t>
      </w:r>
    </w:p>
    <w:p>
      <w:pPr>
        <w:tabs>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部门：</w:t>
      </w:r>
      <w:r>
        <w:rPr>
          <w:rFonts w:ascii="Times New Roman" w:hAnsi="Times New Roman" w:eastAsia="仿宋_GB2312" w:cs="Times New Roman"/>
          <w:color w:val="000000"/>
          <w:sz w:val="20"/>
          <w:szCs w:val="20"/>
        </w:rPr>
        <w:tab/>
      </w:r>
      <w:r>
        <w:rPr>
          <w:rFonts w:hint="eastAsia" w:ascii="Times New Roman" w:hAnsi="Times New Roman" w:eastAsia="仿宋_GB2312" w:cs="Times New Roman"/>
          <w:color w:val="000000"/>
          <w:kern w:val="0"/>
          <w:sz w:val="20"/>
          <w:szCs w:val="20"/>
        </w:rPr>
        <w:t>怀化市交通运输指挥中心</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　</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color w:val="000000"/>
          <w:sz w:val="20"/>
          <w:szCs w:val="20"/>
        </w:rPr>
        <w:t>单位：万元</w:t>
      </w:r>
    </w:p>
    <w:tbl>
      <w:tblPr>
        <w:tblStyle w:val="9"/>
        <w:tblW w:w="14666" w:type="dxa"/>
        <w:jc w:val="center"/>
        <w:tblLayout w:type="fixed"/>
        <w:tblCellMar>
          <w:top w:w="0" w:type="dxa"/>
          <w:left w:w="0" w:type="dxa"/>
          <w:bottom w:w="0" w:type="dxa"/>
          <w:right w:w="0" w:type="dxa"/>
        </w:tblCellMar>
      </w:tblPr>
      <w:tblGrid>
        <w:gridCol w:w="1886"/>
        <w:gridCol w:w="1300"/>
        <w:gridCol w:w="1640"/>
        <w:gridCol w:w="1640"/>
        <w:gridCol w:w="1640"/>
        <w:gridCol w:w="1640"/>
        <w:gridCol w:w="1640"/>
        <w:gridCol w:w="1897"/>
        <w:gridCol w:w="1383"/>
      </w:tblGrid>
      <w:tr>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项    目</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本年收入合计</w:t>
            </w:r>
          </w:p>
        </w:tc>
        <w:tc>
          <w:tcPr>
            <w:tcW w:w="164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财政拨款收入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上级补助收入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事业收入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经营收入</w:t>
            </w:r>
          </w:p>
        </w:tc>
        <w:tc>
          <w:tcPr>
            <w:tcW w:w="189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附属单位上缴收入</w:t>
            </w:r>
          </w:p>
        </w:tc>
        <w:tc>
          <w:tcPr>
            <w:tcW w:w="138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其他收入</w:t>
            </w:r>
          </w:p>
        </w:tc>
      </w:tr>
      <w:tr>
        <w:tblPrEx>
          <w:tblCellMar>
            <w:top w:w="0" w:type="dxa"/>
            <w:left w:w="0" w:type="dxa"/>
            <w:bottom w:w="0" w:type="dxa"/>
            <w:right w:w="0" w:type="dxa"/>
          </w:tblCellMar>
        </w:tblPrEx>
        <w:trPr>
          <w:trHeight w:val="334" w:hRule="exact"/>
          <w:jc w:val="center"/>
        </w:trPr>
        <w:tc>
          <w:tcPr>
            <w:tcW w:w="188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功能分类科目编码</w:t>
            </w:r>
          </w:p>
        </w:tc>
        <w:tc>
          <w:tcPr>
            <w:tcW w:w="1300"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科目名称</w:t>
            </w: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r>
      <w:tr>
        <w:tblPrEx>
          <w:tblCellMar>
            <w:top w:w="0" w:type="dxa"/>
            <w:left w:w="0" w:type="dxa"/>
            <w:bottom w:w="0" w:type="dxa"/>
            <w:right w:w="0" w:type="dxa"/>
          </w:tblCellMar>
        </w:tblPrEx>
        <w:trPr>
          <w:trHeight w:val="312" w:hRule="atLeast"/>
          <w:jc w:val="center"/>
        </w:trPr>
        <w:tc>
          <w:tcPr>
            <w:tcW w:w="1886"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300" w:type="dxa"/>
            <w:vMerge w:val="continue"/>
            <w:tcBorders>
              <w:top w:val="nil"/>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r>
      <w:tr>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栏次</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1</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2</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3</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4</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5</w:t>
            </w:r>
          </w:p>
        </w:tc>
        <w:tc>
          <w:tcPr>
            <w:tcW w:w="189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6</w:t>
            </w:r>
          </w:p>
        </w:tc>
        <w:tc>
          <w:tcPr>
            <w:tcW w:w="138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7</w:t>
            </w:r>
          </w:p>
        </w:tc>
      </w:tr>
      <w:tr>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合计</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214</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交通运输支出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hint="eastAsia" w:ascii="Times New Roman" w:hAnsi="Times New Roman" w:eastAsia="仿宋_GB2312" w:cs="Times New Roman"/>
              </w:rPr>
              <w:t>368.43</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hint="eastAsia" w:ascii="Times New Roman" w:hAnsi="Times New Roman" w:eastAsia="仿宋_GB2312" w:cs="Times New Roman"/>
              </w:rPr>
              <w:t>368.43</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Times New Roman" w:hAnsi="Times New Roman" w:eastAsia="仿宋_GB2312" w:cs="Times New Roman"/>
                <w:sz w:val="24"/>
                <w:szCs w:val="24"/>
              </w:rPr>
            </w:pPr>
            <w:r>
              <w:rPr>
                <w:rFonts w:ascii="Times New Roman" w:hAnsi="Times New Roman" w:eastAsia="仿宋_GB2312" w:cs="Times New Roman"/>
              </w:rPr>
              <w:t>　</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Times New Roman" w:hAnsi="Times New Roman" w:eastAsia="仿宋_GB2312" w:cs="Times New Roman"/>
                <w:sz w:val="24"/>
                <w:szCs w:val="24"/>
              </w:rPr>
            </w:pPr>
            <w:r>
              <w:rPr>
                <w:rFonts w:ascii="Times New Roman" w:hAnsi="Times New Roman" w:eastAsia="仿宋_GB2312" w:cs="Times New Roman"/>
              </w:rPr>
              <w:t>　</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Times New Roman" w:hAnsi="Times New Roman" w:eastAsia="仿宋_GB2312" w:cs="Times New Roman"/>
                <w:sz w:val="24"/>
                <w:szCs w:val="24"/>
              </w:rPr>
            </w:pPr>
            <w:r>
              <w:rPr>
                <w:rFonts w:ascii="Times New Roman" w:hAnsi="Times New Roman" w:eastAsia="仿宋_GB2312" w:cs="Times New Roman"/>
              </w:rPr>
              <w:t>　</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Times New Roman" w:hAnsi="Times New Roman" w:eastAsia="仿宋_GB2312" w:cs="Times New Roman"/>
                <w:sz w:val="24"/>
                <w:szCs w:val="24"/>
              </w:rPr>
            </w:pPr>
            <w:r>
              <w:rPr>
                <w:rFonts w:ascii="Times New Roman" w:hAnsi="Times New Roman" w:eastAsia="仿宋_GB2312" w:cs="Times New Roman"/>
              </w:rPr>
              <w:t>　</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Times New Roman" w:hAnsi="Times New Roman" w:eastAsia="仿宋_GB2312" w:cs="Times New Roman"/>
                <w:sz w:val="24"/>
                <w:szCs w:val="24"/>
              </w:rPr>
            </w:pPr>
            <w:r>
              <w:rPr>
                <w:rFonts w:ascii="Times New Roman" w:hAnsi="Times New Roman" w:eastAsia="仿宋_GB2312" w:cs="Times New Roman"/>
              </w:rPr>
              <w:t>　</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bl>
    <w:p>
      <w:pPr>
        <w:spacing w:before="120"/>
        <w:rPr>
          <w:rFonts w:ascii="Times New Roman" w:hAnsi="Times New Roman" w:eastAsia="仿宋_GB2312" w:cs="Times New Roman"/>
          <w:sz w:val="24"/>
          <w:szCs w:val="24"/>
        </w:rPr>
      </w:pPr>
      <w:r>
        <w:rPr>
          <w:rFonts w:ascii="Times New Roman" w:hAnsi="Times New Roman" w:eastAsia="仿宋_GB2312" w:cs="Times New Roman"/>
        </w:rPr>
        <w:t>注：本表反映部门本年度取得的各项收入情况。</w:t>
      </w:r>
    </w:p>
    <w:p>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pPr>
        <w:widowControl/>
        <w:jc w:val="center"/>
        <w:textAlignment w:val="center"/>
        <w:rPr>
          <w:rFonts w:ascii="Times New Roman" w:hAnsi="Times New Roman" w:eastAsia="黑体" w:cs="Times New Roman"/>
          <w:color w:val="000000"/>
          <w:kern w:val="0"/>
          <w:sz w:val="32"/>
          <w:szCs w:val="32"/>
        </w:rPr>
      </w:pPr>
    </w:p>
    <w:p>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支出决算表</w:t>
      </w:r>
    </w:p>
    <w:p>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公开03表</w:t>
      </w:r>
    </w:p>
    <w:p>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hint="eastAsia" w:ascii="Times New Roman" w:hAnsi="Times New Roman" w:eastAsia="仿宋_GB2312" w:cs="Times New Roman"/>
          <w:color w:val="000000"/>
          <w:kern w:val="0"/>
          <w:sz w:val="20"/>
          <w:szCs w:val="20"/>
          <w:lang w:val="en-US" w:eastAsia="zh-CN"/>
        </w:rPr>
        <w:t xml:space="preserve"> </w:t>
      </w: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rPr>
        <w:t>怀化市交通运输指挥中心</w:t>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　</w:t>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单位：万元</w:t>
      </w:r>
    </w:p>
    <w:tbl>
      <w:tblPr>
        <w:tblStyle w:val="9"/>
        <w:tblW w:w="14214" w:type="dxa"/>
        <w:jc w:val="center"/>
        <w:tblLayout w:type="fixed"/>
        <w:tblCellMar>
          <w:top w:w="0" w:type="dxa"/>
          <w:left w:w="108" w:type="dxa"/>
          <w:bottom w:w="0" w:type="dxa"/>
          <w:right w:w="108" w:type="dxa"/>
        </w:tblCellMar>
      </w:tblPr>
      <w:tblGrid>
        <w:gridCol w:w="2426"/>
        <w:gridCol w:w="1337"/>
        <w:gridCol w:w="1877"/>
        <w:gridCol w:w="1334"/>
        <w:gridCol w:w="1333"/>
        <w:gridCol w:w="1876"/>
        <w:gridCol w:w="1333"/>
        <w:gridCol w:w="2698"/>
      </w:tblGrid>
      <w:tr>
        <w:tblPrEx>
          <w:tblCellMar>
            <w:top w:w="0" w:type="dxa"/>
            <w:left w:w="108" w:type="dxa"/>
            <w:bottom w:w="0" w:type="dxa"/>
            <w:right w:w="108" w:type="dxa"/>
          </w:tblCellMar>
        </w:tblPrEx>
        <w:trPr>
          <w:trHeight w:val="595" w:hRule="atLeast"/>
          <w:jc w:val="center"/>
        </w:trPr>
        <w:tc>
          <w:tcPr>
            <w:tcW w:w="3763"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    目</w:t>
            </w:r>
          </w:p>
        </w:tc>
        <w:tc>
          <w:tcPr>
            <w:tcW w:w="1877"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本年支出合计</w:t>
            </w:r>
          </w:p>
        </w:tc>
        <w:tc>
          <w:tcPr>
            <w:tcW w:w="133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基本支出</w:t>
            </w:r>
          </w:p>
        </w:tc>
        <w:tc>
          <w:tcPr>
            <w:tcW w:w="1333"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项目支出</w:t>
            </w:r>
          </w:p>
        </w:tc>
        <w:tc>
          <w:tcPr>
            <w:tcW w:w="187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上缴上级支出</w:t>
            </w:r>
          </w:p>
        </w:tc>
        <w:tc>
          <w:tcPr>
            <w:tcW w:w="1333"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经营支出</w:t>
            </w:r>
          </w:p>
        </w:tc>
        <w:tc>
          <w:tcPr>
            <w:tcW w:w="2698"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对附属单位补助支出</w:t>
            </w:r>
          </w:p>
        </w:tc>
      </w:tr>
      <w:tr>
        <w:tblPrEx>
          <w:tblCellMar>
            <w:top w:w="0" w:type="dxa"/>
            <w:left w:w="108" w:type="dxa"/>
            <w:bottom w:w="0" w:type="dxa"/>
            <w:right w:w="108" w:type="dxa"/>
          </w:tblCellMar>
        </w:tblPrEx>
        <w:trPr>
          <w:trHeight w:val="312" w:hRule="exact"/>
          <w:jc w:val="center"/>
        </w:trPr>
        <w:tc>
          <w:tcPr>
            <w:tcW w:w="242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功能分类科目编码</w:t>
            </w:r>
          </w:p>
        </w:tc>
        <w:tc>
          <w:tcPr>
            <w:tcW w:w="1337" w:type="dxa"/>
            <w:vMerge w:val="restart"/>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科目名称</w:t>
            </w:r>
          </w:p>
        </w:tc>
        <w:tc>
          <w:tcPr>
            <w:tcW w:w="187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c>
          <w:tcPr>
            <w:tcW w:w="13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c>
          <w:tcPr>
            <w:tcW w:w="133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c>
          <w:tcPr>
            <w:tcW w:w="187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c>
          <w:tcPr>
            <w:tcW w:w="133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c>
          <w:tcPr>
            <w:tcW w:w="269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r>
      <w:tr>
        <w:tblPrEx>
          <w:tblCellMar>
            <w:top w:w="0" w:type="dxa"/>
            <w:left w:w="108" w:type="dxa"/>
            <w:bottom w:w="0" w:type="dxa"/>
            <w:right w:w="108" w:type="dxa"/>
          </w:tblCellMar>
        </w:tblPrEx>
        <w:trPr>
          <w:trHeight w:val="595" w:hRule="atLeast"/>
          <w:jc w:val="center"/>
        </w:trPr>
        <w:tc>
          <w:tcPr>
            <w:tcW w:w="242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1337"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187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13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133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187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133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269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595" w:hRule="atLeast"/>
          <w:jc w:val="center"/>
        </w:trPr>
        <w:tc>
          <w:tcPr>
            <w:tcW w:w="3763"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栏次</w:t>
            </w:r>
          </w:p>
        </w:tc>
        <w:tc>
          <w:tcPr>
            <w:tcW w:w="1877" w:type="dxa"/>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1334" w:type="dxa"/>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1333" w:type="dxa"/>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1876" w:type="dxa"/>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1333" w:type="dxa"/>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c>
          <w:tcPr>
            <w:tcW w:w="2698" w:type="dxa"/>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6</w:t>
            </w:r>
          </w:p>
        </w:tc>
      </w:tr>
      <w:tr>
        <w:tblPrEx>
          <w:tblCellMar>
            <w:top w:w="0" w:type="dxa"/>
            <w:left w:w="108" w:type="dxa"/>
            <w:bottom w:w="0" w:type="dxa"/>
            <w:right w:w="108" w:type="dxa"/>
          </w:tblCellMar>
        </w:tblPrEx>
        <w:trPr>
          <w:trHeight w:val="595" w:hRule="atLeast"/>
          <w:jc w:val="center"/>
        </w:trPr>
        <w:tc>
          <w:tcPr>
            <w:tcW w:w="3763"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1877"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334"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333"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87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333"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2698"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tblPrEx>
          <w:tblCellMar>
            <w:top w:w="0" w:type="dxa"/>
            <w:left w:w="108" w:type="dxa"/>
            <w:bottom w:w="0" w:type="dxa"/>
            <w:right w:w="108" w:type="dxa"/>
          </w:tblCellMar>
        </w:tblPrEx>
        <w:trPr>
          <w:trHeight w:val="595" w:hRule="atLeast"/>
          <w:jc w:val="center"/>
        </w:trPr>
        <w:tc>
          <w:tcPr>
            <w:tcW w:w="242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r>
              <w:rPr>
                <w:rFonts w:hint="eastAsia" w:ascii="Times New Roman" w:hAnsi="Times New Roman" w:eastAsia="仿宋_GB2312" w:cs="Times New Roman"/>
                <w:kern w:val="0"/>
                <w:sz w:val="24"/>
                <w:szCs w:val="24"/>
              </w:rPr>
              <w:t>214</w:t>
            </w:r>
          </w:p>
        </w:tc>
        <w:tc>
          <w:tcPr>
            <w:tcW w:w="1337" w:type="dxa"/>
            <w:tcBorders>
              <w:top w:val="nil"/>
              <w:left w:val="nil"/>
              <w:bottom w:val="single" w:color="auto" w:sz="4" w:space="0"/>
              <w:right w:val="single" w:color="auto" w:sz="4" w:space="0"/>
            </w:tcBorders>
            <w:shd w:val="clear" w:color="000000" w:fill="FFFFFF"/>
            <w:noWrap/>
            <w:vAlign w:val="center"/>
          </w:tcPr>
          <w:p>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r>
              <w:rPr>
                <w:rFonts w:hint="eastAsia" w:ascii="Times New Roman" w:hAnsi="Times New Roman" w:eastAsia="仿宋_GB2312" w:cs="Times New Roman"/>
                <w:kern w:val="0"/>
                <w:sz w:val="24"/>
                <w:szCs w:val="24"/>
              </w:rPr>
              <w:t>交通运输支出</w:t>
            </w:r>
          </w:p>
        </w:tc>
        <w:tc>
          <w:tcPr>
            <w:tcW w:w="1877"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368.43</w:t>
            </w:r>
            <w:r>
              <w:rPr>
                <w:rFonts w:ascii="Times New Roman" w:hAnsi="Times New Roman" w:eastAsia="仿宋_GB2312" w:cs="Times New Roman"/>
                <w:kern w:val="0"/>
                <w:sz w:val="24"/>
                <w:szCs w:val="24"/>
              </w:rPr>
              <w:t>　</w:t>
            </w:r>
          </w:p>
        </w:tc>
        <w:tc>
          <w:tcPr>
            <w:tcW w:w="1334"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368.43</w:t>
            </w:r>
            <w:r>
              <w:rPr>
                <w:rFonts w:ascii="Times New Roman" w:hAnsi="Times New Roman" w:eastAsia="仿宋_GB2312" w:cs="Times New Roman"/>
                <w:kern w:val="0"/>
                <w:sz w:val="24"/>
                <w:szCs w:val="24"/>
              </w:rPr>
              <w:t>　</w:t>
            </w:r>
          </w:p>
        </w:tc>
        <w:tc>
          <w:tcPr>
            <w:tcW w:w="1333"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87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333"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2698"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tblPrEx>
          <w:tblCellMar>
            <w:top w:w="0" w:type="dxa"/>
            <w:left w:w="108" w:type="dxa"/>
            <w:bottom w:w="0" w:type="dxa"/>
            <w:right w:w="108" w:type="dxa"/>
          </w:tblCellMar>
        </w:tblPrEx>
        <w:trPr>
          <w:trHeight w:val="595" w:hRule="atLeast"/>
          <w:jc w:val="center"/>
        </w:trPr>
        <w:tc>
          <w:tcPr>
            <w:tcW w:w="242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337" w:type="dxa"/>
            <w:tcBorders>
              <w:top w:val="nil"/>
              <w:left w:val="nil"/>
              <w:bottom w:val="single" w:color="auto" w:sz="4" w:space="0"/>
              <w:right w:val="single" w:color="auto" w:sz="4" w:space="0"/>
            </w:tcBorders>
            <w:shd w:val="clear" w:color="000000" w:fill="FFFFFF"/>
            <w:noWrap/>
            <w:vAlign w:val="center"/>
          </w:tcPr>
          <w:p>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877"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334"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333"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87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333"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2698"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tblPrEx>
          <w:tblCellMar>
            <w:top w:w="0" w:type="dxa"/>
            <w:left w:w="108" w:type="dxa"/>
            <w:bottom w:w="0" w:type="dxa"/>
            <w:right w:w="108" w:type="dxa"/>
          </w:tblCellMar>
        </w:tblPrEx>
        <w:trPr>
          <w:trHeight w:val="595" w:hRule="atLeast"/>
          <w:jc w:val="center"/>
        </w:trPr>
        <w:tc>
          <w:tcPr>
            <w:tcW w:w="242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337" w:type="dxa"/>
            <w:tcBorders>
              <w:top w:val="nil"/>
              <w:left w:val="nil"/>
              <w:bottom w:val="single" w:color="auto" w:sz="4" w:space="0"/>
              <w:right w:val="single" w:color="auto" w:sz="4" w:space="0"/>
            </w:tcBorders>
            <w:shd w:val="clear" w:color="000000" w:fill="FFFFFF"/>
            <w:noWrap/>
            <w:vAlign w:val="center"/>
          </w:tcPr>
          <w:p>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877"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334"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333"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87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333"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2698"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tblPrEx>
          <w:tblCellMar>
            <w:top w:w="0" w:type="dxa"/>
            <w:left w:w="108" w:type="dxa"/>
            <w:bottom w:w="0" w:type="dxa"/>
            <w:right w:w="108" w:type="dxa"/>
          </w:tblCellMar>
        </w:tblPrEx>
        <w:trPr>
          <w:trHeight w:val="595" w:hRule="atLeast"/>
          <w:jc w:val="center"/>
        </w:trPr>
        <w:tc>
          <w:tcPr>
            <w:tcW w:w="242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337" w:type="dxa"/>
            <w:tcBorders>
              <w:top w:val="nil"/>
              <w:left w:val="nil"/>
              <w:bottom w:val="single" w:color="auto" w:sz="4" w:space="0"/>
              <w:right w:val="single" w:color="auto" w:sz="4" w:space="0"/>
            </w:tcBorders>
            <w:shd w:val="clear" w:color="000000" w:fill="FFFFFF"/>
            <w:noWrap/>
            <w:vAlign w:val="center"/>
          </w:tcPr>
          <w:p>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877"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334"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333"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87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333"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2698"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tblPrEx>
          <w:tblCellMar>
            <w:top w:w="0" w:type="dxa"/>
            <w:left w:w="108" w:type="dxa"/>
            <w:bottom w:w="0" w:type="dxa"/>
            <w:right w:w="108" w:type="dxa"/>
          </w:tblCellMar>
        </w:tblPrEx>
        <w:trPr>
          <w:trHeight w:val="595" w:hRule="atLeast"/>
          <w:jc w:val="center"/>
        </w:trPr>
        <w:tc>
          <w:tcPr>
            <w:tcW w:w="242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337" w:type="dxa"/>
            <w:tcBorders>
              <w:top w:val="nil"/>
              <w:left w:val="nil"/>
              <w:bottom w:val="single" w:color="auto" w:sz="4" w:space="0"/>
              <w:right w:val="single" w:color="auto" w:sz="4" w:space="0"/>
            </w:tcBorders>
            <w:shd w:val="clear" w:color="000000" w:fill="FFFFFF"/>
            <w:noWrap/>
            <w:vAlign w:val="center"/>
          </w:tcPr>
          <w:p>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877"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334"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333"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87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333"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2698"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tblPrEx>
          <w:tblCellMar>
            <w:top w:w="0" w:type="dxa"/>
            <w:left w:w="108" w:type="dxa"/>
            <w:bottom w:w="0" w:type="dxa"/>
            <w:right w:w="108" w:type="dxa"/>
          </w:tblCellMar>
        </w:tblPrEx>
        <w:trPr>
          <w:trHeight w:val="595" w:hRule="atLeast"/>
          <w:jc w:val="center"/>
        </w:trPr>
        <w:tc>
          <w:tcPr>
            <w:tcW w:w="242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337" w:type="dxa"/>
            <w:tcBorders>
              <w:top w:val="nil"/>
              <w:left w:val="nil"/>
              <w:bottom w:val="single" w:color="auto" w:sz="4" w:space="0"/>
              <w:right w:val="single" w:color="auto" w:sz="4" w:space="0"/>
            </w:tcBorders>
            <w:shd w:val="clear" w:color="000000" w:fill="FFFFFF"/>
            <w:noWrap/>
            <w:vAlign w:val="center"/>
          </w:tcPr>
          <w:p>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877"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334"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333"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87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333"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2698"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bl>
    <w:p>
      <w:pPr>
        <w:widowControl/>
        <w:spacing w:before="120"/>
        <w:jc w:val="left"/>
        <w:rPr>
          <w:rFonts w:ascii="Times New Roman" w:hAnsi="Times New Roman" w:eastAsia="方正小标宋_GBK" w:cs="Times New Roman"/>
          <w:color w:val="000000"/>
          <w:kern w:val="0"/>
          <w:sz w:val="36"/>
          <w:szCs w:val="21"/>
        </w:rPr>
      </w:pPr>
      <w:r>
        <w:rPr>
          <w:rFonts w:ascii="Times New Roman" w:hAnsi="Times New Roman" w:eastAsia="仿宋_GB2312" w:cs="Times New Roman"/>
          <w:kern w:val="0"/>
          <w:sz w:val="24"/>
          <w:szCs w:val="24"/>
        </w:rPr>
        <w:t>注：本表反映部门本年度各项支出情况。</w:t>
      </w:r>
    </w:p>
    <w:p>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宋体" w:cs="Times New Roman"/>
          <w:kern w:val="0"/>
          <w:sz w:val="24"/>
          <w:szCs w:val="24"/>
        </w:rPr>
      </w:pPr>
      <w:bookmarkStart w:id="0" w:name="RANGE!A1:I22"/>
      <w:bookmarkEnd w:id="0"/>
      <w:bookmarkStart w:id="1" w:name="RANGE!A1:F16"/>
      <w:r>
        <w:rPr>
          <w:rFonts w:ascii="Times New Roman" w:hAnsi="Times New Roman" w:eastAsia="黑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p>
    <w:p>
      <w:pPr>
        <w:widowControl/>
        <w:spacing w:line="400" w:lineRule="exact"/>
        <w:jc w:val="center"/>
        <w:textAlignment w:val="center"/>
        <w:rPr>
          <w:rFonts w:ascii="Times New Roman" w:hAnsi="Times New Roman" w:eastAsia="黑体" w:cs="Times New Roman"/>
          <w:color w:val="000000"/>
          <w:kern w:val="0"/>
          <w:sz w:val="32"/>
          <w:szCs w:val="32"/>
        </w:rPr>
      </w:pPr>
    </w:p>
    <w:p>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财政拨款收入支出决算总表</w:t>
      </w:r>
    </w:p>
    <w:p>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 xml:space="preserve">                                                                                                                  公开04表</w:t>
      </w:r>
    </w:p>
    <w:p>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rPr>
        <w:t>怀化市交通运输指挥中心</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color w:val="000000"/>
          <w:kern w:val="0"/>
          <w:sz w:val="20"/>
          <w:szCs w:val="20"/>
        </w:rPr>
        <w:t>单位：万元</w:t>
      </w:r>
    </w:p>
    <w:tbl>
      <w:tblPr>
        <w:tblStyle w:val="9"/>
        <w:tblW w:w="14220" w:type="dxa"/>
        <w:jc w:val="center"/>
        <w:tblLayout w:type="fixed"/>
        <w:tblCellMar>
          <w:top w:w="0" w:type="dxa"/>
          <w:left w:w="108" w:type="dxa"/>
          <w:bottom w:w="0" w:type="dxa"/>
          <w:right w:w="108" w:type="dxa"/>
        </w:tblCellMar>
      </w:tblPr>
      <w:tblGrid>
        <w:gridCol w:w="3516"/>
        <w:gridCol w:w="616"/>
        <w:gridCol w:w="696"/>
        <w:gridCol w:w="2636"/>
        <w:gridCol w:w="616"/>
        <w:gridCol w:w="696"/>
        <w:gridCol w:w="1678"/>
        <w:gridCol w:w="1815"/>
        <w:gridCol w:w="1951"/>
      </w:tblGrid>
      <w:tr>
        <w:tblPrEx>
          <w:tblCellMar>
            <w:top w:w="0" w:type="dxa"/>
            <w:left w:w="108" w:type="dxa"/>
            <w:bottom w:w="0" w:type="dxa"/>
            <w:right w:w="108" w:type="dxa"/>
          </w:tblCellMar>
        </w:tblPrEx>
        <w:trPr>
          <w:trHeight w:val="402" w:hRule="atLeast"/>
          <w:jc w:val="center"/>
        </w:trPr>
        <w:tc>
          <w:tcPr>
            <w:tcW w:w="4828"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收入</w:t>
            </w:r>
          </w:p>
        </w:tc>
        <w:tc>
          <w:tcPr>
            <w:tcW w:w="9392" w:type="dxa"/>
            <w:gridSpan w:val="6"/>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支出</w:t>
            </w:r>
          </w:p>
        </w:tc>
      </w:tr>
      <w:tr>
        <w:tblPrEx>
          <w:tblCellMar>
            <w:top w:w="0" w:type="dxa"/>
            <w:left w:w="108" w:type="dxa"/>
            <w:bottom w:w="0" w:type="dxa"/>
            <w:right w:w="108" w:type="dxa"/>
          </w:tblCellMar>
        </w:tblPrEx>
        <w:trPr>
          <w:trHeight w:val="630"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69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金额</w:t>
            </w:r>
          </w:p>
        </w:tc>
        <w:tc>
          <w:tcPr>
            <w:tcW w:w="263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69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1678"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一般公共预算财政拨款</w:t>
            </w:r>
          </w:p>
        </w:tc>
        <w:tc>
          <w:tcPr>
            <w:tcW w:w="1815"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政府性基金预算财政拨款</w:t>
            </w:r>
          </w:p>
        </w:tc>
        <w:tc>
          <w:tcPr>
            <w:tcW w:w="195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国有资本经营预算财政拨款</w:t>
            </w:r>
          </w:p>
        </w:tc>
      </w:tr>
      <w:tr>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69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263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69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167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1815"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1951"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r>
      <w:tr>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一、一般公共预算财政拨款</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6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368.43</w:t>
            </w: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一、一般公共服务支出</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15</w:t>
            </w:r>
          </w:p>
        </w:tc>
        <w:tc>
          <w:tcPr>
            <w:tcW w:w="69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7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815"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951"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二、政府性基金预算财政拨款</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w:t>
            </w:r>
          </w:p>
        </w:tc>
        <w:tc>
          <w:tcPr>
            <w:tcW w:w="6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二、外交支出</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16</w:t>
            </w:r>
          </w:p>
        </w:tc>
        <w:tc>
          <w:tcPr>
            <w:tcW w:w="69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7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815"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951"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三、国有资本经营预算财政拨款</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3</w:t>
            </w:r>
          </w:p>
        </w:tc>
        <w:tc>
          <w:tcPr>
            <w:tcW w:w="6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三、国防支出</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17</w:t>
            </w:r>
          </w:p>
        </w:tc>
        <w:tc>
          <w:tcPr>
            <w:tcW w:w="69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7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815"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951"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4</w:t>
            </w:r>
          </w:p>
        </w:tc>
        <w:tc>
          <w:tcPr>
            <w:tcW w:w="6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四、公共安全支出</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18</w:t>
            </w:r>
          </w:p>
        </w:tc>
        <w:tc>
          <w:tcPr>
            <w:tcW w:w="69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7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815"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951"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5</w:t>
            </w:r>
          </w:p>
        </w:tc>
        <w:tc>
          <w:tcPr>
            <w:tcW w:w="6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五、教育支出</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19</w:t>
            </w:r>
          </w:p>
        </w:tc>
        <w:tc>
          <w:tcPr>
            <w:tcW w:w="69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7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815"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951"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6</w:t>
            </w:r>
          </w:p>
        </w:tc>
        <w:tc>
          <w:tcPr>
            <w:tcW w:w="6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六、科学技术支出</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20</w:t>
            </w:r>
          </w:p>
        </w:tc>
        <w:tc>
          <w:tcPr>
            <w:tcW w:w="69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7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815"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951"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7</w:t>
            </w:r>
          </w:p>
        </w:tc>
        <w:tc>
          <w:tcPr>
            <w:tcW w:w="6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七、交通运输支出</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21</w:t>
            </w:r>
          </w:p>
        </w:tc>
        <w:tc>
          <w:tcPr>
            <w:tcW w:w="69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368.43</w:t>
            </w:r>
          </w:p>
        </w:tc>
        <w:tc>
          <w:tcPr>
            <w:tcW w:w="167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368.43</w:t>
            </w:r>
          </w:p>
        </w:tc>
        <w:tc>
          <w:tcPr>
            <w:tcW w:w="1815"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951"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8</w:t>
            </w:r>
          </w:p>
        </w:tc>
        <w:tc>
          <w:tcPr>
            <w:tcW w:w="69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22</w:t>
            </w:r>
          </w:p>
        </w:tc>
        <w:tc>
          <w:tcPr>
            <w:tcW w:w="69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7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815"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951"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本年收入合计</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9</w:t>
            </w:r>
          </w:p>
        </w:tc>
        <w:tc>
          <w:tcPr>
            <w:tcW w:w="6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368.43</w:t>
            </w: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本年支出合计</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23</w:t>
            </w:r>
          </w:p>
        </w:tc>
        <w:tc>
          <w:tcPr>
            <w:tcW w:w="69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368.43</w:t>
            </w:r>
            <w:r>
              <w:rPr>
                <w:rFonts w:ascii="Times New Roman" w:hAnsi="Times New Roman" w:eastAsia="仿宋_GB2312" w:cs="Times New Roman"/>
                <w:kern w:val="0"/>
                <w:sz w:val="22"/>
              </w:rPr>
              <w:t>　</w:t>
            </w:r>
          </w:p>
        </w:tc>
        <w:tc>
          <w:tcPr>
            <w:tcW w:w="167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368.43</w:t>
            </w:r>
            <w:r>
              <w:rPr>
                <w:rFonts w:ascii="Times New Roman" w:hAnsi="Times New Roman" w:eastAsia="仿宋_GB2312" w:cs="Times New Roman"/>
                <w:kern w:val="0"/>
                <w:sz w:val="22"/>
              </w:rPr>
              <w:t>　</w:t>
            </w:r>
          </w:p>
        </w:tc>
        <w:tc>
          <w:tcPr>
            <w:tcW w:w="1815"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951"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r>
      <w:tr>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年初财政拨款结转和结余</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10</w:t>
            </w:r>
          </w:p>
        </w:tc>
        <w:tc>
          <w:tcPr>
            <w:tcW w:w="6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年末财政拨款结转和结余</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24</w:t>
            </w:r>
          </w:p>
        </w:tc>
        <w:tc>
          <w:tcPr>
            <w:tcW w:w="69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7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815"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951"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一般公共预算财政拨款</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11</w:t>
            </w:r>
          </w:p>
        </w:tc>
        <w:tc>
          <w:tcPr>
            <w:tcW w:w="6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25</w:t>
            </w:r>
          </w:p>
        </w:tc>
        <w:tc>
          <w:tcPr>
            <w:tcW w:w="69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7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815"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951"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政府性基金预算财政拨款</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12</w:t>
            </w:r>
          </w:p>
        </w:tc>
        <w:tc>
          <w:tcPr>
            <w:tcW w:w="6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26</w:t>
            </w:r>
          </w:p>
        </w:tc>
        <w:tc>
          <w:tcPr>
            <w:tcW w:w="69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7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815"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951"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国有资本经营预算财政拨款</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13</w:t>
            </w:r>
          </w:p>
        </w:tc>
        <w:tc>
          <w:tcPr>
            <w:tcW w:w="6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27</w:t>
            </w:r>
          </w:p>
        </w:tc>
        <w:tc>
          <w:tcPr>
            <w:tcW w:w="696"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78"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815"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951"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CellMar>
            <w:top w:w="0" w:type="dxa"/>
            <w:left w:w="108" w:type="dxa"/>
            <w:bottom w:w="0" w:type="dxa"/>
            <w:right w:w="108" w:type="dxa"/>
          </w:tblCellMar>
        </w:tblPrEx>
        <w:trPr>
          <w:trHeight w:val="402" w:hRule="atLeast"/>
          <w:jc w:val="center"/>
        </w:trPr>
        <w:tc>
          <w:tcPr>
            <w:tcW w:w="3516"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616" w:type="dxa"/>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14</w:t>
            </w:r>
          </w:p>
        </w:tc>
        <w:tc>
          <w:tcPr>
            <w:tcW w:w="696" w:type="dxa"/>
            <w:tcBorders>
              <w:top w:val="nil"/>
              <w:left w:val="nil"/>
              <w:bottom w:val="single" w:color="auto" w:sz="4" w:space="0"/>
              <w:right w:val="single" w:color="auto" w:sz="4" w:space="0"/>
            </w:tcBorders>
            <w:shd w:val="clear" w:color="auto" w:fill="auto"/>
            <w:noWrap/>
            <w:vAlign w:val="center"/>
          </w:tcPr>
          <w:p>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368.43</w:t>
            </w: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616" w:type="dxa"/>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28</w:t>
            </w:r>
          </w:p>
        </w:tc>
        <w:tc>
          <w:tcPr>
            <w:tcW w:w="696" w:type="dxa"/>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368.43</w:t>
            </w:r>
          </w:p>
        </w:tc>
        <w:tc>
          <w:tcPr>
            <w:tcW w:w="1678" w:type="dxa"/>
            <w:tcBorders>
              <w:top w:val="nil"/>
              <w:left w:val="nil"/>
              <w:bottom w:val="single" w:color="auto" w:sz="4" w:space="0"/>
              <w:right w:val="single" w:color="auto" w:sz="4" w:space="0"/>
            </w:tcBorders>
            <w:shd w:val="clear" w:color="000000" w:fill="FFFFFF"/>
            <w:noWrap/>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368.43</w:t>
            </w:r>
          </w:p>
        </w:tc>
        <w:tc>
          <w:tcPr>
            <w:tcW w:w="1815"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c>
          <w:tcPr>
            <w:tcW w:w="1951"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r>
    </w:tbl>
    <w:p>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注：</w:t>
      </w:r>
      <w:r>
        <w:rPr>
          <w:rFonts w:ascii="Times New Roman" w:hAnsi="Times New Roman" w:eastAsia="仿宋_GB2312" w:cs="Times New Roman"/>
          <w:spacing w:val="-6"/>
          <w:kern w:val="0"/>
          <w:sz w:val="24"/>
          <w:szCs w:val="24"/>
        </w:rPr>
        <w:t>本表反映部门本年度一般公共预算财政拨款、政府性基金预算财政拨款和国有资本经营预算财政拨款的总收支和年末结转结余情况。</w:t>
      </w:r>
    </w:p>
    <w:p>
      <w:pPr>
        <w:widowControl/>
        <w:jc w:val="center"/>
        <w:rPr>
          <w:rFonts w:ascii="Times New Roman" w:hAnsi="Times New Roman" w:eastAsia="方正小标宋_GBK" w:cs="Times New Roman"/>
          <w:kern w:val="0"/>
          <w:sz w:val="36"/>
          <w:szCs w:val="36"/>
        </w:rPr>
      </w:pPr>
    </w:p>
    <w:p>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一般公共预算财政拨款支出决算表</w:t>
      </w:r>
      <w:bookmarkEnd w:id="1"/>
    </w:p>
    <w:p>
      <w:pPr>
        <w:widowControl/>
        <w:spacing w:beforeLines="5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p>
    <w:p>
      <w:pPr>
        <w:widowControl/>
        <w:spacing w:beforeLines="5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公开05表</w:t>
      </w:r>
    </w:p>
    <w:p>
      <w:pPr>
        <w:widowControl/>
        <w:ind w:left="11760" w:hanging="11760" w:hangingChars="5600"/>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rPr>
        <w:t>怀化市交通</w:t>
      </w:r>
      <w:r>
        <w:rPr>
          <w:rFonts w:hint="eastAsia" w:ascii="Times New Roman" w:hAnsi="Times New Roman" w:eastAsia="仿宋_GB2312" w:cs="Times New Roman"/>
          <w:color w:val="000000"/>
          <w:kern w:val="0"/>
          <w:sz w:val="20"/>
          <w:szCs w:val="20"/>
          <w:lang w:eastAsia="zh-CN"/>
        </w:rPr>
        <w:t>运输指挥中心</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单位：万元</w:t>
      </w:r>
    </w:p>
    <w:tbl>
      <w:tblPr>
        <w:tblStyle w:val="9"/>
        <w:tblW w:w="14219" w:type="dxa"/>
        <w:jc w:val="center"/>
        <w:tblLayout w:type="fixed"/>
        <w:tblCellMar>
          <w:top w:w="0" w:type="dxa"/>
          <w:left w:w="108" w:type="dxa"/>
          <w:bottom w:w="0" w:type="dxa"/>
          <w:right w:w="108" w:type="dxa"/>
        </w:tblCellMar>
      </w:tblPr>
      <w:tblGrid>
        <w:gridCol w:w="1200"/>
        <w:gridCol w:w="3527"/>
        <w:gridCol w:w="3000"/>
        <w:gridCol w:w="3492"/>
        <w:gridCol w:w="3000"/>
      </w:tblGrid>
      <w:tr>
        <w:tblPrEx>
          <w:tblCellMar>
            <w:top w:w="0" w:type="dxa"/>
            <w:left w:w="108" w:type="dxa"/>
            <w:bottom w:w="0" w:type="dxa"/>
            <w:right w:w="108" w:type="dxa"/>
          </w:tblCellMar>
        </w:tblPrEx>
        <w:trPr>
          <w:trHeight w:val="54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tblPrEx>
          <w:tblCellMar>
            <w:top w:w="0" w:type="dxa"/>
            <w:left w:w="108" w:type="dxa"/>
            <w:bottom w:w="0" w:type="dxa"/>
            <w:right w:w="108" w:type="dxa"/>
          </w:tblCellMar>
        </w:tblPrEx>
        <w:trPr>
          <w:trHeight w:val="312" w:hRule="exac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214</w:t>
            </w: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交通运输支出</w:t>
            </w:r>
          </w:p>
        </w:tc>
        <w:tc>
          <w:tcPr>
            <w:tcW w:w="300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368.43</w:t>
            </w:r>
          </w:p>
        </w:tc>
        <w:tc>
          <w:tcPr>
            <w:tcW w:w="3492"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368.43</w:t>
            </w:r>
          </w:p>
        </w:tc>
        <w:tc>
          <w:tcPr>
            <w:tcW w:w="3000" w:type="dxa"/>
            <w:tcBorders>
              <w:top w:val="nil"/>
              <w:left w:val="nil"/>
              <w:bottom w:val="single" w:color="auto" w:sz="4"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492"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492"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492"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492"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527" w:type="dxa"/>
            <w:tcBorders>
              <w:top w:val="nil"/>
              <w:left w:val="nil"/>
              <w:bottom w:val="single" w:color="auto" w:sz="8"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8"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492" w:type="dxa"/>
            <w:tcBorders>
              <w:top w:val="nil"/>
              <w:left w:val="nil"/>
              <w:bottom w:val="single" w:color="auto" w:sz="8"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8"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bl>
    <w:p>
      <w:pPr>
        <w:widowControl/>
        <w:spacing w:before="120"/>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p>
      <w:pPr>
        <w:widowControl/>
        <w:jc w:val="left"/>
        <w:rPr>
          <w:rFonts w:ascii="Times New Roman" w:hAnsi="Times New Roman" w:eastAsia="仿宋_GB2312" w:cs="Times New Roman"/>
          <w:bCs/>
          <w:kern w:val="0"/>
          <w:szCs w:val="21"/>
        </w:rPr>
      </w:pPr>
    </w:p>
    <w:p>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p>
      <w:pPr>
        <w:widowControl/>
        <w:spacing w:after="120"/>
        <w:jc w:val="center"/>
        <w:textAlignment w:val="center"/>
        <w:rPr>
          <w:rFonts w:ascii="Times New Roman" w:hAnsi="Times New Roman" w:eastAsia="黑体" w:cs="Times New Roman"/>
          <w:color w:val="000000"/>
          <w:kern w:val="0"/>
          <w:sz w:val="36"/>
          <w:szCs w:val="36"/>
        </w:rPr>
      </w:pPr>
      <w:bookmarkStart w:id="2" w:name="RANGE!A1:I34"/>
      <w:r>
        <w:rPr>
          <w:rFonts w:ascii="Times New Roman" w:hAnsi="Times New Roman" w:eastAsia="黑体" w:cs="Times New Roman"/>
          <w:color w:val="000000"/>
          <w:kern w:val="0"/>
          <w:sz w:val="36"/>
          <w:szCs w:val="36"/>
        </w:rPr>
        <w:t>一般公共预算财政拨款基本支出决算明细表</w:t>
      </w:r>
      <w:bookmarkEnd w:id="2"/>
    </w:p>
    <w:p>
      <w:pPr>
        <w:widowControl/>
        <w:wordWrap w:val="0"/>
        <w:spacing w:line="240" w:lineRule="exact"/>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公开06表</w:t>
      </w:r>
    </w:p>
    <w:p>
      <w:pPr>
        <w:widowControl/>
        <w:tabs>
          <w:tab w:val="left" w:pos="1315"/>
          <w:tab w:val="right" w:pos="14124"/>
        </w:tabs>
        <w:spacing w:line="240" w:lineRule="exact"/>
        <w:jc w:val="left"/>
        <w:rPr>
          <w:rFonts w:ascii="Times New Roman" w:hAnsi="Times New Roman" w:eastAsia="华文中宋" w:cs="Times New Roman"/>
          <w:color w:val="000000"/>
          <w:kern w:val="0"/>
          <w:szCs w:val="32"/>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rPr>
        <w:t>怀化市交通运输指挥中心</w:t>
      </w:r>
      <w:r>
        <w:rPr>
          <w:rFonts w:hint="eastAsia" w:ascii="Times New Roman" w:hAnsi="Times New Roman" w:eastAsia="仿宋_GB2312" w:cs="Times New Roman"/>
          <w:color w:val="000000"/>
          <w:kern w:val="0"/>
          <w:sz w:val="20"/>
          <w:szCs w:val="20"/>
          <w:lang w:val="en-US" w:eastAsia="zh-CN"/>
        </w:rPr>
        <w:t xml:space="preserve">                                                                                                      </w:t>
      </w:r>
      <w:r>
        <w:rPr>
          <w:rFonts w:ascii="Times New Roman" w:hAnsi="Times New Roman" w:eastAsia="仿宋_GB2312" w:cs="Times New Roman"/>
          <w:color w:val="000000"/>
          <w:kern w:val="0"/>
          <w:szCs w:val="21"/>
        </w:rPr>
        <w:t>单位：万元</w:t>
      </w:r>
    </w:p>
    <w:tbl>
      <w:tblPr>
        <w:tblStyle w:val="9"/>
        <w:tblW w:w="14627" w:type="dxa"/>
        <w:jc w:val="center"/>
        <w:tblLayout w:type="fixed"/>
        <w:tblCellMar>
          <w:top w:w="0" w:type="dxa"/>
          <w:left w:w="108" w:type="dxa"/>
          <w:bottom w:w="0" w:type="dxa"/>
          <w:right w:w="108" w:type="dxa"/>
        </w:tblCellMar>
      </w:tblPr>
      <w:tblGrid>
        <w:gridCol w:w="1081"/>
        <w:gridCol w:w="2850"/>
        <w:gridCol w:w="966"/>
        <w:gridCol w:w="1116"/>
        <w:gridCol w:w="2018"/>
        <w:gridCol w:w="933"/>
        <w:gridCol w:w="1217"/>
        <w:gridCol w:w="3517"/>
        <w:gridCol w:w="929"/>
      </w:tblGrid>
      <w:tr>
        <w:tblPrEx>
          <w:tblCellMar>
            <w:top w:w="0" w:type="dxa"/>
            <w:left w:w="108" w:type="dxa"/>
            <w:bottom w:w="0" w:type="dxa"/>
            <w:right w:w="108" w:type="dxa"/>
          </w:tblCellMar>
        </w:tblPrEx>
        <w:trPr>
          <w:trHeight w:val="530" w:hRule="atLeast"/>
          <w:jc w:val="center"/>
        </w:trPr>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 w:val="20"/>
                <w:szCs w:val="20"/>
              </w:rPr>
              <w:t>经济分类科目编码</w:t>
            </w:r>
          </w:p>
        </w:tc>
        <w:tc>
          <w:tcPr>
            <w:tcW w:w="2850"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66"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116"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2018"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33"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217"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3517"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29"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工资福利支出</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329.92</w:t>
            </w: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333333333333332329329.92</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商品和服务支出</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28.28</w:t>
            </w: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债务利息及费用支出</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30101</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基本工资</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122.62</w:t>
            </w: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111111111111112122122.62</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30201</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7.03</w:t>
            </w: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30701</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国内债务付息</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30102</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津贴补贴</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20.27</w:t>
            </w: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30202</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印刷费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30702</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国外债务付息</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30103</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奖金</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29.67</w:t>
            </w: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30203</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咨询费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资本性支出</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30106</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伙食补助费</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67.09</w:t>
            </w: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30204</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手续费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31001</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房屋建筑物购建</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30107</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绩效工资</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30205</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水费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31002</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办公设备购置</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30108</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机关事业单位基本养老保险缴费</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34.36</w:t>
            </w: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30206</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电费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31003</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专用设备购置</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30109</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职业年金缴费</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30207</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邮电费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31005</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基础设施建设</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30110</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职工基本医疗保险缴费</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26.83</w:t>
            </w: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30208</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取暖费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31006</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大型修缮</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30111</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公务员医疗补助缴费</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30209</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物业管理费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31007</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信息网络及软件购置更新</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30112</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其他社会保障缴费</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30211</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差旅费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0.68</w:t>
            </w: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31008</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物资储备</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30113</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住房公积金</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26.33</w:t>
            </w: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30212</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因公出国（境）费用</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31009</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土地补偿</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30114</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30213</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维修（护）费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0.44</w:t>
            </w: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31010</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安置补助</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30199</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其他工资福利支出</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30214</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租赁费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31011</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地上附着物和青苗补偿</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对个人和家庭的补助</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10.22</w:t>
            </w: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30215</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会议费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31012</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拆迁补偿</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30301</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离休费</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30216</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培训费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0.46</w:t>
            </w: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31013</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公务用车购置</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30302</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退休费</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30217</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公务接待费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0.07</w:t>
            </w: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31019</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其他交通工具购置</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30303</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退职（役）费</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30218</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专用材料费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31021</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文物和陈列品购置</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30304</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抚恤金</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30224</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被装购置费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31022</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无形资产购置</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30305</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生活补助</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9.56</w:t>
            </w: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30225</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专用燃料费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31099</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其他资本性支出</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30306</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救济费</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30226</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劳务费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其他支出</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30307</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医疗费补助</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30227</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委托业务费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39907</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国家赔偿费用支出</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30308</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助学金</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30228</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工会经费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15.39</w:t>
            </w: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39908</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对民间非营利组织和群众性自治组织补贴</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30309</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奖励金</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30229</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福利费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3.21</w:t>
            </w: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39909</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经常性赠与</w:t>
            </w:r>
          </w:p>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p>
            <w:pPr>
              <w:widowControl/>
              <w:jc w:val="left"/>
              <w:rPr>
                <w:rFonts w:ascii="Times New Roman" w:hAnsi="Times New Roman" w:eastAsia="仿宋_GB2312" w:cs="Times New Roman"/>
                <w:color w:val="000000"/>
                <w:kern w:val="0"/>
                <w:szCs w:val="20"/>
              </w:rPr>
            </w:pPr>
          </w:p>
          <w:tbl>
            <w:tblPr>
              <w:tblStyle w:val="9"/>
              <w:tblW w:w="3946" w:type="dxa"/>
              <w:tblInd w:w="0" w:type="dxa"/>
              <w:tblLayout w:type="fixed"/>
              <w:tblCellMar>
                <w:top w:w="0" w:type="dxa"/>
                <w:left w:w="108" w:type="dxa"/>
                <w:bottom w:w="0" w:type="dxa"/>
                <w:right w:w="108" w:type="dxa"/>
              </w:tblCellMar>
            </w:tblPr>
            <w:tblGrid>
              <w:gridCol w:w="3946"/>
            </w:tblGrid>
            <w:tr>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经常性赠与</w:t>
                  </w:r>
                </w:p>
              </w:tc>
            </w:tr>
            <w:tr>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资本性赠与</w:t>
                  </w:r>
                </w:p>
              </w:tc>
            </w:tr>
          </w:tbl>
          <w:p>
            <w:pPr>
              <w:widowControl/>
              <w:jc w:val="left"/>
              <w:rPr>
                <w:rFonts w:ascii="Times New Roman" w:hAnsi="Times New Roman" w:eastAsia="仿宋_GB2312" w:cs="Times New Roman"/>
                <w:color w:val="000000"/>
                <w:kern w:val="0"/>
                <w:szCs w:val="20"/>
              </w:rPr>
            </w:pPr>
          </w:p>
          <w:tbl>
            <w:tblPr>
              <w:tblStyle w:val="9"/>
              <w:tblW w:w="3946" w:type="dxa"/>
              <w:tblInd w:w="0" w:type="dxa"/>
              <w:tblLayout w:type="fixed"/>
              <w:tblCellMar>
                <w:top w:w="0" w:type="dxa"/>
                <w:left w:w="108" w:type="dxa"/>
                <w:bottom w:w="0" w:type="dxa"/>
                <w:right w:w="108" w:type="dxa"/>
              </w:tblCellMar>
            </w:tblPr>
            <w:tblGrid>
              <w:gridCol w:w="3946"/>
            </w:tblGrid>
            <w:tr>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经常性赠与</w:t>
                  </w:r>
                </w:p>
              </w:tc>
            </w:tr>
            <w:tr>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资本性赠与</w:t>
                  </w:r>
                </w:p>
              </w:tc>
            </w:tr>
          </w:tbl>
          <w:p>
            <w:pPr>
              <w:widowControl/>
              <w:jc w:val="left"/>
              <w:rPr>
                <w:rFonts w:ascii="Times New Roman" w:hAnsi="Times New Roman" w:eastAsia="仿宋_GB2312" w:cs="Times New Roman"/>
                <w:color w:val="000000"/>
                <w:kern w:val="0"/>
                <w:szCs w:val="20"/>
              </w:rPr>
            </w:pP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30310</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个人农业生产补贴</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30231</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公务用车运行维护费</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1.00</w:t>
            </w: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39910</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30311</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代缴社会保险费</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30239</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其他交通费用</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39999</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其他支出</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30399</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其他对个人和家庭的补助</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30240</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税金及附加费用</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2850"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30299</w:t>
            </w:r>
          </w:p>
        </w:tc>
        <w:tc>
          <w:tcPr>
            <w:tcW w:w="2018"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其他商品和服务支出</w:t>
            </w:r>
          </w:p>
        </w:tc>
        <w:tc>
          <w:tcPr>
            <w:tcW w:w="933"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CellMar>
            <w:top w:w="0" w:type="dxa"/>
            <w:left w:w="108" w:type="dxa"/>
            <w:bottom w:w="0" w:type="dxa"/>
            <w:right w:w="108" w:type="dxa"/>
          </w:tblCellMar>
        </w:tblPrEx>
        <w:trPr>
          <w:trHeight w:val="255" w:hRule="exact"/>
          <w:jc w:val="center"/>
        </w:trPr>
        <w:tc>
          <w:tcPr>
            <w:tcW w:w="393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人员经费合计</w:t>
            </w:r>
          </w:p>
        </w:tc>
        <w:tc>
          <w:tcPr>
            <w:tcW w:w="966"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340.15</w:t>
            </w:r>
            <w:r>
              <w:rPr>
                <w:rFonts w:ascii="Times New Roman" w:hAnsi="Times New Roman" w:eastAsia="仿宋_GB2312" w:cs="Times New Roman"/>
                <w:color w:val="000000"/>
                <w:kern w:val="0"/>
                <w:szCs w:val="20"/>
              </w:rPr>
              <w:t>　</w:t>
            </w:r>
          </w:p>
        </w:tc>
        <w:tc>
          <w:tcPr>
            <w:tcW w:w="8801" w:type="dxa"/>
            <w:gridSpan w:val="5"/>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公用经费合计</w:t>
            </w:r>
          </w:p>
        </w:tc>
        <w:tc>
          <w:tcPr>
            <w:tcW w:w="929" w:type="dxa"/>
            <w:tcBorders>
              <w:top w:val="nil"/>
              <w:left w:val="nil"/>
              <w:bottom w:val="single" w:color="auto" w:sz="4" w:space="0"/>
              <w:right w:val="single" w:color="auto" w:sz="4" w:space="0"/>
            </w:tcBorders>
            <w:shd w:val="clear" w:color="auto" w:fill="auto"/>
            <w:noWrap/>
            <w:vAlign w:val="center"/>
          </w:tcPr>
          <w:p>
            <w:pPr>
              <w:widowControl/>
              <w:jc w:val="lef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28.28</w:t>
            </w:r>
            <w:r>
              <w:rPr>
                <w:rFonts w:ascii="Times New Roman" w:hAnsi="Times New Roman" w:eastAsia="仿宋_GB2312" w:cs="Times New Roman"/>
                <w:color w:val="000000"/>
                <w:kern w:val="0"/>
                <w:szCs w:val="18"/>
              </w:rPr>
              <w:t>　</w:t>
            </w:r>
          </w:p>
        </w:tc>
      </w:tr>
    </w:tbl>
    <w:p>
      <w:pPr>
        <w:widowControl/>
        <w:jc w:val="left"/>
        <w:rPr>
          <w:rFonts w:ascii="Times New Roman" w:hAnsi="Times New Roman" w:eastAsia="仿宋_GB2312" w:cs="Times New Roman"/>
          <w:color w:val="000000"/>
          <w:kern w:val="0"/>
          <w:szCs w:val="24"/>
        </w:rPr>
      </w:pPr>
      <w:r>
        <w:rPr>
          <w:rFonts w:ascii="Times New Roman" w:hAnsi="Times New Roman" w:eastAsia="仿宋_GB2312" w:cs="Times New Roman"/>
          <w:color w:val="000000"/>
          <w:kern w:val="0"/>
          <w:szCs w:val="24"/>
        </w:rPr>
        <w:t>注：本表反映部门本年度一般公共预算财政拨款基本支出明细情况。</w:t>
      </w:r>
    </w:p>
    <w:p>
      <w:pPr>
        <w:widowControl/>
        <w:spacing w:line="400" w:lineRule="exact"/>
        <w:jc w:val="center"/>
        <w:textAlignment w:val="center"/>
        <w:rPr>
          <w:rFonts w:ascii="Times New Roman" w:hAnsi="Times New Roman" w:eastAsia="仿宋_GB2312" w:cs="Times New Roman"/>
          <w:color w:val="000000"/>
          <w:kern w:val="0"/>
          <w:sz w:val="32"/>
          <w:szCs w:val="32"/>
        </w:rPr>
      </w:pPr>
    </w:p>
    <w:p>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政府性基金预算财政拨款收入支出决算表</w:t>
      </w:r>
    </w:p>
    <w:p>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公开07表</w:t>
      </w:r>
    </w:p>
    <w:p>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rPr>
        <w:t>怀化市交通运输指挥中心</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单位：万元</w:t>
      </w:r>
    </w:p>
    <w:tbl>
      <w:tblPr>
        <w:tblStyle w:val="9"/>
        <w:tblW w:w="14326" w:type="dxa"/>
        <w:jc w:val="center"/>
        <w:tblLayout w:type="fixed"/>
        <w:tblCellMar>
          <w:top w:w="0" w:type="dxa"/>
          <w:left w:w="108" w:type="dxa"/>
          <w:bottom w:w="0" w:type="dxa"/>
          <w:right w:w="108" w:type="dxa"/>
        </w:tblCellMar>
      </w:tblPr>
      <w:tblGrid>
        <w:gridCol w:w="2429"/>
        <w:gridCol w:w="709"/>
        <w:gridCol w:w="1554"/>
        <w:gridCol w:w="1943"/>
        <w:gridCol w:w="1919"/>
        <w:gridCol w:w="1935"/>
        <w:gridCol w:w="1918"/>
        <w:gridCol w:w="1919"/>
      </w:tblGrid>
      <w:tr>
        <w:tblPrEx>
          <w:tblCellMar>
            <w:top w:w="0" w:type="dxa"/>
            <w:left w:w="108" w:type="dxa"/>
            <w:bottom w:w="0" w:type="dxa"/>
            <w:right w:w="108" w:type="dxa"/>
          </w:tblCellMar>
        </w:tblPrEx>
        <w:trPr>
          <w:trHeight w:val="459" w:hRule="atLeast"/>
          <w:jc w:val="center"/>
        </w:trPr>
        <w:tc>
          <w:tcPr>
            <w:tcW w:w="31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项 </w:t>
            </w:r>
            <w:r>
              <w:rPr>
                <w:rStyle w:val="16"/>
                <w:rFonts w:hint="default" w:ascii="Times New Roman" w:hAnsi="Times New Roman" w:eastAsia="仿宋_GB2312" w:cs="Times New Roman"/>
                <w:b/>
                <w:bCs/>
              </w:rPr>
              <w:t xml:space="preserve">   </w:t>
            </w:r>
            <w:r>
              <w:rPr>
                <w:rStyle w:val="17"/>
                <w:rFonts w:hint="default" w:ascii="Times New Roman" w:hAnsi="Times New Roman" w:eastAsia="仿宋_GB2312" w:cs="Times New Roman"/>
                <w:b/>
                <w:bCs/>
              </w:rPr>
              <w:t>目</w:t>
            </w:r>
          </w:p>
        </w:tc>
        <w:tc>
          <w:tcPr>
            <w:tcW w:w="15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年初结转和结余</w:t>
            </w:r>
          </w:p>
        </w:tc>
        <w:tc>
          <w:tcPr>
            <w:tcW w:w="1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本年收入</w:t>
            </w:r>
          </w:p>
        </w:tc>
        <w:tc>
          <w:tcPr>
            <w:tcW w:w="57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年末结转和结余</w:t>
            </w:r>
          </w:p>
        </w:tc>
      </w:tr>
      <w:tr>
        <w:tblPrEx>
          <w:tblCellMar>
            <w:top w:w="0" w:type="dxa"/>
            <w:left w:w="108" w:type="dxa"/>
            <w:bottom w:w="0" w:type="dxa"/>
            <w:right w:w="108" w:type="dxa"/>
          </w:tblCellMar>
        </w:tblPrEx>
        <w:trPr>
          <w:trHeight w:val="312" w:hRule="exact"/>
          <w:jc w:val="center"/>
        </w:trPr>
        <w:tc>
          <w:tcPr>
            <w:tcW w:w="24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科目代码</w:t>
            </w:r>
          </w:p>
        </w:tc>
        <w:tc>
          <w:tcPr>
            <w:tcW w:w="7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科目名称</w:t>
            </w:r>
          </w:p>
        </w:tc>
        <w:tc>
          <w:tcPr>
            <w:tcW w:w="15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仿宋_GB2312" w:cs="Times New Roman"/>
                <w:b/>
                <w:bCs/>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仿宋_GB2312" w:cs="Times New Roman"/>
                <w:b/>
                <w:bCs/>
                <w:color w:val="000000"/>
                <w:sz w:val="24"/>
                <w:szCs w:val="24"/>
              </w:rPr>
            </w:pP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小计</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基本支出  </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409" w:hRule="atLeast"/>
          <w:jc w:val="center"/>
        </w:trPr>
        <w:tc>
          <w:tcPr>
            <w:tcW w:w="24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5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312" w:hRule="atLeast"/>
          <w:jc w:val="center"/>
        </w:trPr>
        <w:tc>
          <w:tcPr>
            <w:tcW w:w="24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5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09" w:hRule="atLeast"/>
          <w:jc w:val="center"/>
        </w:trPr>
        <w:tc>
          <w:tcPr>
            <w:tcW w:w="31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155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6</w:t>
            </w:r>
          </w:p>
        </w:tc>
      </w:tr>
      <w:tr>
        <w:tblPrEx>
          <w:tblCellMar>
            <w:top w:w="0" w:type="dxa"/>
            <w:left w:w="108" w:type="dxa"/>
            <w:bottom w:w="0" w:type="dxa"/>
            <w:right w:w="108" w:type="dxa"/>
          </w:tblCellMar>
        </w:tblPrEx>
        <w:trPr>
          <w:trHeight w:val="509" w:hRule="atLeast"/>
          <w:jc w:val="center"/>
        </w:trPr>
        <w:tc>
          <w:tcPr>
            <w:tcW w:w="31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合计</w:t>
            </w:r>
          </w:p>
        </w:tc>
        <w:tc>
          <w:tcPr>
            <w:tcW w:w="155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09" w:hRule="atLeast"/>
          <w:jc w:val="center"/>
        </w:trPr>
        <w:tc>
          <w:tcPr>
            <w:tcW w:w="242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r>
              <w:rPr>
                <w:rFonts w:hint="eastAsia" w:ascii="楷体" w:hAnsi="楷体" w:eastAsia="楷体" w:cs="楷体"/>
                <w:b/>
                <w:bCs/>
                <w:kern w:val="0"/>
                <w:sz w:val="24"/>
                <w:szCs w:val="24"/>
              </w:rPr>
              <w:t>我单位没有政府性基金收入，也没有使用政府性基金安排的支出，故本表无数据。</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0"/>
                <w:szCs w:val="20"/>
              </w:rPr>
            </w:pPr>
          </w:p>
        </w:tc>
        <w:tc>
          <w:tcPr>
            <w:tcW w:w="15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418" w:hRule="atLeast"/>
          <w:jc w:val="center"/>
        </w:trPr>
        <w:tc>
          <w:tcPr>
            <w:tcW w:w="242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5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09" w:hRule="atLeast"/>
          <w:jc w:val="center"/>
        </w:trPr>
        <w:tc>
          <w:tcPr>
            <w:tcW w:w="242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0"/>
                <w:szCs w:val="20"/>
              </w:rPr>
            </w:pPr>
          </w:p>
        </w:tc>
        <w:tc>
          <w:tcPr>
            <w:tcW w:w="15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09" w:hRule="atLeast"/>
          <w:jc w:val="center"/>
        </w:trPr>
        <w:tc>
          <w:tcPr>
            <w:tcW w:w="242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5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09" w:hRule="atLeast"/>
          <w:jc w:val="center"/>
        </w:trPr>
        <w:tc>
          <w:tcPr>
            <w:tcW w:w="242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5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09" w:hRule="atLeast"/>
          <w:jc w:val="center"/>
        </w:trPr>
        <w:tc>
          <w:tcPr>
            <w:tcW w:w="242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5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bl>
    <w:p>
      <w:pPr>
        <w:widowControl/>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注：本表反映部门本年度政府性基金预算财政拨款收入、支出及结转和结余情况。</w:t>
      </w:r>
    </w:p>
    <w:p>
      <w:pPr>
        <w:widowControl/>
        <w:jc w:val="left"/>
        <w:textAlignment w:val="center"/>
        <w:rPr>
          <w:rFonts w:ascii="Times New Roman" w:hAnsi="Times New Roman" w:eastAsia="仿宋_GB2312" w:cs="Times New Roman"/>
          <w:color w:val="000000"/>
          <w:kern w:val="0"/>
          <w:sz w:val="24"/>
          <w:szCs w:val="24"/>
        </w:rPr>
      </w:pPr>
    </w:p>
    <w:p>
      <w:pPr>
        <w:widowControl/>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b/>
          <w:bCs/>
          <w:kern w:val="0"/>
          <w:sz w:val="24"/>
          <w:szCs w:val="24"/>
        </w:rPr>
        <w:t>说明：我单位没有政府性基金收入，也没有使用政府性基金安排的支出，故本表无数据。（当表格数据为空时，应有此说明）</w:t>
      </w:r>
    </w:p>
    <w:p>
      <w:pPr>
        <w:widowControl/>
        <w:jc w:val="center"/>
        <w:rPr>
          <w:rFonts w:ascii="Times New Roman" w:hAnsi="Times New Roman" w:eastAsia="方正小标宋_GBK" w:cs="Times New Roman"/>
          <w:color w:val="000000"/>
          <w:kern w:val="0"/>
          <w:sz w:val="36"/>
          <w:szCs w:val="36"/>
        </w:rPr>
      </w:pPr>
    </w:p>
    <w:p>
      <w:pPr>
        <w:widowControl/>
        <w:spacing w:line="400" w:lineRule="exact"/>
        <w:textAlignment w:val="center"/>
        <w:rPr>
          <w:rFonts w:ascii="Times New Roman" w:hAnsi="Times New Roman" w:eastAsia="黑体" w:cs="Times New Roman"/>
          <w:color w:val="000000"/>
          <w:kern w:val="0"/>
          <w:sz w:val="36"/>
          <w:szCs w:val="36"/>
        </w:rPr>
      </w:pPr>
    </w:p>
    <w:p>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国有资本经营预算财政拨款支出决算表</w:t>
      </w:r>
    </w:p>
    <w:p>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公开08表</w:t>
      </w:r>
    </w:p>
    <w:p>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部门：</w:t>
      </w:r>
      <w:r>
        <w:rPr>
          <w:rFonts w:hint="eastAsia" w:ascii="Times New Roman" w:hAnsi="Times New Roman" w:eastAsia="仿宋_GB2312" w:cs="Times New Roman"/>
          <w:color w:val="000000"/>
          <w:kern w:val="0"/>
          <w:sz w:val="20"/>
          <w:szCs w:val="20"/>
        </w:rPr>
        <w:t>怀化市交通运输指挥中心</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hint="eastAsia" w:ascii="Times New Roman" w:hAnsi="Times New Roman" w:eastAsia="仿宋_GB2312" w:cs="Times New Roman"/>
          <w:color w:val="000000"/>
          <w:sz w:val="20"/>
          <w:szCs w:val="20"/>
          <w:lang w:val="en-US" w:eastAsia="zh-CN"/>
        </w:rPr>
        <w:t xml:space="preserve">                                </w:t>
      </w:r>
      <w:bookmarkStart w:id="8" w:name="_GoBack"/>
      <w:bookmarkEnd w:id="8"/>
      <w:r>
        <w:rPr>
          <w:rFonts w:ascii="Times New Roman" w:hAnsi="Times New Roman" w:eastAsia="仿宋_GB2312" w:cs="Times New Roman"/>
          <w:color w:val="000000"/>
          <w:kern w:val="0"/>
          <w:sz w:val="20"/>
          <w:szCs w:val="20"/>
        </w:rPr>
        <w:t>单位：万元</w:t>
      </w:r>
    </w:p>
    <w:tbl>
      <w:tblPr>
        <w:tblStyle w:val="9"/>
        <w:tblW w:w="14217" w:type="dxa"/>
        <w:tblInd w:w="0" w:type="dxa"/>
        <w:tblLayout w:type="fixed"/>
        <w:tblCellMar>
          <w:top w:w="0" w:type="dxa"/>
          <w:left w:w="108" w:type="dxa"/>
          <w:bottom w:w="0" w:type="dxa"/>
          <w:right w:w="108" w:type="dxa"/>
        </w:tblCellMar>
      </w:tblPr>
      <w:tblGrid>
        <w:gridCol w:w="3369"/>
        <w:gridCol w:w="2823"/>
        <w:gridCol w:w="1832"/>
        <w:gridCol w:w="3097"/>
        <w:gridCol w:w="3096"/>
      </w:tblGrid>
      <w:tr>
        <w:tblPrEx>
          <w:tblCellMar>
            <w:top w:w="0" w:type="dxa"/>
            <w:left w:w="108" w:type="dxa"/>
            <w:bottom w:w="0" w:type="dxa"/>
            <w:right w:w="108" w:type="dxa"/>
          </w:tblCellMar>
        </w:tblPrEx>
        <w:trPr>
          <w:trHeight w:val="548" w:hRule="atLeast"/>
        </w:trPr>
        <w:tc>
          <w:tcPr>
            <w:tcW w:w="61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项 </w:t>
            </w:r>
            <w:r>
              <w:rPr>
                <w:rFonts w:ascii="Times New Roman" w:hAnsi="Times New Roman" w:eastAsia="仿宋_GB2312" w:cs="Times New Roman"/>
                <w:b/>
                <w:bCs/>
                <w:color w:val="000000"/>
                <w:kern w:val="0"/>
                <w:sz w:val="22"/>
              </w:rPr>
              <w:t xml:space="preserve">   </w:t>
            </w:r>
            <w:r>
              <w:rPr>
                <w:rStyle w:val="18"/>
                <w:rFonts w:hint="default" w:ascii="Times New Roman" w:hAnsi="Times New Roman" w:eastAsia="仿宋_GB2312" w:cs="Times New Roman"/>
                <w:b/>
                <w:bCs/>
              </w:rPr>
              <w:t>目</w:t>
            </w:r>
          </w:p>
        </w:tc>
        <w:tc>
          <w:tcPr>
            <w:tcW w:w="80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本年支出</w:t>
            </w:r>
          </w:p>
        </w:tc>
      </w:tr>
      <w:tr>
        <w:tblPrEx>
          <w:tblCellMar>
            <w:top w:w="0" w:type="dxa"/>
            <w:left w:w="108" w:type="dxa"/>
            <w:bottom w:w="0" w:type="dxa"/>
            <w:right w:w="108" w:type="dxa"/>
          </w:tblCellMar>
        </w:tblPrEx>
        <w:trPr>
          <w:trHeight w:val="312" w:hRule="exact"/>
        </w:trPr>
        <w:tc>
          <w:tcPr>
            <w:tcW w:w="33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科目代码</w:t>
            </w:r>
          </w:p>
        </w:tc>
        <w:tc>
          <w:tcPr>
            <w:tcW w:w="28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科目名称</w:t>
            </w:r>
          </w:p>
        </w:tc>
        <w:tc>
          <w:tcPr>
            <w:tcW w:w="18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合计</w:t>
            </w:r>
          </w:p>
        </w:tc>
        <w:tc>
          <w:tcPr>
            <w:tcW w:w="30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基本支出  </w:t>
            </w:r>
          </w:p>
        </w:tc>
        <w:tc>
          <w:tcPr>
            <w:tcW w:w="3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项目支出</w:t>
            </w:r>
          </w:p>
        </w:tc>
      </w:tr>
      <w:tr>
        <w:tblPrEx>
          <w:tblCellMar>
            <w:top w:w="0" w:type="dxa"/>
            <w:left w:w="108" w:type="dxa"/>
            <w:bottom w:w="0" w:type="dxa"/>
            <w:right w:w="108" w:type="dxa"/>
          </w:tblCellMar>
        </w:tblPrEx>
        <w:trPr>
          <w:trHeight w:val="312" w:hRule="exact"/>
        </w:trPr>
        <w:tc>
          <w:tcPr>
            <w:tcW w:w="33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28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8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3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3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312" w:hRule="atLeast"/>
        </w:trPr>
        <w:tc>
          <w:tcPr>
            <w:tcW w:w="33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28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8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3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3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48" w:hRule="atLeast"/>
        </w:trPr>
        <w:tc>
          <w:tcPr>
            <w:tcW w:w="61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3</w:t>
            </w:r>
          </w:p>
        </w:tc>
      </w:tr>
      <w:tr>
        <w:tblPrEx>
          <w:tblCellMar>
            <w:top w:w="0" w:type="dxa"/>
            <w:left w:w="108" w:type="dxa"/>
            <w:bottom w:w="0" w:type="dxa"/>
            <w:right w:w="108" w:type="dxa"/>
          </w:tblCellMar>
        </w:tblPrEx>
        <w:trPr>
          <w:trHeight w:val="548" w:hRule="atLeast"/>
        </w:trPr>
        <w:tc>
          <w:tcPr>
            <w:tcW w:w="61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合计</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48" w:hRule="atLeast"/>
        </w:trPr>
        <w:tc>
          <w:tcPr>
            <w:tcW w:w="33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r>
              <w:rPr>
                <w:rFonts w:hint="eastAsia" w:ascii="楷体" w:hAnsi="楷体" w:eastAsia="楷体" w:cs="楷体"/>
                <w:b/>
                <w:bCs/>
                <w:kern w:val="0"/>
                <w:sz w:val="24"/>
                <w:szCs w:val="24"/>
              </w:rPr>
              <w:t>我单位没有使用国有资本经营预算安排的支出，故本表无数据。</w:t>
            </w:r>
          </w:p>
        </w:tc>
        <w:tc>
          <w:tcPr>
            <w:tcW w:w="282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0"/>
                <w:szCs w:val="20"/>
              </w:rPr>
            </w:pP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371" w:hRule="atLeast"/>
        </w:trPr>
        <w:tc>
          <w:tcPr>
            <w:tcW w:w="33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282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278" w:hRule="atLeast"/>
        </w:trPr>
        <w:tc>
          <w:tcPr>
            <w:tcW w:w="33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rPr>
            </w:pPr>
          </w:p>
        </w:tc>
        <w:tc>
          <w:tcPr>
            <w:tcW w:w="282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0"/>
                <w:szCs w:val="20"/>
              </w:rPr>
            </w:pP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r>
      <w:tr>
        <w:tblPrEx>
          <w:tblCellMar>
            <w:top w:w="0" w:type="dxa"/>
            <w:left w:w="108" w:type="dxa"/>
            <w:bottom w:w="0" w:type="dxa"/>
            <w:right w:w="108" w:type="dxa"/>
          </w:tblCellMar>
        </w:tblPrEx>
        <w:trPr>
          <w:trHeight w:val="548" w:hRule="atLeast"/>
        </w:trPr>
        <w:tc>
          <w:tcPr>
            <w:tcW w:w="33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rPr>
            </w:pPr>
          </w:p>
        </w:tc>
        <w:tc>
          <w:tcPr>
            <w:tcW w:w="282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r>
      <w:tr>
        <w:tblPrEx>
          <w:tblCellMar>
            <w:top w:w="0" w:type="dxa"/>
            <w:left w:w="108" w:type="dxa"/>
            <w:bottom w:w="0" w:type="dxa"/>
            <w:right w:w="108" w:type="dxa"/>
          </w:tblCellMar>
        </w:tblPrEx>
        <w:trPr>
          <w:trHeight w:val="548" w:hRule="atLeast"/>
        </w:trPr>
        <w:tc>
          <w:tcPr>
            <w:tcW w:w="33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rPr>
            </w:pPr>
          </w:p>
        </w:tc>
        <w:tc>
          <w:tcPr>
            <w:tcW w:w="282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r>
      <w:tr>
        <w:tblPrEx>
          <w:tblCellMar>
            <w:top w:w="0" w:type="dxa"/>
            <w:left w:w="108" w:type="dxa"/>
            <w:bottom w:w="0" w:type="dxa"/>
            <w:right w:w="108" w:type="dxa"/>
          </w:tblCellMar>
        </w:tblPrEx>
        <w:trPr>
          <w:trHeight w:val="548" w:hRule="atLeast"/>
        </w:trPr>
        <w:tc>
          <w:tcPr>
            <w:tcW w:w="33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rPr>
            </w:pPr>
          </w:p>
        </w:tc>
        <w:tc>
          <w:tcPr>
            <w:tcW w:w="282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r>
    </w:tbl>
    <w:p>
      <w:pPr>
        <w:widowControl/>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注：本表反映部门本年度国有资本经营预算财政拨款支出情况。</w:t>
      </w:r>
    </w:p>
    <w:p>
      <w:pPr>
        <w:widowControl/>
        <w:jc w:val="left"/>
        <w:textAlignment w:val="center"/>
        <w:rPr>
          <w:rFonts w:ascii="Times New Roman" w:hAnsi="Times New Roman" w:eastAsia="宋体" w:cs="Times New Roman"/>
          <w:color w:val="000000"/>
          <w:kern w:val="0"/>
          <w:sz w:val="24"/>
          <w:szCs w:val="24"/>
        </w:rPr>
      </w:pPr>
    </w:p>
    <w:p>
      <w:pPr>
        <w:widowControl/>
        <w:jc w:val="left"/>
        <w:textAlignment w:val="center"/>
        <w:rPr>
          <w:rFonts w:ascii="Times New Roman" w:hAnsi="Times New Roman" w:eastAsia="楷体_GB2312" w:cs="Times New Roman"/>
          <w:color w:val="000000"/>
          <w:kern w:val="0"/>
          <w:sz w:val="24"/>
          <w:szCs w:val="24"/>
        </w:rPr>
      </w:pPr>
      <w:r>
        <w:rPr>
          <w:rFonts w:ascii="Times New Roman" w:hAnsi="Times New Roman" w:eastAsia="楷体_GB2312" w:cs="Times New Roman"/>
          <w:b/>
          <w:bCs/>
          <w:kern w:val="0"/>
          <w:sz w:val="24"/>
          <w:szCs w:val="24"/>
        </w:rPr>
        <w:t>说明：我单位没有使用国有资本经营预算安排的支出，故本表无数据。（当表格数据为空时，应有此说明）</w:t>
      </w:r>
    </w:p>
    <w:p>
      <w:pPr>
        <w:widowControl/>
        <w:jc w:val="center"/>
        <w:rPr>
          <w:rFonts w:ascii="Times New Roman" w:hAnsi="Times New Roman" w:eastAsia="方正小标宋_GBK" w:cs="Times New Roman"/>
          <w:color w:val="000000"/>
          <w:kern w:val="0"/>
          <w:sz w:val="36"/>
          <w:szCs w:val="36"/>
        </w:rPr>
      </w:pPr>
    </w:p>
    <w:p>
      <w:pPr>
        <w:pStyle w:val="2"/>
        <w:spacing w:line="400" w:lineRule="exact"/>
        <w:rPr>
          <w:rFonts w:ascii="Times New Roman" w:hAnsi="Times New Roman" w:eastAsia="华文中宋" w:cs="Times New Roman"/>
          <w:color w:val="000000"/>
          <w:kern w:val="0"/>
          <w:sz w:val="32"/>
          <w:szCs w:val="32"/>
        </w:rPr>
      </w:pPr>
    </w:p>
    <w:p>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财政拨款“三公”经费支出决算表</w:t>
      </w:r>
    </w:p>
    <w:p>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center"/>
        <w:textAlignment w:val="center"/>
        <w:rPr>
          <w:rFonts w:ascii="Times New Roman" w:hAnsi="Times New Roman" w:eastAsia="楷体_GB2312" w:cs="Times New Roman"/>
          <w:color w:val="000000"/>
          <w:sz w:val="20"/>
          <w:szCs w:val="20"/>
        </w:rPr>
      </w:pPr>
      <w:r>
        <w:rPr>
          <w:rFonts w:hint="eastAsia" w:ascii="Times New Roman" w:hAnsi="Times New Roman" w:eastAsia="楷体_GB2312" w:cs="Times New Roman"/>
          <w:color w:val="000000"/>
          <w:kern w:val="0"/>
          <w:sz w:val="20"/>
          <w:szCs w:val="20"/>
          <w:lang w:val="en-US" w:eastAsia="zh-CN"/>
        </w:rPr>
        <w:t xml:space="preserve">                                                                                                              </w:t>
      </w:r>
      <w:r>
        <w:rPr>
          <w:rFonts w:ascii="Times New Roman" w:hAnsi="Times New Roman" w:eastAsia="楷体_GB2312" w:cs="Times New Roman"/>
          <w:color w:val="000000"/>
          <w:kern w:val="0"/>
          <w:sz w:val="20"/>
          <w:szCs w:val="20"/>
        </w:rPr>
        <w:t>公开09表</w:t>
      </w:r>
    </w:p>
    <w:p>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both"/>
        <w:textAlignment w:val="center"/>
        <w:rPr>
          <w:rFonts w:ascii="Times New Roman" w:hAnsi="Times New Roman" w:eastAsia="楷体_GB2312" w:cs="Times New Roman"/>
          <w:color w:val="000000"/>
          <w:sz w:val="20"/>
          <w:szCs w:val="20"/>
        </w:rPr>
      </w:pPr>
      <w:r>
        <w:rPr>
          <w:rFonts w:ascii="Times New Roman" w:hAnsi="Times New Roman" w:eastAsia="楷体_GB2312" w:cs="Times New Roman"/>
          <w:color w:val="000000"/>
          <w:kern w:val="0"/>
          <w:sz w:val="20"/>
          <w:szCs w:val="20"/>
        </w:rPr>
        <w:t>部门：</w:t>
      </w:r>
      <w:r>
        <w:rPr>
          <w:rFonts w:hint="eastAsia" w:ascii="Times New Roman" w:hAnsi="Times New Roman" w:eastAsia="仿宋_GB2312" w:cs="Times New Roman"/>
          <w:color w:val="000000"/>
          <w:kern w:val="0"/>
          <w:sz w:val="20"/>
          <w:szCs w:val="20"/>
        </w:rPr>
        <w:t>怀化市交通运输指挥中心通运输指挥中心</w:t>
      </w:r>
      <w:r>
        <w:rPr>
          <w:rFonts w:ascii="Times New Roman" w:hAnsi="Times New Roman" w:eastAsia="楷体_GB2312" w:cs="Times New Roman"/>
          <w:color w:val="000000"/>
          <w:sz w:val="20"/>
          <w:szCs w:val="20"/>
        </w:rPr>
        <w:tab/>
      </w:r>
      <w:r>
        <w:rPr>
          <w:rFonts w:hint="eastAsia" w:ascii="Times New Roman" w:hAnsi="Times New Roman" w:eastAsia="楷体_GB2312" w:cs="Times New Roman"/>
          <w:color w:val="000000"/>
          <w:sz w:val="20"/>
          <w:szCs w:val="20"/>
          <w:lang w:val="en-US" w:eastAsia="zh-CN"/>
        </w:rPr>
        <w:t xml:space="preserve">                                                                      </w:t>
      </w:r>
      <w:r>
        <w:rPr>
          <w:rFonts w:ascii="Times New Roman" w:hAnsi="Times New Roman" w:eastAsia="楷体_GB2312" w:cs="Times New Roman"/>
          <w:color w:val="000000"/>
          <w:kern w:val="0"/>
          <w:sz w:val="20"/>
          <w:szCs w:val="20"/>
        </w:rPr>
        <w:t>单位：万元</w:t>
      </w:r>
    </w:p>
    <w:tbl>
      <w:tblPr>
        <w:tblStyle w:val="9"/>
        <w:tblW w:w="14544" w:type="dxa"/>
        <w:jc w:val="center"/>
        <w:tblLayout w:type="fixed"/>
        <w:tblCellMar>
          <w:top w:w="0" w:type="dxa"/>
          <w:left w:w="108" w:type="dxa"/>
          <w:bottom w:w="0" w:type="dxa"/>
          <w:right w:w="108" w:type="dxa"/>
        </w:tblCellMar>
      </w:tblPr>
      <w:tblGrid>
        <w:gridCol w:w="935"/>
        <w:gridCol w:w="1229"/>
        <w:gridCol w:w="1086"/>
        <w:gridCol w:w="1188"/>
        <w:gridCol w:w="1425"/>
        <w:gridCol w:w="1373"/>
        <w:gridCol w:w="1050"/>
        <w:gridCol w:w="1166"/>
        <w:gridCol w:w="1166"/>
        <w:gridCol w:w="1166"/>
        <w:gridCol w:w="1358"/>
        <w:gridCol w:w="1402"/>
      </w:tblGrid>
      <w:tr>
        <w:tblPrEx>
          <w:tblCellMar>
            <w:top w:w="0" w:type="dxa"/>
            <w:left w:w="108" w:type="dxa"/>
            <w:bottom w:w="0" w:type="dxa"/>
            <w:right w:w="108" w:type="dxa"/>
          </w:tblCellMar>
        </w:tblPrEx>
        <w:trPr>
          <w:trHeight w:val="606" w:hRule="atLeast"/>
          <w:jc w:val="center"/>
        </w:trPr>
        <w:tc>
          <w:tcPr>
            <w:tcW w:w="723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预算数</w:t>
            </w:r>
          </w:p>
        </w:tc>
        <w:tc>
          <w:tcPr>
            <w:tcW w:w="730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决算数</w:t>
            </w:r>
          </w:p>
        </w:tc>
      </w:tr>
      <w:tr>
        <w:tblPrEx>
          <w:tblCellMar>
            <w:top w:w="0" w:type="dxa"/>
            <w:left w:w="108" w:type="dxa"/>
            <w:bottom w:w="0" w:type="dxa"/>
            <w:right w:w="108" w:type="dxa"/>
          </w:tblCellMar>
        </w:tblPrEx>
        <w:trPr>
          <w:trHeight w:val="495" w:hRule="atLeast"/>
          <w:jc w:val="center"/>
        </w:trPr>
        <w:tc>
          <w:tcPr>
            <w:tcW w:w="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合计</w:t>
            </w:r>
          </w:p>
        </w:tc>
        <w:tc>
          <w:tcPr>
            <w:tcW w:w="12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因公出国（境）费</w:t>
            </w:r>
          </w:p>
        </w:tc>
        <w:tc>
          <w:tcPr>
            <w:tcW w:w="36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公务用车购置及运行维护费</w:t>
            </w:r>
          </w:p>
        </w:tc>
        <w:tc>
          <w:tcPr>
            <w:tcW w:w="13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公务接待费</w:t>
            </w:r>
          </w:p>
        </w:tc>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合计</w:t>
            </w:r>
          </w:p>
        </w:tc>
        <w:tc>
          <w:tcPr>
            <w:tcW w:w="11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因公出国（境）费</w:t>
            </w:r>
          </w:p>
        </w:tc>
        <w:tc>
          <w:tcPr>
            <w:tcW w:w="36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公务用车购置及运行维护费</w:t>
            </w:r>
          </w:p>
        </w:tc>
        <w:tc>
          <w:tcPr>
            <w:tcW w:w="14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公务接待费</w:t>
            </w:r>
          </w:p>
        </w:tc>
      </w:tr>
      <w:tr>
        <w:tblPrEx>
          <w:tblCellMar>
            <w:top w:w="0" w:type="dxa"/>
            <w:left w:w="108" w:type="dxa"/>
            <w:bottom w:w="0" w:type="dxa"/>
            <w:right w:w="108" w:type="dxa"/>
          </w:tblCellMar>
        </w:tblPrEx>
        <w:trPr>
          <w:trHeight w:val="864" w:hRule="atLeast"/>
          <w:jc w:val="center"/>
        </w:trPr>
        <w:tc>
          <w:tcPr>
            <w:tcW w:w="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12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小计</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购置费</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运行维护费</w:t>
            </w:r>
          </w:p>
        </w:tc>
        <w:tc>
          <w:tcPr>
            <w:tcW w:w="13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11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小计</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购置费</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运行维护费</w:t>
            </w:r>
          </w:p>
        </w:tc>
        <w:tc>
          <w:tcPr>
            <w:tcW w:w="14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r>
      <w:tr>
        <w:tblPrEx>
          <w:tblCellMar>
            <w:top w:w="0" w:type="dxa"/>
            <w:left w:w="108" w:type="dxa"/>
            <w:bottom w:w="0" w:type="dxa"/>
            <w:right w:w="108" w:type="dxa"/>
          </w:tblCellMar>
        </w:tblPrEx>
        <w:trPr>
          <w:trHeight w:val="614" w:hRule="atLeast"/>
          <w:jc w:val="center"/>
        </w:trPr>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3</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4</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5</w:t>
            </w:r>
          </w:p>
        </w:tc>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6</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7</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8</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9</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10</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11</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12</w:t>
            </w:r>
          </w:p>
        </w:tc>
      </w:tr>
      <w:tr>
        <w:tblPrEx>
          <w:tblCellMar>
            <w:top w:w="0" w:type="dxa"/>
            <w:left w:w="108" w:type="dxa"/>
            <w:bottom w:w="0" w:type="dxa"/>
            <w:right w:w="108" w:type="dxa"/>
          </w:tblCellMar>
        </w:tblPrEx>
        <w:trPr>
          <w:trHeight w:val="579" w:hRule="atLeast"/>
          <w:jc w:val="center"/>
        </w:trPr>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3.50</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3.50</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3.00</w:t>
            </w:r>
          </w:p>
        </w:tc>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0.50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1.07</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1.00</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1.00</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0.07</w:t>
            </w:r>
          </w:p>
        </w:tc>
      </w:tr>
    </w:tbl>
    <w:p>
      <w:pPr>
        <w:widowControl/>
        <w:spacing w:before="120"/>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注：本表反映部门本年度财政拨款“三公”经费支出预决算情况。其中，预算数为“三公”经费全年预算数，反映按规定程序调整后的预算数；决算数是包括当年财政拨款和以前年度结转资金安排的实际支出。</w:t>
      </w: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widowControl/>
        <w:rPr>
          <w:rFonts w:ascii="Times New Roman" w:hAnsi="Times New Roman" w:cs="Times New Roman"/>
          <w:sz w:val="72"/>
          <w:szCs w:val="72"/>
        </w:rPr>
        <w:sectPr>
          <w:pgSz w:w="16838" w:h="11906" w:orient="landscape"/>
          <w:pgMar w:top="1134" w:right="1417" w:bottom="1134" w:left="1417" w:header="851" w:footer="992" w:gutter="0"/>
          <w:cols w:space="425" w:num="1"/>
          <w:docGrid w:type="lines" w:linePitch="312" w:charSpace="0"/>
        </w:sectPr>
      </w:pPr>
      <w:r>
        <w:rPr>
          <w:rFonts w:ascii="Times New Roman" w:hAnsi="Times New Roman" w:eastAsia="黑体" w:cs="Times New Roman"/>
          <w:szCs w:val="21"/>
        </w:rPr>
        <w:br w:type="page"/>
      </w:r>
    </w:p>
    <w:p>
      <w:pPr>
        <w:pStyle w:val="13"/>
        <w:rPr>
          <w:rFonts w:ascii="Times New Roman" w:hAnsi="Times New Roman" w:cs="Times New Roman"/>
          <w:sz w:val="72"/>
          <w:szCs w:val="72"/>
        </w:rPr>
      </w:pPr>
    </w:p>
    <w:p>
      <w:pPr>
        <w:pStyle w:val="13"/>
        <w:rPr>
          <w:rFonts w:ascii="Times New Roman" w:hAnsi="Times New Roman" w:cs="Times New Roman"/>
          <w:sz w:val="72"/>
          <w:szCs w:val="72"/>
        </w:rPr>
      </w:pPr>
    </w:p>
    <w:p>
      <w:pPr>
        <w:pStyle w:val="13"/>
        <w:rPr>
          <w:rFonts w:ascii="Times New Roman" w:hAnsi="Times New Roman" w:cs="Times New Roman"/>
          <w:sz w:val="72"/>
          <w:szCs w:val="72"/>
        </w:rPr>
      </w:pPr>
    </w:p>
    <w:p>
      <w:pPr>
        <w:pStyle w:val="13"/>
        <w:jc w:val="center"/>
        <w:rPr>
          <w:rFonts w:ascii="Times New Roman" w:hAnsi="Times New Roman" w:cs="Times New Roman"/>
          <w:sz w:val="72"/>
          <w:szCs w:val="72"/>
        </w:rPr>
      </w:pPr>
    </w:p>
    <w:p>
      <w:pPr>
        <w:pStyle w:val="13"/>
        <w:jc w:val="center"/>
        <w:rPr>
          <w:rFonts w:ascii="Times New Roman" w:hAnsi="Times New Roman" w:eastAsia="方正小标宋_GBK" w:cs="Times New Roman"/>
          <w:sz w:val="72"/>
          <w:szCs w:val="72"/>
        </w:rPr>
      </w:pPr>
    </w:p>
    <w:p>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rPr>
        <w:t>368.43</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rPr>
        <w:t>37.51</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rPr>
        <w:t>11.33</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rPr>
        <w:t>职工工资正常调级增加了工资。</w:t>
      </w:r>
    </w:p>
    <w:p>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rPr>
        <w:t>368.43</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rPr>
        <w:t>368.43</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100</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rPr>
        <w:t>0.00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0.00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rPr>
        <w:t>0.00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0.00</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rPr>
        <w:t>0.00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0.00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rPr>
        <w:t>0.00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0.00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rPr>
        <w:t>0.00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0.00</w:t>
      </w:r>
      <w:r>
        <w:rPr>
          <w:rFonts w:ascii="Times New Roman" w:hAnsi="Times New Roman" w:eastAsia="仿宋_GB2312" w:cs="Times New Roman"/>
          <w:sz w:val="32"/>
          <w:szCs w:val="32"/>
        </w:rPr>
        <w:t>%。</w:t>
      </w:r>
    </w:p>
    <w:p>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rPr>
        <w:t>368.43</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rPr>
        <w:t>368.43</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100</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rPr>
        <w:t>0.00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0.00</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rPr>
        <w:t>0.00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0.00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rPr>
        <w:t>0.00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0.00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rPr>
        <w:t>0.00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0.00</w:t>
      </w:r>
      <w:r>
        <w:rPr>
          <w:rFonts w:ascii="Times New Roman" w:hAnsi="Times New Roman" w:eastAsia="仿宋_GB2312" w:cs="Times New Roman"/>
          <w:sz w:val="32"/>
          <w:szCs w:val="32"/>
        </w:rPr>
        <w:t>%。</w:t>
      </w:r>
    </w:p>
    <w:p>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rPr>
        <w:t>368.43</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rPr>
        <w:t>37.51</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rPr>
        <w:t>11.33</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rPr>
        <w:t>职工工资正常调级增加了工资。</w:t>
      </w:r>
    </w:p>
    <w:p>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rPr>
        <w:t>368.43</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rPr>
        <w:t>100</w:t>
      </w:r>
      <w:r>
        <w:rPr>
          <w:rFonts w:ascii="Times New Roman" w:hAnsi="Times New Roman" w:eastAsia="仿宋_GB2312" w:cs="Times New Roman"/>
          <w:sz w:val="32"/>
          <w:szCs w:val="32"/>
        </w:rPr>
        <w:t>%，与上年相比，财政拨款支出增加</w:t>
      </w:r>
      <w:r>
        <w:rPr>
          <w:rFonts w:hint="eastAsia" w:ascii="Times New Roman" w:hAnsi="Times New Roman" w:eastAsia="仿宋_GB2312" w:cs="Times New Roman"/>
          <w:sz w:val="32"/>
          <w:szCs w:val="32"/>
        </w:rPr>
        <w:t>37.51</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rPr>
        <w:t>11.33</w:t>
      </w:r>
      <w:r>
        <w:rPr>
          <w:rFonts w:ascii="Times New Roman" w:hAnsi="Times New Roman" w:eastAsia="仿宋_GB2312" w:cs="Times New Roman"/>
          <w:sz w:val="32"/>
          <w:szCs w:val="32"/>
        </w:rPr>
        <w:t>%，主要是</w:t>
      </w:r>
      <w:bookmarkStart w:id="3" w:name="OLE_LINK1"/>
      <w:r>
        <w:rPr>
          <w:rFonts w:ascii="Times New Roman" w:hAnsi="Times New Roman" w:eastAsia="仿宋_GB2312" w:cs="Times New Roman"/>
          <w:sz w:val="32"/>
          <w:szCs w:val="32"/>
        </w:rPr>
        <w:t>因为</w:t>
      </w:r>
      <w:r>
        <w:rPr>
          <w:rFonts w:hint="eastAsia" w:ascii="Times New Roman" w:hAnsi="Times New Roman" w:eastAsia="仿宋_GB2312" w:cs="Times New Roman"/>
          <w:sz w:val="32"/>
          <w:szCs w:val="32"/>
        </w:rPr>
        <w:t>职工工资正常调级增加了工资。</w:t>
      </w:r>
      <w:bookmarkEnd w:id="3"/>
    </w:p>
    <w:p>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p>
    <w:p>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rPr>
        <w:t>368.43</w:t>
      </w:r>
      <w:r>
        <w:rPr>
          <w:rFonts w:ascii="Times New Roman" w:hAnsi="Times New Roman" w:eastAsia="仿宋_GB2312" w:cs="Times New Roman"/>
          <w:sz w:val="32"/>
          <w:szCs w:val="32"/>
        </w:rPr>
        <w:t>万元，主要用于以下方面：</w:t>
      </w:r>
      <w:r>
        <w:rPr>
          <w:rFonts w:hint="eastAsia" w:ascii="Times New Roman" w:hAnsi="Times New Roman" w:eastAsia="仿宋_GB2312" w:cs="Times New Roman"/>
          <w:sz w:val="32"/>
          <w:szCs w:val="32"/>
        </w:rPr>
        <w:t>交通运输</w:t>
      </w:r>
      <w:r>
        <w:rPr>
          <w:rFonts w:ascii="Times New Roman" w:hAnsi="Times New Roman" w:eastAsia="仿宋_GB2312" w:cs="Times New Roman"/>
          <w:sz w:val="32"/>
          <w:szCs w:val="32"/>
        </w:rPr>
        <w:t>支出</w:t>
      </w:r>
      <w:r>
        <w:rPr>
          <w:rFonts w:hint="eastAsia" w:ascii="Times New Roman" w:hAnsi="Times New Roman" w:eastAsia="仿宋_GB2312" w:cs="Times New Roman"/>
          <w:sz w:val="32"/>
          <w:szCs w:val="32"/>
        </w:rPr>
        <w:t>368.43</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w:t>
      </w:r>
    </w:p>
    <w:p>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rPr>
        <w:t>362.45</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rPr>
        <w:t>368.43</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rPr>
        <w:t>101.64</w:t>
      </w:r>
      <w:r>
        <w:rPr>
          <w:rFonts w:ascii="Times New Roman" w:hAnsi="Times New Roman" w:eastAsia="仿宋_GB2312" w:cs="Times New Roman"/>
          <w:sz w:val="32"/>
          <w:szCs w:val="32"/>
        </w:rPr>
        <w:t>%，其中：</w:t>
      </w:r>
    </w:p>
    <w:p>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交通运输支出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公路水路运输支出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行政运行支出</w:t>
      </w:r>
      <w:r>
        <w:rPr>
          <w:rFonts w:ascii="Times New Roman" w:hAnsi="Times New Roman" w:eastAsia="仿宋_GB2312" w:cs="Times New Roman"/>
          <w:sz w:val="32"/>
          <w:szCs w:val="32"/>
        </w:rPr>
        <w:t>（项）。</w:t>
      </w:r>
    </w:p>
    <w:p>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rPr>
        <w:t>362.45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368.43</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rPr>
        <w:t>101.64</w:t>
      </w:r>
      <w:r>
        <w:rPr>
          <w:rFonts w:ascii="Times New Roman" w:hAnsi="Times New Roman" w:eastAsia="仿宋_GB2312" w:cs="Times New Roman"/>
          <w:sz w:val="32"/>
          <w:szCs w:val="32"/>
        </w:rPr>
        <w:t>%，决算数大于年初预算数的主要原因是：因为</w:t>
      </w:r>
      <w:r>
        <w:rPr>
          <w:rFonts w:hint="eastAsia" w:ascii="Times New Roman" w:hAnsi="Times New Roman" w:eastAsia="仿宋_GB2312" w:cs="Times New Roman"/>
          <w:sz w:val="32"/>
          <w:szCs w:val="32"/>
        </w:rPr>
        <w:t>职工工资正常调级增加了工资。</w:t>
      </w:r>
    </w:p>
    <w:p>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pPr>
        <w:pStyle w:val="13"/>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2024年度一般公共预算财政拨款基本支出</w:t>
      </w:r>
      <w:r>
        <w:rPr>
          <w:rFonts w:hint="eastAsia" w:ascii="Times New Roman" w:hAnsi="Times New Roman" w:eastAsia="仿宋_GB2312" w:cs="Times New Roman"/>
          <w:color w:val="auto"/>
          <w:sz w:val="32"/>
          <w:szCs w:val="32"/>
        </w:rPr>
        <w:t>368.43</w:t>
      </w:r>
      <w:r>
        <w:rPr>
          <w:rFonts w:ascii="Times New Roman" w:hAnsi="Times New Roman" w:eastAsia="仿宋_GB2312" w:cs="Times New Roman"/>
          <w:color w:val="auto"/>
          <w:sz w:val="32"/>
          <w:szCs w:val="32"/>
        </w:rPr>
        <w:t>万元，其中：</w:t>
      </w:r>
    </w:p>
    <w:p>
      <w:pPr>
        <w:pStyle w:val="13"/>
        <w:overflowPunct w:val="0"/>
        <w:autoSpaceDE/>
        <w:autoSpaceDN/>
        <w:spacing w:line="600" w:lineRule="exact"/>
        <w:ind w:firstLine="640" w:firstLineChars="200"/>
        <w:jc w:val="both"/>
        <w:rPr>
          <w:rFonts w:ascii="Times New Roman" w:hAnsi="Times New Roman" w:eastAsia="楷体_GB2312" w:cs="Times New Roman"/>
          <w:b/>
          <w:bCs/>
          <w:i/>
          <w:color w:val="auto"/>
          <w:sz w:val="32"/>
          <w:szCs w:val="32"/>
        </w:rPr>
      </w:pPr>
      <w:r>
        <w:rPr>
          <w:rFonts w:ascii="Times New Roman" w:hAnsi="Times New Roman" w:eastAsia="仿宋_GB2312" w:cs="Times New Roman"/>
          <w:b/>
          <w:bCs/>
          <w:color w:val="auto"/>
          <w:sz w:val="32"/>
          <w:szCs w:val="32"/>
        </w:rPr>
        <w:t>人员经费</w:t>
      </w:r>
      <w:r>
        <w:rPr>
          <w:rFonts w:hint="eastAsia" w:ascii="Times New Roman" w:hAnsi="Times New Roman" w:eastAsia="仿宋_GB2312" w:cs="Times New Roman"/>
          <w:color w:val="auto"/>
          <w:sz w:val="32"/>
          <w:szCs w:val="32"/>
        </w:rPr>
        <w:t>340.15</w:t>
      </w:r>
      <w:r>
        <w:rPr>
          <w:rFonts w:ascii="Times New Roman" w:hAnsi="Times New Roman" w:eastAsia="仿宋_GB2312" w:cs="Times New Roman"/>
          <w:color w:val="auto"/>
          <w:sz w:val="32"/>
          <w:szCs w:val="32"/>
        </w:rPr>
        <w:t>万元，占基本支出的</w:t>
      </w:r>
      <w:r>
        <w:rPr>
          <w:rFonts w:hint="eastAsia" w:ascii="Times New Roman" w:hAnsi="Times New Roman" w:eastAsia="仿宋_GB2312" w:cs="Times New Roman"/>
          <w:color w:val="auto"/>
          <w:sz w:val="32"/>
          <w:szCs w:val="32"/>
        </w:rPr>
        <w:t>92.32</w:t>
      </w:r>
      <w:r>
        <w:rPr>
          <w:rFonts w:ascii="Times New Roman" w:hAnsi="Times New Roman" w:eastAsia="仿宋_GB2312" w:cs="Times New Roman"/>
          <w:color w:val="auto"/>
          <w:sz w:val="32"/>
          <w:szCs w:val="32"/>
        </w:rPr>
        <w:t>%,主要包括基本工资、津贴补贴、奖金、</w:t>
      </w:r>
      <w:r>
        <w:rPr>
          <w:rFonts w:hint="eastAsia" w:ascii="Times New Roman" w:hAnsi="Times New Roman" w:eastAsia="仿宋_GB2312" w:cs="Times New Roman"/>
          <w:color w:val="auto"/>
          <w:sz w:val="32"/>
          <w:szCs w:val="32"/>
        </w:rPr>
        <w:t>绩效工资</w:t>
      </w:r>
      <w:r>
        <w:rPr>
          <w:rFonts w:ascii="Times New Roman" w:hAnsi="Times New Roman" w:eastAsia="仿宋_GB2312" w:cs="Times New Roman"/>
          <w:color w:val="auto"/>
          <w:sz w:val="32"/>
          <w:szCs w:val="32"/>
        </w:rPr>
        <w:t>。</w:t>
      </w:r>
    </w:p>
    <w:p>
      <w:pPr>
        <w:pStyle w:val="13"/>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b/>
          <w:bCs/>
          <w:color w:val="auto"/>
          <w:sz w:val="32"/>
          <w:szCs w:val="32"/>
        </w:rPr>
        <w:t>公用经费</w:t>
      </w:r>
      <w:r>
        <w:rPr>
          <w:rFonts w:hint="eastAsia" w:ascii="Times New Roman" w:hAnsi="Times New Roman" w:eastAsia="仿宋_GB2312" w:cs="Times New Roman"/>
          <w:color w:val="auto"/>
          <w:sz w:val="32"/>
          <w:szCs w:val="32"/>
        </w:rPr>
        <w:t>28.28</w:t>
      </w:r>
      <w:r>
        <w:rPr>
          <w:rFonts w:ascii="Times New Roman" w:hAnsi="Times New Roman" w:eastAsia="仿宋_GB2312" w:cs="Times New Roman"/>
          <w:color w:val="auto"/>
          <w:sz w:val="32"/>
          <w:szCs w:val="32"/>
        </w:rPr>
        <w:t>万元，占基本支出的</w:t>
      </w:r>
      <w:r>
        <w:rPr>
          <w:rFonts w:hint="eastAsia" w:ascii="Times New Roman" w:hAnsi="Times New Roman" w:eastAsia="仿宋_GB2312" w:cs="Times New Roman"/>
          <w:color w:val="auto"/>
          <w:sz w:val="32"/>
          <w:szCs w:val="32"/>
        </w:rPr>
        <w:t>7.68</w:t>
      </w:r>
      <w:r>
        <w:rPr>
          <w:rFonts w:ascii="Times New Roman" w:hAnsi="Times New Roman" w:eastAsia="仿宋_GB2312" w:cs="Times New Roman"/>
          <w:color w:val="auto"/>
          <w:sz w:val="32"/>
          <w:szCs w:val="32"/>
        </w:rPr>
        <w:t>%，主要包括办公费、印刷费、咨询费、手续费</w:t>
      </w:r>
      <w:r>
        <w:rPr>
          <w:rFonts w:hint="eastAsia" w:ascii="Times New Roman" w:hAnsi="Times New Roman" w:eastAsia="仿宋_GB2312" w:cs="Times New Roman"/>
          <w:color w:val="auto"/>
          <w:sz w:val="32"/>
          <w:szCs w:val="32"/>
        </w:rPr>
        <w:t>、电费、差旅费、工会经费。</w:t>
      </w:r>
    </w:p>
    <w:p>
      <w:pPr>
        <w:pStyle w:val="13"/>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p>
    <w:p>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pPr>
        <w:pStyle w:val="13"/>
        <w:overflowPunct w:val="0"/>
        <w:autoSpaceDE/>
        <w:autoSpaceDN/>
        <w:spacing w:line="600" w:lineRule="exact"/>
        <w:ind w:firstLine="640" w:firstLineChars="200"/>
        <w:jc w:val="both"/>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rPr>
        <w:t>3.50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1.07</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rPr>
        <w:t>30.57</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rPr>
        <w:t>0.46</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rPr>
        <w:t>30.06</w:t>
      </w:r>
      <w:r>
        <w:rPr>
          <w:rFonts w:ascii="Times New Roman" w:hAnsi="Times New Roman" w:eastAsia="仿宋_GB2312" w:cs="Times New Roman"/>
          <w:sz w:val="32"/>
          <w:szCs w:val="32"/>
        </w:rPr>
        <w:t>%。决算数小于预算数的主要原因是</w:t>
      </w:r>
      <w:bookmarkStart w:id="4" w:name="OLE_LINK3"/>
      <w:bookmarkStart w:id="5" w:name="OLE_LINK2"/>
      <w:r>
        <w:rPr>
          <w:rFonts w:hint="eastAsia" w:ascii="Times New Roman" w:hAnsi="Times New Roman" w:eastAsia="仿宋_GB2312" w:cs="Times New Roman"/>
          <w:sz w:val="32"/>
          <w:szCs w:val="32"/>
        </w:rPr>
        <w:t>严格控制三公经费支出</w:t>
      </w:r>
      <w:bookmarkEnd w:id="4"/>
      <w:bookmarkEnd w:id="5"/>
      <w:r>
        <w:rPr>
          <w:rFonts w:ascii="Times New Roman" w:hAnsi="Times New Roman" w:eastAsia="仿宋_GB2312" w:cs="Times New Roman"/>
          <w:sz w:val="32"/>
          <w:szCs w:val="32"/>
        </w:rPr>
        <w:t>。决算数小于上年数的主要原因是</w:t>
      </w:r>
      <w:r>
        <w:rPr>
          <w:rFonts w:hint="eastAsia" w:ascii="Times New Roman" w:hAnsi="Times New Roman" w:eastAsia="仿宋_GB2312" w:cs="Times New Roman"/>
          <w:sz w:val="32"/>
          <w:szCs w:val="32"/>
        </w:rPr>
        <w:t>严格控制三公经费支出</w:t>
      </w:r>
      <w:r>
        <w:rPr>
          <w:rFonts w:ascii="Times New Roman" w:hAnsi="Times New Roman" w:eastAsia="仿宋_GB2312" w:cs="Times New Roman"/>
          <w:sz w:val="32"/>
          <w:szCs w:val="32"/>
        </w:rPr>
        <w:t>。</w:t>
      </w:r>
    </w:p>
    <w:p>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pPr>
        <w:pStyle w:val="13"/>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rPr>
        <w:t>0.00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0.00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rPr>
        <w:t>0.00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w:t>
      </w:r>
    </w:p>
    <w:p>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rPr>
        <w:t>3.00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1.00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rPr>
        <w:t>33.33</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rPr>
        <w:t>0.53</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rPr>
        <w:t>34.64</w:t>
      </w:r>
      <w:r>
        <w:rPr>
          <w:rFonts w:ascii="Times New Roman" w:hAnsi="Times New Roman" w:eastAsia="仿宋_GB2312" w:cs="Times New Roman"/>
          <w:sz w:val="32"/>
          <w:szCs w:val="32"/>
        </w:rPr>
        <w:t>%。其中：</w:t>
      </w:r>
    </w:p>
    <w:p>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rPr>
        <w:t>0.00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0.00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rPr>
        <w:t>0.00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w:t>
      </w:r>
    </w:p>
    <w:p>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rPr>
        <w:t>3.00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1.00</w:t>
      </w:r>
      <w:r>
        <w:rPr>
          <w:rFonts w:ascii="Times New Roman" w:hAnsi="Times New Roman" w:eastAsia="仿宋_GB2312" w:cs="Times New Roman"/>
          <w:sz w:val="32"/>
          <w:szCs w:val="32"/>
        </w:rPr>
        <w:t>万元，</w:t>
      </w:r>
    </w:p>
    <w:p>
      <w:pPr>
        <w:pStyle w:val="13"/>
        <w:overflowPunct w:val="0"/>
        <w:autoSpaceDE/>
        <w:spacing w:line="600" w:lineRule="exact"/>
        <w:ind w:firstLine="640" w:firstLineChars="200"/>
        <w:jc w:val="both"/>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主要是</w:t>
      </w:r>
      <w:r>
        <w:rPr>
          <w:rFonts w:hint="eastAsia" w:ascii="Times New Roman" w:hAnsi="Times New Roman" w:eastAsia="仿宋_GB2312" w:cs="Times New Roman"/>
          <w:sz w:val="32"/>
          <w:szCs w:val="32"/>
        </w:rPr>
        <w:t>车辆保险、燃油费、车辆维修</w:t>
      </w:r>
      <w:r>
        <w:rPr>
          <w:rFonts w:ascii="Times New Roman" w:hAnsi="Times New Roman" w:eastAsia="仿宋_GB2312" w:cs="Times New Roman"/>
          <w:sz w:val="32"/>
          <w:szCs w:val="32"/>
        </w:rPr>
        <w:t>支出，完成预算的</w:t>
      </w:r>
      <w:r>
        <w:rPr>
          <w:rFonts w:hint="eastAsia" w:ascii="Times New Roman" w:hAnsi="Times New Roman" w:eastAsia="仿宋_GB2312" w:cs="Times New Roman"/>
          <w:sz w:val="32"/>
          <w:szCs w:val="32"/>
        </w:rPr>
        <w:t>33.33</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rPr>
        <w:t>0.53</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rPr>
        <w:t>34.64</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cs="Times New Roman"/>
          <w:sz w:val="32"/>
          <w:szCs w:val="32"/>
        </w:rPr>
        <w:t>严格控制三公经费支出</w:t>
      </w:r>
      <w:r>
        <w:rPr>
          <w:rFonts w:ascii="Times New Roman" w:hAnsi="Times New Roman" w:eastAsia="仿宋_GB2312" w:cs="Times New Roman"/>
          <w:sz w:val="32"/>
          <w:szCs w:val="32"/>
        </w:rPr>
        <w:t>。决算数小于上年数的主要原因是</w:t>
      </w:r>
      <w:r>
        <w:rPr>
          <w:rFonts w:hint="eastAsia" w:ascii="Times New Roman" w:hAnsi="Times New Roman" w:eastAsia="仿宋_GB2312" w:cs="Times New Roman"/>
          <w:sz w:val="32"/>
          <w:szCs w:val="32"/>
        </w:rPr>
        <w:t>严格控制三公经费支出。</w:t>
      </w:r>
      <w:r>
        <w:rPr>
          <w:rFonts w:ascii="Times New Roman" w:hAnsi="Times New Roman" w:eastAsia="仿宋_GB2312" w:cs="Times New Roman"/>
          <w:sz w:val="32"/>
          <w:szCs w:val="32"/>
        </w:rPr>
        <w:t>截止2024年12月31日，我单位开支财政拨款的公务用车保有量为</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辆。</w:t>
      </w:r>
    </w:p>
    <w:p>
      <w:pPr>
        <w:pStyle w:val="13"/>
        <w:overflowPunct w:val="0"/>
        <w:autoSpaceDE/>
        <w:spacing w:line="600" w:lineRule="exact"/>
        <w:ind w:firstLine="640" w:firstLineChars="200"/>
        <w:jc w:val="both"/>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rPr>
        <w:t>0.5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0.07</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rPr>
        <w:t>14.00</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rPr>
        <w:t>0.07</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rPr>
        <w:t>100.00</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cs="Times New Roman"/>
          <w:sz w:val="32"/>
          <w:szCs w:val="32"/>
        </w:rPr>
        <w:t>严格控制三公经费支出。</w:t>
      </w:r>
      <w:r>
        <w:rPr>
          <w:rFonts w:ascii="Times New Roman" w:hAnsi="Times New Roman" w:eastAsia="仿宋_GB2312" w:cs="Times New Roman"/>
          <w:sz w:val="32"/>
          <w:szCs w:val="32"/>
        </w:rPr>
        <w:t>决算数大于上年数的主要原因是。2024年度共接待来访团组</w:t>
      </w:r>
      <w:r>
        <w:rPr>
          <w:rFonts w:hint="eastAsia" w:ascii="Times New Roman" w:hAnsi="Times New Roman" w:eastAsia="仿宋_GB2312" w:cs="Times New Roman"/>
          <w:sz w:val="32"/>
          <w:szCs w:val="32"/>
        </w:rPr>
        <w:t>1</w:t>
      </w:r>
      <w:r>
        <w:rPr>
          <w:rFonts w:ascii="Times New Roman" w:hAnsi="Times New Roman" w:eastAsia="仿宋_GB2312" w:cs="Times New Roman"/>
          <w:sz w:val="32"/>
          <w:szCs w:val="32"/>
        </w:rPr>
        <w:t>个、来宾</w:t>
      </w:r>
      <w:r>
        <w:rPr>
          <w:rFonts w:hint="eastAsia" w:ascii="Times New Roman" w:hAnsi="Times New Roman" w:eastAsia="仿宋_GB2312" w:cs="Times New Roman"/>
          <w:sz w:val="32"/>
          <w:szCs w:val="32"/>
        </w:rPr>
        <w:t>4</w:t>
      </w:r>
      <w:r>
        <w:rPr>
          <w:rFonts w:ascii="Times New Roman" w:hAnsi="Times New Roman" w:eastAsia="仿宋_GB2312" w:cs="Times New Roman"/>
          <w:sz w:val="32"/>
          <w:szCs w:val="32"/>
        </w:rPr>
        <w:t>人次，主要是</w:t>
      </w:r>
      <w:r>
        <w:rPr>
          <w:rFonts w:hint="eastAsia" w:ascii="Times New Roman" w:hAnsi="Times New Roman" w:eastAsia="仿宋_GB2312" w:cs="Times New Roman"/>
          <w:sz w:val="32"/>
          <w:szCs w:val="32"/>
        </w:rPr>
        <w:t>开展高效办成一件事测试调研</w:t>
      </w:r>
      <w:r>
        <w:rPr>
          <w:rFonts w:ascii="Times New Roman" w:hAnsi="Times New Roman" w:eastAsia="仿宋_GB2312" w:cs="Times New Roman"/>
          <w:sz w:val="32"/>
          <w:szCs w:val="32"/>
        </w:rPr>
        <w:t>发生的接待支出。</w:t>
      </w:r>
    </w:p>
    <w:p>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pPr>
        <w:pStyle w:val="13"/>
        <w:overflowPunct w:val="0"/>
        <w:autoSpaceDE/>
        <w:autoSpaceDN/>
        <w:spacing w:line="600" w:lineRule="exact"/>
        <w:ind w:firstLine="640" w:firstLineChars="200"/>
        <w:jc w:val="both"/>
        <w:rPr>
          <w:rFonts w:ascii="Times New Roman" w:hAnsi="Times New Roman" w:eastAsia="仿宋_GB2312"/>
          <w:sz w:val="32"/>
          <w:szCs w:val="32"/>
        </w:rPr>
      </w:pPr>
      <w:r>
        <w:rPr>
          <w:rFonts w:hint="eastAsia" w:ascii="Times New Roman" w:hAnsi="Times New Roman" w:eastAsia="仿宋_GB2312"/>
          <w:sz w:val="32"/>
          <w:szCs w:val="32"/>
        </w:rPr>
        <w:t>我单位没有政府性基金收入，也没有使用政府性基金安排的支出。</w:t>
      </w:r>
    </w:p>
    <w:p>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cs="Times New Roman"/>
          <w:bCs/>
          <w:sz w:val="32"/>
          <w:szCs w:val="32"/>
        </w:rPr>
        <w:t>九、国有资本经营预算收入支出决算情况</w:t>
      </w:r>
    </w:p>
    <w:p>
      <w:pPr>
        <w:pStyle w:val="13"/>
        <w:spacing w:line="600" w:lineRule="exact"/>
        <w:ind w:firstLine="636"/>
        <w:rPr>
          <w:rFonts w:ascii="仿宋" w:hAnsi="仿宋" w:eastAsia="仿宋"/>
          <w:sz w:val="32"/>
          <w:szCs w:val="32"/>
        </w:rPr>
      </w:pPr>
      <w:r>
        <w:rPr>
          <w:rFonts w:hint="eastAsia" w:ascii="仿宋" w:hAnsi="仿宋" w:eastAsia="仿宋"/>
          <w:sz w:val="32"/>
          <w:szCs w:val="32"/>
        </w:rPr>
        <w:t>我单位没有国有资本经营预算财政拨款收入，也没有国有资本经营预算财政拨款支出。</w:t>
      </w:r>
    </w:p>
    <w:p>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cs="Times New Roman"/>
          <w:bCs/>
          <w:sz w:val="32"/>
          <w:szCs w:val="32"/>
        </w:rPr>
        <w:t>十</w:t>
      </w:r>
      <w:r>
        <w:rPr>
          <w:rFonts w:ascii="Times New Roman" w:hAnsi="Times New Roman" w:cs="Times New Roman"/>
          <w:bCs/>
          <w:sz w:val="32"/>
          <w:szCs w:val="32"/>
        </w:rPr>
        <w:t>、关于机关运行经费支出说明</w:t>
      </w:r>
    </w:p>
    <w:p>
      <w:pPr>
        <w:pStyle w:val="13"/>
        <w:spacing w:line="600" w:lineRule="exact"/>
        <w:ind w:firstLine="640" w:firstLineChars="200"/>
        <w:rPr>
          <w:rFonts w:ascii="Times New Roman" w:hAnsi="Times New Roman" w:eastAsia="仿宋_GB2312"/>
          <w:b/>
          <w:color w:val="auto"/>
          <w:sz w:val="32"/>
          <w:szCs w:val="32"/>
        </w:rPr>
      </w:pPr>
      <w:r>
        <w:rPr>
          <w:rFonts w:hint="eastAsia" w:ascii="Times New Roman" w:hAnsi="Times New Roman" w:eastAsia="仿宋_GB2312"/>
          <w:sz w:val="32"/>
          <w:szCs w:val="32"/>
        </w:rPr>
        <w:t>我单位没有使用机关运行经费安排的支出。</w:t>
      </w:r>
    </w:p>
    <w:p>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rPr>
        <w:t>一</w:t>
      </w:r>
      <w:r>
        <w:rPr>
          <w:rFonts w:ascii="Times New Roman" w:hAnsi="Times New Roman" w:cs="Times New Roman"/>
          <w:bCs/>
          <w:sz w:val="32"/>
          <w:szCs w:val="32"/>
        </w:rPr>
        <w:t>、一般性支出情况说明</w:t>
      </w:r>
    </w:p>
    <w:p>
      <w:pPr>
        <w:pStyle w:val="13"/>
        <w:spacing w:line="600" w:lineRule="exact"/>
        <w:ind w:firstLine="640" w:firstLineChars="200"/>
        <w:rPr>
          <w:rFonts w:ascii="楷体" w:hAnsi="楷体" w:eastAsia="楷体" w:cs="楷体"/>
          <w:b/>
          <w:bCs/>
          <w:i/>
          <w:color w:val="auto"/>
          <w:sz w:val="32"/>
          <w:szCs w:val="32"/>
        </w:rPr>
      </w:pPr>
      <w:r>
        <w:rPr>
          <w:rFonts w:hint="eastAsia" w:ascii="Times New Roman" w:hAnsi="Times New Roman" w:eastAsia="仿宋_GB2312"/>
          <w:sz w:val="32"/>
          <w:szCs w:val="32"/>
        </w:rPr>
        <w:t>2024年本部门开支</w:t>
      </w:r>
      <w:r>
        <w:rPr>
          <w:rFonts w:hint="eastAsia" w:ascii="Times New Roman" w:hAnsi="Times New Roman" w:eastAsia="仿宋_GB2312"/>
          <w:color w:val="auto"/>
          <w:sz w:val="32"/>
          <w:szCs w:val="32"/>
        </w:rPr>
        <w:t>会议费0.00万元，年初预算数0.50万元，培训费开支0.45万元，年初预算数1.00万元</w:t>
      </w:r>
      <w:r>
        <w:rPr>
          <w:rFonts w:hint="eastAsia" w:ascii="Times New Roman" w:hAnsi="Times New Roman" w:eastAsia="仿宋_GB2312"/>
          <w:sz w:val="32"/>
          <w:szCs w:val="32"/>
        </w:rPr>
        <w:t>，用于开展湖南省事业单位工作人员培训，人数24人，内容为公共科目和交通专业科目培训。</w:t>
      </w:r>
    </w:p>
    <w:p>
      <w:pPr>
        <w:pStyle w:val="13"/>
        <w:overflowPunct w:val="0"/>
        <w:autoSpaceDE/>
        <w:autoSpaceDN/>
        <w:spacing w:line="600" w:lineRule="exact"/>
        <w:ind w:firstLine="640" w:firstLineChars="200"/>
        <w:jc w:val="both"/>
        <w:rPr>
          <w:rFonts w:ascii="Times New Roman" w:hAnsi="Times New Roman" w:cs="Times New Roman"/>
          <w:bCs/>
          <w:sz w:val="32"/>
          <w:szCs w:val="32"/>
        </w:rPr>
      </w:pPr>
    </w:p>
    <w:p>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rPr>
        <w:t>二</w:t>
      </w:r>
      <w:r>
        <w:rPr>
          <w:rFonts w:ascii="Times New Roman" w:hAnsi="Times New Roman" w:cs="Times New Roman"/>
          <w:bCs/>
          <w:sz w:val="32"/>
          <w:szCs w:val="32"/>
        </w:rPr>
        <w:t>、关于政府采购支出说明</w:t>
      </w:r>
    </w:p>
    <w:p>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本部门2024年度政府采购支出总额0.00万元，其中：政府采购货物支出0.00万元、政府采购工程支出0.00万元、政府采购服务支出0.00万元。</w:t>
      </w:r>
    </w:p>
    <w:p>
      <w:pPr>
        <w:pStyle w:val="13"/>
        <w:overflowPunct w:val="0"/>
        <w:autoSpaceDE/>
        <w:autoSpaceDN/>
        <w:spacing w:line="600" w:lineRule="exact"/>
        <w:ind w:firstLine="480" w:firstLineChars="15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rPr>
        <w:t>三</w:t>
      </w:r>
      <w:r>
        <w:rPr>
          <w:rFonts w:ascii="Times New Roman" w:hAnsi="Times New Roman" w:cs="Times New Roman"/>
          <w:bCs/>
          <w:color w:val="auto"/>
          <w:sz w:val="32"/>
          <w:szCs w:val="32"/>
        </w:rPr>
        <w:t>、关于国有资产占用情况说明</w:t>
      </w:r>
    </w:p>
    <w:p>
      <w:pPr>
        <w:pStyle w:val="13"/>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w:t>
      </w:r>
      <w:r>
        <w:rPr>
          <w:rFonts w:hint="eastAsia" w:ascii="Times New Roman" w:hAnsi="Times New Roman" w:eastAsia="仿宋_GB2312" w:cs="Times New Roman"/>
          <w:color w:val="auto"/>
          <w:sz w:val="32"/>
          <w:szCs w:val="32"/>
        </w:rPr>
        <w:t>本单位</w:t>
      </w:r>
      <w:r>
        <w:rPr>
          <w:rFonts w:ascii="Times New Roman" w:hAnsi="Times New Roman" w:eastAsia="仿宋_GB2312" w:cs="Times New Roman"/>
          <w:color w:val="auto"/>
          <w:sz w:val="32"/>
          <w:szCs w:val="32"/>
        </w:rPr>
        <w:t>共有车辆</w:t>
      </w:r>
      <w:r>
        <w:rPr>
          <w:rFonts w:hint="eastAsia" w:ascii="Times New Roman" w:hAnsi="Times New Roman" w:eastAsia="仿宋_GB2312" w:cs="Times New Roman"/>
          <w:color w:val="auto"/>
          <w:sz w:val="32"/>
          <w:szCs w:val="32"/>
        </w:rPr>
        <w:t>2</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rPr>
        <w:t>2</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w:t>
      </w:r>
      <w:r>
        <w:rPr>
          <w:rFonts w:hint="eastAsia"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rPr>
        <w:t>单位价值100万元以上设备</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台（套）。</w:t>
      </w:r>
    </w:p>
    <w:p>
      <w:pPr>
        <w:pStyle w:val="13"/>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rPr>
        <w:t>四</w:t>
      </w:r>
      <w:r>
        <w:rPr>
          <w:rFonts w:ascii="Times New Roman" w:hAnsi="Times New Roman" w:cs="Times New Roman"/>
          <w:bCs/>
          <w:color w:val="auto"/>
          <w:sz w:val="32"/>
          <w:szCs w:val="32"/>
        </w:rPr>
        <w:t>、关于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pPr>
        <w:overflowPunct w:val="0"/>
        <w:spacing w:line="600" w:lineRule="exact"/>
        <w:ind w:firstLine="640" w:firstLineChars="200"/>
        <w:rPr>
          <w:rFonts w:hint="eastAsia" w:ascii="Times New Roman" w:hAnsi="Times New Roman" w:eastAsia="楷体_GB2312" w:cs="Times New Roman"/>
          <w:b/>
          <w:bCs/>
          <w:sz w:val="32"/>
          <w:szCs w:val="32"/>
        </w:rPr>
      </w:pPr>
      <w:r>
        <w:rPr>
          <w:rFonts w:ascii="Times New Roman" w:hAnsi="Times New Roman" w:eastAsia="楷体_GB2312" w:cs="Times New Roman"/>
          <w:b/>
          <w:bCs/>
          <w:sz w:val="32"/>
          <w:szCs w:val="32"/>
        </w:rPr>
        <w:t>（一）绩效评价工作开展情况。</w:t>
      </w:r>
    </w:p>
    <w:p>
      <w:pPr>
        <w:overflowPunct w:val="0"/>
        <w:spacing w:line="600" w:lineRule="exact"/>
        <w:ind w:firstLine="640" w:firstLineChars="200"/>
        <w:rPr>
          <w:rFonts w:ascii="Times New Roman" w:hAnsi="Times New Roman" w:eastAsia="楷体" w:cs="Times New Roman"/>
          <w:b/>
          <w:bCs/>
          <w:sz w:val="32"/>
          <w:szCs w:val="32"/>
        </w:rPr>
      </w:pPr>
      <w:r>
        <w:rPr>
          <w:rFonts w:ascii="Times New Roman" w:hAnsi="Times New Roman" w:eastAsia="仿宋_GB2312" w:cs="Times New Roman"/>
          <w:b/>
          <w:bCs/>
          <w:kern w:val="0"/>
          <w:sz w:val="32"/>
          <w:szCs w:val="32"/>
        </w:rPr>
        <w:t>一是绩效自评开展情况。</w:t>
      </w:r>
      <w:r>
        <w:rPr>
          <w:rFonts w:ascii="Times New Roman" w:hAnsi="Times New Roman" w:eastAsia="仿宋_GB2312" w:cs="Times New Roman"/>
          <w:kern w:val="0"/>
          <w:sz w:val="32"/>
          <w:szCs w:val="32"/>
        </w:rPr>
        <w:t>组织对2024年度</w:t>
      </w:r>
      <w:r>
        <w:rPr>
          <w:rFonts w:hint="eastAsia" w:ascii="Times New Roman" w:hAnsi="Times New Roman" w:eastAsia="仿宋_GB2312" w:cs="Times New Roman"/>
          <w:kern w:val="0"/>
          <w:sz w:val="32"/>
          <w:szCs w:val="32"/>
        </w:rPr>
        <w:t>怀化市交通运输指挥中心</w:t>
      </w:r>
      <w:r>
        <w:rPr>
          <w:rFonts w:ascii="Times New Roman" w:hAnsi="Times New Roman" w:eastAsia="仿宋_GB2312" w:cs="Times New Roman"/>
          <w:kern w:val="0"/>
          <w:sz w:val="32"/>
          <w:szCs w:val="32"/>
        </w:rPr>
        <w:t>整体支出开展绩效自评，涉及项目</w:t>
      </w:r>
      <w:r>
        <w:rPr>
          <w:rFonts w:hint="eastAsia" w:ascii="Times New Roman" w:hAnsi="Times New Roman" w:eastAsia="仿宋_GB2312" w:cs="Times New Roman"/>
          <w:kern w:val="0"/>
          <w:sz w:val="32"/>
          <w:szCs w:val="32"/>
        </w:rPr>
        <w:t>2</w:t>
      </w:r>
      <w:r>
        <w:rPr>
          <w:rFonts w:ascii="Times New Roman" w:hAnsi="Times New Roman" w:eastAsia="仿宋_GB2312" w:cs="Times New Roman"/>
          <w:kern w:val="0"/>
          <w:sz w:val="32"/>
          <w:szCs w:val="32"/>
        </w:rPr>
        <w:t>个，共涉及资金</w:t>
      </w:r>
      <w:r>
        <w:rPr>
          <w:rFonts w:hint="eastAsia" w:ascii="Times New Roman" w:hAnsi="Times New Roman" w:eastAsia="仿宋_GB2312" w:cs="Times New Roman"/>
          <w:kern w:val="0"/>
          <w:sz w:val="32"/>
          <w:szCs w:val="32"/>
        </w:rPr>
        <w:t>9.00</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rPr>
        <w:t>2</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rPr>
        <w:t>9</w:t>
      </w:r>
      <w:r>
        <w:rPr>
          <w:rFonts w:ascii="Times New Roman" w:hAnsi="Times New Roman" w:eastAsia="仿宋_GB2312" w:cs="Times New Roman"/>
          <w:kern w:val="0"/>
          <w:sz w:val="32"/>
          <w:szCs w:val="32"/>
        </w:rPr>
        <w:t>万元，占一般公共预算支出总额的</w:t>
      </w:r>
      <w:r>
        <w:rPr>
          <w:rFonts w:hint="eastAsia" w:ascii="Times New Roman" w:hAnsi="Times New Roman" w:eastAsia="仿宋_GB2312" w:cs="Times New Roman"/>
          <w:kern w:val="0"/>
          <w:sz w:val="32"/>
          <w:szCs w:val="32"/>
        </w:rPr>
        <w:t>2.44</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rPr>
        <w:t>0.00</w:t>
      </w:r>
      <w:r>
        <w:rPr>
          <w:rFonts w:ascii="Times New Roman" w:hAnsi="Times New Roman" w:eastAsia="仿宋_GB2312" w:cs="Times New Roman"/>
          <w:kern w:val="0"/>
          <w:sz w:val="32"/>
          <w:szCs w:val="32"/>
        </w:rPr>
        <w:t>万元，占政府性基金预算支出总额的</w:t>
      </w:r>
      <w:r>
        <w:rPr>
          <w:rFonts w:hint="eastAsia" w:ascii="Times New Roman" w:hAnsi="Times New Roman" w:eastAsia="仿宋_GB2312" w:cs="Times New Roman"/>
          <w:kern w:val="0"/>
          <w:sz w:val="32"/>
          <w:szCs w:val="32"/>
        </w:rPr>
        <w:t>0.00</w:t>
      </w:r>
      <w:r>
        <w:rPr>
          <w:rFonts w:ascii="Times New Roman" w:hAnsi="Times New Roman" w:eastAsia="仿宋_GB2312" w:cs="Times New Roman"/>
          <w:kern w:val="0"/>
          <w:sz w:val="32"/>
          <w:szCs w:val="32"/>
        </w:rPr>
        <w:t>%；国有资本经营预算项目</w:t>
      </w:r>
      <w:r>
        <w:rPr>
          <w:rFonts w:hint="eastAsia" w:ascii="Times New Roman" w:hAnsi="Times New Roman" w:eastAsia="仿宋_GB2312" w:cs="Times New Roman"/>
          <w:kern w:val="0"/>
          <w:sz w:val="32"/>
          <w:szCs w:val="32"/>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rPr>
        <w:t>0.00</w:t>
      </w:r>
      <w:r>
        <w:rPr>
          <w:rFonts w:ascii="Times New Roman" w:hAnsi="Times New Roman" w:eastAsia="仿宋_GB2312" w:cs="Times New Roman"/>
          <w:kern w:val="0"/>
          <w:sz w:val="32"/>
          <w:szCs w:val="32"/>
        </w:rPr>
        <w:t>万元，占国有资本经营预算支出总额的</w:t>
      </w:r>
      <w:r>
        <w:rPr>
          <w:rFonts w:hint="eastAsia" w:ascii="Times New Roman" w:hAnsi="Times New Roman" w:eastAsia="仿宋_GB2312" w:cs="Times New Roman"/>
          <w:kern w:val="0"/>
          <w:sz w:val="32"/>
          <w:szCs w:val="32"/>
        </w:rPr>
        <w:t>0.00</w:t>
      </w:r>
      <w:r>
        <w:rPr>
          <w:rFonts w:ascii="Times New Roman" w:hAnsi="Times New Roman" w:eastAsia="仿宋_GB2312" w:cs="Times New Roman"/>
          <w:kern w:val="0"/>
          <w:sz w:val="32"/>
          <w:szCs w:val="32"/>
        </w:rPr>
        <w:t>%；社会保险基金预算项目</w:t>
      </w:r>
      <w:r>
        <w:rPr>
          <w:rFonts w:hint="eastAsia" w:ascii="Times New Roman" w:hAnsi="Times New Roman" w:eastAsia="仿宋_GB2312" w:cs="Times New Roman"/>
          <w:kern w:val="0"/>
          <w:sz w:val="32"/>
          <w:szCs w:val="32"/>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rPr>
        <w:t>0.00</w:t>
      </w:r>
      <w:r>
        <w:rPr>
          <w:rFonts w:ascii="Times New Roman" w:hAnsi="Times New Roman" w:eastAsia="仿宋_GB2312" w:cs="Times New Roman"/>
          <w:kern w:val="0"/>
          <w:sz w:val="32"/>
          <w:szCs w:val="32"/>
        </w:rPr>
        <w:t>万元，占社会保险基金预算支出总额的</w:t>
      </w:r>
      <w:r>
        <w:rPr>
          <w:rFonts w:hint="eastAsia" w:ascii="Times New Roman" w:hAnsi="Times New Roman" w:eastAsia="仿宋_GB2312" w:cs="Times New Roman"/>
          <w:kern w:val="0"/>
          <w:sz w:val="32"/>
          <w:szCs w:val="32"/>
        </w:rPr>
        <w:t>0.00</w:t>
      </w:r>
      <w:r>
        <w:rPr>
          <w:rFonts w:ascii="Times New Roman" w:hAnsi="Times New Roman" w:eastAsia="仿宋_GB2312" w:cs="Times New Roman"/>
          <w:kern w:val="0"/>
          <w:sz w:val="32"/>
          <w:szCs w:val="32"/>
        </w:rPr>
        <w:t>%。</w:t>
      </w:r>
    </w:p>
    <w:p>
      <w:pPr>
        <w:widowControl/>
        <w:spacing w:line="560" w:lineRule="exact"/>
        <w:ind w:firstLine="640" w:firstLineChars="200"/>
        <w:jc w:val="left"/>
        <w:rPr>
          <w:rFonts w:ascii="仿宋" w:hAnsi="仿宋" w:eastAsia="仿宋" w:cs="仿宋_GB2312"/>
          <w:sz w:val="32"/>
          <w:szCs w:val="32"/>
          <w:shd w:val="clear" w:color="auto" w:fill="FFFFFF"/>
        </w:rPr>
      </w:pPr>
      <w:r>
        <w:rPr>
          <w:rFonts w:ascii="Times New Roman" w:hAnsi="Times New Roman" w:eastAsia="楷体_GB2312" w:cs="Times New Roman"/>
          <w:b/>
          <w:bCs/>
          <w:sz w:val="32"/>
          <w:szCs w:val="32"/>
        </w:rPr>
        <w:t>（二）绩效评价结果。</w:t>
      </w:r>
      <w:r>
        <w:rPr>
          <w:rFonts w:ascii="Times New Roman" w:hAnsi="Times New Roman" w:eastAsia="仿宋_GB2312" w:cs="Times New Roman"/>
          <w:b/>
          <w:bCs/>
          <w:kern w:val="0"/>
          <w:sz w:val="32"/>
          <w:szCs w:val="32"/>
        </w:rPr>
        <w:t>一是绩效自评结果。</w:t>
      </w:r>
      <w:r>
        <w:rPr>
          <w:rFonts w:ascii="Times New Roman" w:hAnsi="Times New Roman" w:eastAsia="仿宋_GB2312" w:cs="Times New Roman"/>
          <w:kern w:val="0"/>
          <w:sz w:val="32"/>
          <w:szCs w:val="32"/>
        </w:rPr>
        <w:t>2024年度</w:t>
      </w:r>
      <w:r>
        <w:rPr>
          <w:rFonts w:hint="eastAsia" w:ascii="Times New Roman" w:hAnsi="Times New Roman" w:eastAsia="仿宋_GB2312" w:cs="Times New Roman"/>
          <w:kern w:val="0"/>
          <w:sz w:val="32"/>
          <w:szCs w:val="32"/>
        </w:rPr>
        <w:t>怀化市交通运输指挥中心</w:t>
      </w:r>
      <w:r>
        <w:rPr>
          <w:rFonts w:ascii="Times New Roman" w:hAnsi="Times New Roman" w:eastAsia="仿宋_GB2312" w:cs="Times New Roman"/>
          <w:kern w:val="0"/>
          <w:sz w:val="32"/>
          <w:szCs w:val="32"/>
        </w:rPr>
        <w:t>整体支出</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rPr>
        <w:t>368.43</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rPr>
        <w:t>368.43</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rPr>
        <w:t>100.00</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sz w:val="32"/>
          <w:szCs w:val="32"/>
        </w:rPr>
        <w:t>100</w:t>
      </w:r>
      <w:r>
        <w:rPr>
          <w:rFonts w:ascii="Times New Roman" w:hAnsi="Times New Roman" w:eastAsia="仿宋_GB2312" w:cs="Times New Roman"/>
          <w:sz w:val="32"/>
          <w:szCs w:val="32"/>
        </w:rPr>
        <w:t>分</w:t>
      </w:r>
      <w:r>
        <w:rPr>
          <w:rFonts w:ascii="Times New Roman" w:hAnsi="Times New Roman" w:eastAsia="仿宋_GB2312" w:cs="Times New Roman"/>
          <w:kern w:val="0"/>
          <w:sz w:val="32"/>
          <w:szCs w:val="32"/>
        </w:rPr>
        <w:t>，评价等级为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优秀</w:t>
      </w:r>
      <w:r>
        <w:rPr>
          <w:rFonts w:ascii="Times New Roman" w:hAnsi="Times New Roman" w:eastAsia="仿宋_GB2312" w:cs="Times New Roman"/>
          <w:sz w:val="32"/>
          <w:szCs w:val="32"/>
        </w:rPr>
        <w:t>”。绩效目标完成情况：一是</w:t>
      </w:r>
      <w:r>
        <w:rPr>
          <w:rFonts w:hint="eastAsia" w:ascii="仿宋_GB2312" w:hAnsi="仿宋_GB2312" w:eastAsia="仿宋_GB2312" w:cs="仿宋_GB2312"/>
          <w:spacing w:val="8"/>
          <w:sz w:val="32"/>
          <w:szCs w:val="32"/>
          <w:shd w:val="clear" w:color="auto" w:fill="FFFFFF"/>
        </w:rPr>
        <w:t>全年办理各类政务服务事项</w:t>
      </w:r>
      <w:r>
        <w:rPr>
          <w:rFonts w:hint="eastAsia" w:ascii="仿宋_GB2312" w:hAnsi="仿宋_GB2312" w:eastAsia="仿宋_GB2312" w:cs="仿宋_GB2312"/>
          <w:sz w:val="32"/>
          <w:szCs w:val="32"/>
        </w:rPr>
        <w:t>6万余件</w:t>
      </w:r>
      <w:r>
        <w:rPr>
          <w:rFonts w:ascii="Times New Roman" w:hAnsi="Times New Roman" w:eastAsia="仿宋_GB2312" w:cs="Times New Roman"/>
          <w:sz w:val="32"/>
          <w:szCs w:val="32"/>
        </w:rPr>
        <w:t>；二是</w:t>
      </w:r>
      <w:r>
        <w:rPr>
          <w:rFonts w:hint="eastAsia" w:ascii="仿宋_GB2312" w:hAnsi="仿宋_GB2312" w:eastAsia="仿宋_GB2312" w:cs="仿宋_GB2312"/>
          <w:sz w:val="32"/>
          <w:szCs w:val="32"/>
        </w:rPr>
        <w:t>从未出现损坏行政效能超时办件“红黄牌”预警，损害营商环境案例为0，市级政务平台办件率、好评率均为100%，在全市政务服务行政考评中名列全市前列。完成智慧交通建设项目设计工作。</w:t>
      </w:r>
      <w:r>
        <w:rPr>
          <w:rFonts w:ascii="Times New Roman" w:hAnsi="Times New Roman" w:eastAsia="仿宋_GB2312" w:cs="Times New Roman"/>
          <w:sz w:val="32"/>
          <w:szCs w:val="32"/>
        </w:rPr>
        <w:t>发现的主要问题及原因：一是</w:t>
      </w:r>
      <w:r>
        <w:rPr>
          <w:rFonts w:hint="eastAsia" w:ascii="仿宋" w:hAnsi="仿宋" w:eastAsia="仿宋" w:cs="仿宋_GB2312"/>
          <w:sz w:val="32"/>
          <w:szCs w:val="32"/>
          <w:shd w:val="clear" w:color="auto" w:fill="FFFFFF"/>
        </w:rPr>
        <w:t>由于公用经费预算不足，对整体工作提质增效产生一定影响，一是单位机构改革后，由多个单位人员组建而成，办公设施、设备已达到报废年限，无法及时进行更新；二是受经费影响，一些年初安排的工作难以充分开展到位，对工作中创先争优，促进工作有效开展产生一定程度影响。</w:t>
      </w:r>
      <w:r>
        <w:rPr>
          <w:rFonts w:ascii="Times New Roman" w:hAnsi="Times New Roman" w:eastAsia="仿宋_GB2312" w:cs="Times New Roman"/>
          <w:sz w:val="32"/>
          <w:szCs w:val="32"/>
        </w:rPr>
        <w:t>二是</w:t>
      </w:r>
      <w:r>
        <w:rPr>
          <w:rFonts w:hint="eastAsia" w:ascii="仿宋" w:hAnsi="仿宋" w:eastAsia="仿宋" w:cs="仿宋_GB2312"/>
          <w:sz w:val="32"/>
          <w:szCs w:val="32"/>
          <w:shd w:val="clear" w:color="auto" w:fill="FFFFFF"/>
        </w:rPr>
        <w:t>公用经费还需支出工作人员“五险一金”财政预算安排差额部分，在优先保障公务开支前题下，工作人员政策性福利未能到位，对工作积极性产生一定影响。</w:t>
      </w:r>
    </w:p>
    <w:p>
      <w:pPr>
        <w:pStyle w:val="8"/>
        <w:widowControl/>
        <w:shd w:val="clear" w:color="auto" w:fill="FFFFFF"/>
        <w:spacing w:before="0" w:beforeAutospacing="0" w:after="0" w:afterAutospacing="0" w:line="560" w:lineRule="exact"/>
        <w:ind w:firstLine="640" w:firstLineChars="200"/>
        <w:rPr>
          <w:rFonts w:ascii="仿宋" w:hAnsi="仿宋" w:eastAsia="仿宋" w:cs="仿宋_GB2312"/>
          <w:sz w:val="32"/>
          <w:szCs w:val="32"/>
        </w:rPr>
      </w:pPr>
      <w:r>
        <w:rPr>
          <w:rFonts w:eastAsia="仿宋_GB2312"/>
          <w:sz w:val="32"/>
          <w:szCs w:val="32"/>
        </w:rPr>
        <w:t>下一步改进措施：</w:t>
      </w:r>
      <w:bookmarkStart w:id="6" w:name="OLE_LINK14"/>
      <w:bookmarkStart w:id="7" w:name="OLE_LINK15"/>
      <w:r>
        <w:rPr>
          <w:rFonts w:eastAsia="仿宋_GB2312"/>
          <w:sz w:val="32"/>
          <w:szCs w:val="32"/>
        </w:rPr>
        <w:t>一是</w:t>
      </w:r>
      <w:r>
        <w:rPr>
          <w:rFonts w:hint="eastAsia" w:ascii="仿宋" w:hAnsi="仿宋" w:eastAsia="仿宋" w:cs="仿宋_GB2312"/>
          <w:sz w:val="32"/>
          <w:szCs w:val="32"/>
          <w:shd w:val="clear" w:color="auto" w:fill="FFFFFF"/>
        </w:rPr>
        <w:t>认真做好预算的编制。进一步加强单位内部机构的预算管理意识，严格按照预算编制的相关制度和要求进行预算编制。</w:t>
      </w:r>
      <w:r>
        <w:rPr>
          <w:rFonts w:eastAsia="仿宋_GB2312"/>
          <w:sz w:val="32"/>
          <w:szCs w:val="32"/>
        </w:rPr>
        <w:t>二是</w:t>
      </w:r>
      <w:r>
        <w:rPr>
          <w:rFonts w:hint="eastAsia" w:ascii="仿宋" w:hAnsi="仿宋" w:eastAsia="仿宋" w:cs="仿宋_GB2312"/>
          <w:sz w:val="32"/>
          <w:szCs w:val="32"/>
          <w:shd w:val="clear" w:color="auto" w:fill="FFFFFF"/>
        </w:rPr>
        <w:t>加强财务管理，严格财务审核。加强单位财务管理，健全单位财务管理制度体系，规范单位财务行为。在费用报账支付时，按照预算规定的费用项目和用途进行资金使用审核、列报支付、财务核算，杜绝超支现象的发生。</w:t>
      </w:r>
      <w:r>
        <w:rPr>
          <w:rFonts w:hint="eastAsia" w:eastAsia="仿宋_GB2312"/>
          <w:sz w:val="32"/>
          <w:szCs w:val="32"/>
        </w:rPr>
        <w:t>三是</w:t>
      </w:r>
      <w:r>
        <w:rPr>
          <w:rFonts w:hint="eastAsia" w:ascii="仿宋" w:hAnsi="仿宋" w:eastAsia="仿宋" w:cs="仿宋_GB2312"/>
          <w:sz w:val="32"/>
          <w:szCs w:val="32"/>
          <w:shd w:val="clear" w:color="auto" w:fill="FFFFFF"/>
        </w:rPr>
        <w:t>完善资产管理，抓好“三公”经费控制。严格规范各类资产的购置审批、采购、处置等，加强单位内部的资产管理工作。严格控制“三公”经费的规模和比例，把关“三公”经费支出的审核、审批。</w:t>
      </w:r>
      <w:r>
        <w:rPr>
          <w:rFonts w:hint="eastAsia" w:eastAsia="仿宋_GB2312"/>
          <w:bCs/>
          <w:sz w:val="32"/>
          <w:szCs w:val="32"/>
        </w:rPr>
        <w:t>四是</w:t>
      </w:r>
      <w:r>
        <w:rPr>
          <w:rFonts w:hint="eastAsia" w:ascii="仿宋" w:hAnsi="仿宋" w:eastAsia="仿宋" w:cs="仿宋_GB2312"/>
          <w:sz w:val="32"/>
          <w:szCs w:val="32"/>
          <w:shd w:val="clear" w:color="auto" w:fill="FFFFFF"/>
        </w:rPr>
        <w:t>积极筹措工作经费。积极向财政汇报重点工作情况，争取专项工作经费，促进工作效果提升。</w:t>
      </w:r>
      <w:bookmarkEnd w:id="6"/>
      <w:bookmarkEnd w:id="7"/>
    </w:p>
    <w:p>
      <w:pPr>
        <w:pStyle w:val="13"/>
        <w:overflowPunct w:val="0"/>
        <w:autoSpaceDE/>
        <w:autoSpaceDN/>
        <w:spacing w:line="600" w:lineRule="exact"/>
        <w:ind w:firstLine="640" w:firstLineChars="200"/>
        <w:jc w:val="both"/>
        <w:rPr>
          <w:rFonts w:hint="eastAsia" w:ascii="Times New Roman" w:hAnsi="Times New Roman" w:eastAsia="楷体_GB2312" w:cs="Times New Roman"/>
          <w:b/>
          <w:bCs/>
          <w:color w:val="auto"/>
          <w:kern w:val="2"/>
          <w:sz w:val="32"/>
          <w:szCs w:val="32"/>
        </w:rPr>
      </w:pPr>
      <w:r>
        <w:rPr>
          <w:rFonts w:ascii="Times New Roman" w:hAnsi="Times New Roman" w:eastAsia="楷体_GB2312" w:cs="Times New Roman"/>
          <w:b/>
          <w:bCs/>
          <w:color w:val="auto"/>
          <w:kern w:val="2"/>
          <w:sz w:val="32"/>
          <w:szCs w:val="32"/>
        </w:rPr>
        <w:t>（三）评价结果应用情况。</w:t>
      </w:r>
    </w:p>
    <w:p>
      <w:pPr>
        <w:pStyle w:val="13"/>
        <w:overflowPunct w:val="0"/>
        <w:autoSpaceDE/>
        <w:autoSpaceDN/>
        <w:spacing w:line="600" w:lineRule="exact"/>
        <w:ind w:firstLine="640" w:firstLineChars="200"/>
        <w:jc w:val="both"/>
        <w:rPr>
          <w:rFonts w:ascii="Times New Roman" w:hAnsi="Times New Roman" w:eastAsia="仿宋_GB2312" w:cs="Times New Roman"/>
          <w:color w:val="auto"/>
          <w:sz w:val="72"/>
          <w:szCs w:val="72"/>
        </w:rPr>
      </w:pPr>
      <w:r>
        <w:rPr>
          <w:rFonts w:hint="eastAsia" w:ascii="Times New Roman" w:hAnsi="Times New Roman" w:eastAsia="仿宋_GB2312" w:cs="Times New Roman"/>
          <w:sz w:val="32"/>
          <w:szCs w:val="32"/>
        </w:rPr>
        <w:t>2025年要</w:t>
      </w:r>
      <w:r>
        <w:rPr>
          <w:rFonts w:hint="eastAsia" w:ascii="仿宋" w:hAnsi="仿宋" w:eastAsia="仿宋" w:cs="仿宋_GB2312"/>
          <w:sz w:val="32"/>
          <w:szCs w:val="32"/>
          <w:shd w:val="clear" w:color="auto" w:fill="FFFFFF"/>
        </w:rPr>
        <w:t>认真做好预算的编制。进一步加强单位内部机构的预算管理意识，严格按照预算编制的相关制度和要求进行预算编制。加强财务管理，严格财务审核。加强单位财务管理，健全单位财务管理制度体系，规范单位财务行为。在费用报账支付时，按照预算规定的费用项目和用途进行资金使用审核、列报支付、财务核算，杜绝超支现象的发生。完善资产管理，抓好“三公”经费控制。严格规范各类资产的购置审批、采购、处置等，加强单位内部的资产管理工作。严格控制“三公”经费的规模和比例，把关“三公”经费支出的审核、审批。积极筹措工作经费。积极向财政汇报重点工作情况，争取专项工作经费，促进工作效果提升。</w:t>
      </w:r>
    </w:p>
    <w:p>
      <w:pPr>
        <w:pStyle w:val="13"/>
        <w:overflowPunct w:val="0"/>
        <w:autoSpaceDE/>
        <w:autoSpaceDN/>
        <w:spacing w:line="600" w:lineRule="exact"/>
        <w:ind w:firstLine="640" w:firstLineChars="200"/>
        <w:jc w:val="both"/>
        <w:rPr>
          <w:rFonts w:ascii="Times New Roman" w:hAnsi="Times New Roman" w:cs="Times New Roman"/>
          <w:bCs/>
          <w:color w:val="auto"/>
          <w:sz w:val="32"/>
          <w:szCs w:val="32"/>
        </w:rPr>
      </w:pPr>
    </w:p>
    <w:p>
      <w:pPr>
        <w:pStyle w:val="13"/>
        <w:jc w:val="center"/>
        <w:rPr>
          <w:rFonts w:ascii="Times New Roman" w:hAnsi="Times New Roman" w:cs="Times New Roman"/>
          <w:sz w:val="72"/>
          <w:szCs w:val="72"/>
        </w:rPr>
      </w:pPr>
    </w:p>
    <w:p>
      <w:pPr>
        <w:pStyle w:val="13"/>
        <w:jc w:val="center"/>
        <w:rPr>
          <w:rFonts w:ascii="Times New Roman" w:hAnsi="Times New Roman" w:cs="Times New Roman"/>
          <w:sz w:val="72"/>
          <w:szCs w:val="72"/>
        </w:rPr>
      </w:pPr>
    </w:p>
    <w:p>
      <w:pPr>
        <w:pStyle w:val="13"/>
        <w:jc w:val="center"/>
        <w:rPr>
          <w:rFonts w:ascii="Times New Roman" w:hAnsi="Times New Roman" w:cs="Times New Roman"/>
          <w:sz w:val="72"/>
          <w:szCs w:val="72"/>
        </w:rPr>
      </w:pPr>
    </w:p>
    <w:p>
      <w:pPr>
        <w:pStyle w:val="13"/>
        <w:jc w:val="center"/>
        <w:rPr>
          <w:rFonts w:ascii="Times New Roman" w:hAnsi="Times New Roman" w:cs="Times New Roman"/>
          <w:sz w:val="72"/>
          <w:szCs w:val="72"/>
        </w:rPr>
      </w:pPr>
    </w:p>
    <w:p>
      <w:pPr>
        <w:pStyle w:val="13"/>
        <w:jc w:val="center"/>
        <w:rPr>
          <w:rFonts w:ascii="Times New Roman" w:hAnsi="Times New Roman" w:cs="Times New Roman"/>
          <w:sz w:val="72"/>
          <w:szCs w:val="72"/>
        </w:rPr>
      </w:pPr>
    </w:p>
    <w:p>
      <w:pPr>
        <w:pStyle w:val="13"/>
        <w:jc w:val="center"/>
        <w:rPr>
          <w:rFonts w:ascii="Times New Roman" w:hAnsi="Times New Roman" w:cs="Times New Roman"/>
          <w:sz w:val="72"/>
          <w:szCs w:val="72"/>
        </w:rPr>
      </w:pPr>
    </w:p>
    <w:p>
      <w:pPr>
        <w:pStyle w:val="13"/>
        <w:jc w:val="center"/>
        <w:rPr>
          <w:rFonts w:ascii="Times New Roman" w:hAnsi="Times New Roman" w:cs="Times New Roman"/>
          <w:sz w:val="72"/>
          <w:szCs w:val="72"/>
        </w:rPr>
      </w:pPr>
    </w:p>
    <w:p>
      <w:pPr>
        <w:pStyle w:val="13"/>
        <w:jc w:val="center"/>
        <w:rPr>
          <w:rFonts w:ascii="Times New Roman" w:hAnsi="Times New Roman" w:cs="Times New Roman"/>
          <w:sz w:val="72"/>
          <w:szCs w:val="72"/>
        </w:rPr>
      </w:pPr>
    </w:p>
    <w:p>
      <w:pPr>
        <w:pStyle w:val="13"/>
        <w:jc w:val="center"/>
        <w:rPr>
          <w:rFonts w:ascii="Times New Roman" w:hAnsi="Times New Roman" w:cs="Times New Roman"/>
          <w:sz w:val="72"/>
          <w:szCs w:val="72"/>
        </w:rPr>
      </w:pPr>
    </w:p>
    <w:p>
      <w:pPr>
        <w:pStyle w:val="13"/>
        <w:jc w:val="both"/>
        <w:rPr>
          <w:rFonts w:ascii="Times New Roman" w:hAnsi="Times New Roman" w:cs="Times New Roman"/>
          <w:sz w:val="72"/>
          <w:szCs w:val="72"/>
        </w:rPr>
      </w:pPr>
    </w:p>
    <w:p>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第四部分名词解释</w:t>
      </w:r>
    </w:p>
    <w:p>
      <w:pPr>
        <w:pStyle w:val="13"/>
        <w:ind w:firstLine="640" w:firstLineChars="200"/>
        <w:rPr>
          <w:rFonts w:ascii="仿宋" w:hAnsi="仿宋" w:eastAsia="仿宋"/>
          <w:color w:val="auto"/>
          <w:sz w:val="32"/>
          <w:szCs w:val="32"/>
        </w:rPr>
      </w:pPr>
      <w:r>
        <w:rPr>
          <w:rFonts w:hint="eastAsia" w:ascii="仿宋" w:hAnsi="仿宋" w:eastAsia="仿宋"/>
          <w:color w:val="auto"/>
          <w:sz w:val="32"/>
          <w:szCs w:val="32"/>
        </w:rPr>
        <w:t>1.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pPr>
        <w:pStyle w:val="13"/>
        <w:ind w:firstLine="640"/>
        <w:jc w:val="center"/>
        <w:rPr>
          <w:rFonts w:ascii="仿宋" w:hAnsi="仿宋" w:eastAsia="仿宋"/>
          <w:sz w:val="72"/>
          <w:szCs w:val="72"/>
        </w:rPr>
      </w:pPr>
      <w:r>
        <w:rPr>
          <w:rFonts w:hint="eastAsia" w:ascii="仿宋" w:hAnsi="仿宋" w:eastAsia="仿宋"/>
          <w:color w:val="auto"/>
          <w:sz w:val="32"/>
          <w:szCs w:val="32"/>
        </w:rPr>
        <w:t>2.“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widowControl/>
        <w:jc w:val="left"/>
        <w:rPr>
          <w:rFonts w:ascii="Times New Roman" w:hAnsi="Times New Roman" w:cs="Times New Roman"/>
          <w:color w:val="000000"/>
          <w:kern w:val="0"/>
          <w:sz w:val="32"/>
          <w:szCs w:val="32"/>
        </w:rPr>
      </w:pPr>
    </w:p>
    <w:p>
      <w:pPr>
        <w:pStyle w:val="13"/>
        <w:jc w:val="center"/>
        <w:rPr>
          <w:rFonts w:ascii="Times New Roman" w:hAnsi="Times New Roman" w:cs="Times New Roman"/>
          <w:sz w:val="72"/>
          <w:szCs w:val="72"/>
        </w:rPr>
      </w:pPr>
    </w:p>
    <w:p>
      <w:pPr>
        <w:pStyle w:val="13"/>
        <w:jc w:val="center"/>
        <w:rPr>
          <w:rFonts w:ascii="Times New Roman" w:hAnsi="Times New Roman" w:cs="Times New Roman"/>
          <w:sz w:val="72"/>
          <w:szCs w:val="72"/>
        </w:rPr>
      </w:pPr>
    </w:p>
    <w:p>
      <w:pPr>
        <w:pStyle w:val="13"/>
        <w:jc w:val="center"/>
        <w:rPr>
          <w:rFonts w:ascii="Times New Roman" w:hAnsi="Times New Roman" w:cs="Times New Roman"/>
          <w:sz w:val="72"/>
          <w:szCs w:val="72"/>
        </w:rPr>
      </w:pPr>
    </w:p>
    <w:p>
      <w:pPr>
        <w:pStyle w:val="13"/>
        <w:jc w:val="center"/>
        <w:rPr>
          <w:rFonts w:ascii="Times New Roman" w:hAnsi="Times New Roman" w:cs="Times New Roman"/>
          <w:sz w:val="72"/>
          <w:szCs w:val="72"/>
        </w:rPr>
      </w:pPr>
    </w:p>
    <w:p>
      <w:pPr>
        <w:pStyle w:val="13"/>
        <w:jc w:val="center"/>
        <w:rPr>
          <w:rFonts w:ascii="Times New Roman" w:hAnsi="Times New Roman" w:cs="Times New Roman"/>
          <w:sz w:val="72"/>
          <w:szCs w:val="72"/>
        </w:rPr>
      </w:pPr>
    </w:p>
    <w:p>
      <w:pPr>
        <w:pStyle w:val="13"/>
        <w:jc w:val="center"/>
        <w:rPr>
          <w:rFonts w:ascii="Times New Roman" w:hAnsi="Times New Roman" w:cs="Times New Roman"/>
          <w:sz w:val="72"/>
          <w:szCs w:val="72"/>
        </w:rPr>
      </w:pPr>
    </w:p>
    <w:p>
      <w:pPr>
        <w:pStyle w:val="13"/>
        <w:jc w:val="both"/>
        <w:rPr>
          <w:rFonts w:ascii="Times New Roman" w:hAnsi="Times New Roman" w:cs="Times New Roman"/>
          <w:sz w:val="72"/>
          <w:szCs w:val="72"/>
        </w:rPr>
      </w:pPr>
    </w:p>
    <w:p>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第五部分附 件</w:t>
      </w:r>
    </w:p>
    <w:p>
      <w:pPr>
        <w:rPr>
          <w:rFonts w:ascii="Times New Roman" w:hAnsi="Times New Roman" w:cs="Times New Roman"/>
          <w:sz w:val="72"/>
          <w:szCs w:val="72"/>
        </w:rPr>
      </w:pPr>
    </w:p>
    <w:p>
      <w:pPr>
        <w:pStyle w:val="13"/>
        <w:ind w:firstLine="640" w:firstLineChars="200"/>
        <w:rPr>
          <w:rFonts w:hint="eastAsia" w:ascii="仿宋" w:hAnsi="仿宋" w:eastAsia="仿宋"/>
          <w:color w:val="4F81BD" w:themeColor="accent1"/>
          <w:sz w:val="32"/>
          <w:szCs w:val="32"/>
        </w:rPr>
      </w:pPr>
      <w:r>
        <w:rPr>
          <w:rFonts w:hint="eastAsia" w:ascii="仿宋" w:hAnsi="仿宋" w:eastAsia="仿宋"/>
          <w:color w:val="4F81BD" w:themeColor="accent1"/>
          <w:sz w:val="32"/>
          <w:szCs w:val="32"/>
        </w:rPr>
        <w:t>一、</w:t>
      </w:r>
      <w:r>
        <w:rPr>
          <w:rFonts w:hint="eastAsia" w:ascii="仿宋" w:hAnsi="仿宋" w:eastAsia="仿宋"/>
          <w:color w:val="4F81BD" w:themeColor="accent1"/>
          <w:sz w:val="32"/>
          <w:szCs w:val="32"/>
          <w:lang w:val="en-US" w:eastAsia="zh-CN"/>
        </w:rPr>
        <w:t>2</w:t>
      </w:r>
      <w:r>
        <w:rPr>
          <w:rFonts w:hint="eastAsia" w:ascii="仿宋" w:hAnsi="仿宋" w:eastAsia="仿宋"/>
          <w:color w:val="4F81BD" w:themeColor="accent1"/>
          <w:sz w:val="32"/>
          <w:szCs w:val="32"/>
        </w:rPr>
        <w:t>024年怀化市交通运输指挥中心</w:t>
      </w:r>
      <w:r>
        <w:rPr>
          <w:rFonts w:hint="eastAsia" w:ascii="仿宋" w:hAnsi="仿宋" w:eastAsia="仿宋"/>
          <w:color w:val="4F81BD" w:themeColor="accent1"/>
          <w:sz w:val="32"/>
          <w:szCs w:val="32"/>
          <w:lang w:eastAsia="zh-CN"/>
        </w:rPr>
        <w:t>整体支出</w:t>
      </w:r>
      <w:r>
        <w:rPr>
          <w:rFonts w:hint="eastAsia" w:ascii="仿宋" w:hAnsi="仿宋" w:eastAsia="仿宋"/>
          <w:color w:val="4F81BD" w:themeColor="accent1"/>
          <w:sz w:val="32"/>
          <w:szCs w:val="32"/>
        </w:rPr>
        <w:t>绩效报告</w:t>
      </w:r>
    </w:p>
    <w:p>
      <w:pPr>
        <w:pStyle w:val="13"/>
        <w:ind w:firstLine="640" w:firstLineChars="200"/>
        <w:rPr>
          <w:rFonts w:hint="eastAsia" w:ascii="仿宋" w:hAnsi="仿宋" w:eastAsia="仿宋"/>
          <w:color w:val="4F81BD" w:themeColor="accent1"/>
          <w:sz w:val="32"/>
          <w:szCs w:val="32"/>
          <w:lang w:eastAsia="zh-CN"/>
        </w:rPr>
      </w:pPr>
      <w:r>
        <w:rPr>
          <w:rFonts w:hint="eastAsia" w:ascii="仿宋" w:hAnsi="仿宋" w:eastAsia="仿宋"/>
          <w:color w:val="4F81BD" w:themeColor="accent1"/>
          <w:sz w:val="32"/>
          <w:szCs w:val="32"/>
          <w:lang w:eastAsia="zh-CN"/>
        </w:rPr>
        <w:t>二、2024年怀化市交通运输指挥中心专项资金绩效自评报告</w:t>
      </w:r>
    </w:p>
    <w:p>
      <w:pPr>
        <w:pStyle w:val="13"/>
        <w:jc w:val="both"/>
        <w:rPr>
          <w:rFonts w:hint="eastAsia" w:ascii="Times New Roman" w:hAnsi="Times New Roman" w:eastAsia="仿宋_GB2312" w:cs="Times New Roman"/>
          <w:b/>
          <w:bCs/>
          <w:sz w:val="32"/>
          <w:szCs w:val="32"/>
          <w:lang w:eastAsia="zh-CN"/>
        </w:rPr>
      </w:pPr>
    </w:p>
    <w:p>
      <w:pPr>
        <w:pStyle w:val="13"/>
        <w:jc w:val="both"/>
        <w:rPr>
          <w:rFonts w:ascii="Times New Roman" w:hAnsi="Times New Roman" w:eastAsia="仿宋_GB2312" w:cs="Times New Roman"/>
          <w:b/>
          <w:bCs/>
          <w:sz w:val="32"/>
          <w:szCs w:val="32"/>
        </w:rPr>
      </w:pPr>
    </w:p>
    <w:p>
      <w:pPr>
        <w:pStyle w:val="13"/>
        <w:jc w:val="center"/>
        <w:rPr>
          <w:rFonts w:ascii="Times New Roman" w:hAnsi="Times New Roman" w:cs="Times New Roman"/>
          <w:sz w:val="72"/>
          <w:szCs w:val="72"/>
        </w:rPr>
      </w:pPr>
    </w:p>
    <w:p>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altName w:val="方正楷体_GBK"/>
    <w:panose1 w:val="00000000000000000000"/>
    <w:charset w:val="86"/>
    <w:family w:val="modern"/>
    <w:pitch w:val="default"/>
    <w:sig w:usb0="00000000" w:usb1="00000000" w:usb2="00000010" w:usb3="00000000" w:csb0="00040000" w:csb1="00000000"/>
  </w:font>
  <w:font w:name="方正楷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小标宋_GBK">
    <w:panose1 w:val="02000000000000000000"/>
    <w:charset w:val="86"/>
    <w:family w:val="script"/>
    <w:pitch w:val="default"/>
    <w:sig w:usb0="00000001" w:usb1="08000000" w:usb2="00000000" w:usb3="00000000" w:csb0="00040000" w:csb1="00000000"/>
  </w:font>
  <w:font w:name="仿宋_GB2312">
    <w:altName w:val="方正仿宋_GBK"/>
    <w:panose1 w:val="00000000000000000000"/>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楷体">
    <w:altName w:val="方正楷体_GBK"/>
    <w:panose1 w:val="02010609060101010101"/>
    <w:charset w:val="86"/>
    <w:family w:val="modern"/>
    <w:pitch w:val="default"/>
    <w:sig w:usb0="00000000" w:usb1="00000000" w:usb2="00000016" w:usb3="00000000" w:csb0="00040001"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Nn6MNYPAgAABwQAAA4AAAAAAAAAAQAgAAAA&#10;HwEAAGRycy9lMm9Eb2MueG1sUEsFBgAAAAAGAAYAWQEAAKAFAAAAAA==&#10;">
          <v:path/>
          <v:fill on="f" focussize="0,0"/>
          <v:stroke on="f" weight="0.5pt" joinstyle="miter"/>
          <v:imagedata o:title=""/>
          <o:lock v:ext="edit"/>
          <v:textbox inset="0mm,0mm,0mm,0mm" style="mso-fit-shape-to-text:t;">
            <w:txbxContent>
              <w:p>
                <w:pPr>
                  <w:pStyle w:val="6"/>
                </w:pPr>
                <w:r>
                  <w:fldChar w:fldCharType="begin"/>
                </w:r>
                <w:r>
                  <w:instrText xml:space="preserve"> PAGE  \* MERGEFORMAT </w:instrText>
                </w:r>
                <w:r>
                  <w:fldChar w:fldCharType="separate"/>
                </w:r>
                <w:r>
                  <w:t>22</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B452652"/>
    <w:multiLevelType w:val="multilevel"/>
    <w:tmpl w:val="5B452652"/>
    <w:lvl w:ilvl="0" w:tentative="0">
      <w:start w:val="1"/>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4506F9"/>
    <w:rsid w:val="0000001A"/>
    <w:rsid w:val="0002229B"/>
    <w:rsid w:val="000273BD"/>
    <w:rsid w:val="0003620C"/>
    <w:rsid w:val="00040CBC"/>
    <w:rsid w:val="000415B7"/>
    <w:rsid w:val="00041E3F"/>
    <w:rsid w:val="00055DAA"/>
    <w:rsid w:val="00061F7B"/>
    <w:rsid w:val="0006505C"/>
    <w:rsid w:val="000658A3"/>
    <w:rsid w:val="00074155"/>
    <w:rsid w:val="00080785"/>
    <w:rsid w:val="000857E3"/>
    <w:rsid w:val="000A3F69"/>
    <w:rsid w:val="000B20F1"/>
    <w:rsid w:val="000C5742"/>
    <w:rsid w:val="00103957"/>
    <w:rsid w:val="00152C6D"/>
    <w:rsid w:val="00162D39"/>
    <w:rsid w:val="00167736"/>
    <w:rsid w:val="001678BD"/>
    <w:rsid w:val="00182373"/>
    <w:rsid w:val="001A67DB"/>
    <w:rsid w:val="001B67D1"/>
    <w:rsid w:val="001C3C29"/>
    <w:rsid w:val="001C69E4"/>
    <w:rsid w:val="001D2B79"/>
    <w:rsid w:val="001D51E5"/>
    <w:rsid w:val="001E080D"/>
    <w:rsid w:val="001E53D0"/>
    <w:rsid w:val="001F0C3B"/>
    <w:rsid w:val="00202C82"/>
    <w:rsid w:val="00214427"/>
    <w:rsid w:val="00220689"/>
    <w:rsid w:val="00221AFD"/>
    <w:rsid w:val="00226CB7"/>
    <w:rsid w:val="00241548"/>
    <w:rsid w:val="00252450"/>
    <w:rsid w:val="00264552"/>
    <w:rsid w:val="00264EF9"/>
    <w:rsid w:val="00265724"/>
    <w:rsid w:val="0027426B"/>
    <w:rsid w:val="00296D60"/>
    <w:rsid w:val="002E0A30"/>
    <w:rsid w:val="002F109C"/>
    <w:rsid w:val="0030077D"/>
    <w:rsid w:val="003130C4"/>
    <w:rsid w:val="00316C4B"/>
    <w:rsid w:val="0032192B"/>
    <w:rsid w:val="0033283E"/>
    <w:rsid w:val="003479BD"/>
    <w:rsid w:val="0037197D"/>
    <w:rsid w:val="003768D5"/>
    <w:rsid w:val="003926B9"/>
    <w:rsid w:val="003B6E18"/>
    <w:rsid w:val="003C2E17"/>
    <w:rsid w:val="003C47E6"/>
    <w:rsid w:val="003C4FC2"/>
    <w:rsid w:val="00401F9A"/>
    <w:rsid w:val="00416E61"/>
    <w:rsid w:val="00426732"/>
    <w:rsid w:val="0042790C"/>
    <w:rsid w:val="004506F9"/>
    <w:rsid w:val="004519C1"/>
    <w:rsid w:val="00462315"/>
    <w:rsid w:val="004717A2"/>
    <w:rsid w:val="00473DF3"/>
    <w:rsid w:val="00487911"/>
    <w:rsid w:val="00490F48"/>
    <w:rsid w:val="00491741"/>
    <w:rsid w:val="004B0CEE"/>
    <w:rsid w:val="004B46F9"/>
    <w:rsid w:val="004C2A0A"/>
    <w:rsid w:val="004F5EFB"/>
    <w:rsid w:val="00500E5F"/>
    <w:rsid w:val="005122EF"/>
    <w:rsid w:val="0051441A"/>
    <w:rsid w:val="00515900"/>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031E6"/>
    <w:rsid w:val="006171EE"/>
    <w:rsid w:val="0062378F"/>
    <w:rsid w:val="00630A72"/>
    <w:rsid w:val="00631425"/>
    <w:rsid w:val="00641842"/>
    <w:rsid w:val="00651EEC"/>
    <w:rsid w:val="00675D3E"/>
    <w:rsid w:val="00686673"/>
    <w:rsid w:val="00691E8C"/>
    <w:rsid w:val="006950A8"/>
    <w:rsid w:val="006A22C4"/>
    <w:rsid w:val="006A351B"/>
    <w:rsid w:val="006B0422"/>
    <w:rsid w:val="006B046C"/>
    <w:rsid w:val="006C1B53"/>
    <w:rsid w:val="006D7730"/>
    <w:rsid w:val="006E5284"/>
    <w:rsid w:val="006F3EB5"/>
    <w:rsid w:val="006F56C8"/>
    <w:rsid w:val="006F6B53"/>
    <w:rsid w:val="00702E34"/>
    <w:rsid w:val="00704395"/>
    <w:rsid w:val="00705CB3"/>
    <w:rsid w:val="00710FE7"/>
    <w:rsid w:val="00712D17"/>
    <w:rsid w:val="00717621"/>
    <w:rsid w:val="00720FF1"/>
    <w:rsid w:val="00727A53"/>
    <w:rsid w:val="007502DE"/>
    <w:rsid w:val="00787B42"/>
    <w:rsid w:val="007A124E"/>
    <w:rsid w:val="007C4539"/>
    <w:rsid w:val="007E6F58"/>
    <w:rsid w:val="007F3657"/>
    <w:rsid w:val="00810F0C"/>
    <w:rsid w:val="00811AA2"/>
    <w:rsid w:val="00812ED5"/>
    <w:rsid w:val="00821A03"/>
    <w:rsid w:val="008277D9"/>
    <w:rsid w:val="0084478C"/>
    <w:rsid w:val="0086638C"/>
    <w:rsid w:val="00871CB1"/>
    <w:rsid w:val="008764FA"/>
    <w:rsid w:val="00882D5B"/>
    <w:rsid w:val="00885743"/>
    <w:rsid w:val="008A1079"/>
    <w:rsid w:val="008A3E8D"/>
    <w:rsid w:val="008A5055"/>
    <w:rsid w:val="008B76A6"/>
    <w:rsid w:val="008D17F4"/>
    <w:rsid w:val="009150D8"/>
    <w:rsid w:val="009237C4"/>
    <w:rsid w:val="00944C48"/>
    <w:rsid w:val="00950252"/>
    <w:rsid w:val="00967F5D"/>
    <w:rsid w:val="00982466"/>
    <w:rsid w:val="009A0F95"/>
    <w:rsid w:val="009B3ADF"/>
    <w:rsid w:val="009C31C5"/>
    <w:rsid w:val="009C3B52"/>
    <w:rsid w:val="009E6817"/>
    <w:rsid w:val="009E6E9A"/>
    <w:rsid w:val="00A01D2B"/>
    <w:rsid w:val="00A1392A"/>
    <w:rsid w:val="00A42218"/>
    <w:rsid w:val="00A55FB8"/>
    <w:rsid w:val="00A70249"/>
    <w:rsid w:val="00A70B02"/>
    <w:rsid w:val="00A71D9F"/>
    <w:rsid w:val="00A92E9F"/>
    <w:rsid w:val="00AB18FF"/>
    <w:rsid w:val="00B26269"/>
    <w:rsid w:val="00B33BEA"/>
    <w:rsid w:val="00B57C9F"/>
    <w:rsid w:val="00B63572"/>
    <w:rsid w:val="00B845B3"/>
    <w:rsid w:val="00B85D8B"/>
    <w:rsid w:val="00B94B84"/>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13A9C"/>
    <w:rsid w:val="00E37D6C"/>
    <w:rsid w:val="00E55B68"/>
    <w:rsid w:val="00E561AE"/>
    <w:rsid w:val="00E67BE6"/>
    <w:rsid w:val="00E8683C"/>
    <w:rsid w:val="00EA2B72"/>
    <w:rsid w:val="00EB4BBA"/>
    <w:rsid w:val="00F74360"/>
    <w:rsid w:val="00FB462F"/>
    <w:rsid w:val="00FE16FA"/>
    <w:rsid w:val="00FE328A"/>
    <w:rsid w:val="00FE45CA"/>
    <w:rsid w:val="00FE6269"/>
    <w:rsid w:val="00FF5CD6"/>
    <w:rsid w:val="16312EF1"/>
    <w:rsid w:val="1D97DEFF"/>
    <w:rsid w:val="1DFF72E5"/>
    <w:rsid w:val="1EFC6F07"/>
    <w:rsid w:val="2EF70772"/>
    <w:rsid w:val="2FDF85B8"/>
    <w:rsid w:val="2FFFEE04"/>
    <w:rsid w:val="34DF85B0"/>
    <w:rsid w:val="35AE17D4"/>
    <w:rsid w:val="3B8F36BC"/>
    <w:rsid w:val="3BFD4B5A"/>
    <w:rsid w:val="3CF74F48"/>
    <w:rsid w:val="491FF225"/>
    <w:rsid w:val="4FFD214C"/>
    <w:rsid w:val="5777D4F5"/>
    <w:rsid w:val="58457EF8"/>
    <w:rsid w:val="59DD8326"/>
    <w:rsid w:val="5DEF592A"/>
    <w:rsid w:val="5FC6BB1E"/>
    <w:rsid w:val="5FF720F1"/>
    <w:rsid w:val="67FF5C0B"/>
    <w:rsid w:val="6EFC0924"/>
    <w:rsid w:val="6F3D6C51"/>
    <w:rsid w:val="6FB74722"/>
    <w:rsid w:val="6FEF8B7E"/>
    <w:rsid w:val="71A6591B"/>
    <w:rsid w:val="737D59BA"/>
    <w:rsid w:val="77C37683"/>
    <w:rsid w:val="77FF055A"/>
    <w:rsid w:val="79D19834"/>
    <w:rsid w:val="79FF515B"/>
    <w:rsid w:val="7D3B81AF"/>
    <w:rsid w:val="7E9E1962"/>
    <w:rsid w:val="7E9F11B4"/>
    <w:rsid w:val="7F37EC1E"/>
    <w:rsid w:val="7F3D3D6D"/>
    <w:rsid w:val="7F7DCD9D"/>
    <w:rsid w:val="7F970A6F"/>
    <w:rsid w:val="7FC1FFF3"/>
    <w:rsid w:val="7FC69637"/>
    <w:rsid w:val="7FDF8620"/>
    <w:rsid w:val="7FE8C8F7"/>
    <w:rsid w:val="7FFB242F"/>
    <w:rsid w:val="7FFDB408"/>
    <w:rsid w:val="7FFE4EEB"/>
    <w:rsid w:val="95FB2B98"/>
    <w:rsid w:val="9A639BC2"/>
    <w:rsid w:val="9FF7D786"/>
    <w:rsid w:val="ABBFB23D"/>
    <w:rsid w:val="BEA005D1"/>
    <w:rsid w:val="C3B4DA5A"/>
    <w:rsid w:val="CBFF70E0"/>
    <w:rsid w:val="CFF50B82"/>
    <w:rsid w:val="CFFFAD89"/>
    <w:rsid w:val="DFB53C9A"/>
    <w:rsid w:val="DFFE359E"/>
    <w:rsid w:val="DFFE4FFD"/>
    <w:rsid w:val="DFFF05DB"/>
    <w:rsid w:val="EEABED75"/>
    <w:rsid w:val="EF786D2F"/>
    <w:rsid w:val="F56FDF51"/>
    <w:rsid w:val="F6B69F17"/>
    <w:rsid w:val="F6FF7154"/>
    <w:rsid w:val="F77F1D61"/>
    <w:rsid w:val="F7BF3C35"/>
    <w:rsid w:val="F7FED3A9"/>
    <w:rsid w:val="F8C9DB26"/>
    <w:rsid w:val="F97E8EAE"/>
    <w:rsid w:val="FB36E1A6"/>
    <w:rsid w:val="FB3BE134"/>
    <w:rsid w:val="FCFF4275"/>
    <w:rsid w:val="FD4FEB3A"/>
    <w:rsid w:val="FD7FEEEA"/>
    <w:rsid w:val="FDFFB577"/>
    <w:rsid w:val="FEEA50FE"/>
    <w:rsid w:val="FF7D47A9"/>
    <w:rsid w:val="FFCF21CB"/>
    <w:rsid w:val="FFFADD3F"/>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5"/>
    <w:semiHidden/>
    <w:unhideWhenUsed/>
    <w:qFormat/>
    <w:uiPriority w:val="99"/>
    <w:rPr>
      <w:sz w:val="18"/>
      <w:szCs w:val="18"/>
    </w:r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0"/>
    <w:pPr>
      <w:spacing w:before="100" w:beforeAutospacing="1" w:after="100" w:afterAutospacing="1"/>
      <w:jc w:val="left"/>
    </w:pPr>
    <w:rPr>
      <w:rFonts w:ascii="Times New Roman" w:hAnsi="Times New Roman" w:eastAsia="宋体" w:cs="Times New Roman"/>
      <w:kern w:val="0"/>
      <w:sz w:val="24"/>
      <w:szCs w:val="24"/>
    </w:rPr>
  </w:style>
  <w:style w:type="character" w:customStyle="1" w:styleId="11">
    <w:name w:val="页眉 Char"/>
    <w:basedOn w:val="10"/>
    <w:link w:val="7"/>
    <w:qFormat/>
    <w:uiPriority w:val="99"/>
    <w:rPr>
      <w:sz w:val="18"/>
      <w:szCs w:val="18"/>
    </w:rPr>
  </w:style>
  <w:style w:type="character" w:customStyle="1" w:styleId="12">
    <w:name w:val="页脚 Char"/>
    <w:basedOn w:val="10"/>
    <w:link w:val="6"/>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5"/>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 w:type="character" w:customStyle="1" w:styleId="19">
    <w:name w:val="21"/>
    <w:basedOn w:val="10"/>
    <w:qFormat/>
    <w:uiPriority w:val="0"/>
    <w:rPr>
      <w:rFonts w:hint="eastAsia" w:ascii="Times New Roman" w:eastAsia="楷体_GB2312" w:cs="楷体_GB231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29</Pages>
  <Words>1491</Words>
  <Characters>8504</Characters>
  <Lines>70</Lines>
  <Paragraphs>19</Paragraphs>
  <TotalTime>2</TotalTime>
  <ScaleCrop>false</ScaleCrop>
  <LinksUpToDate>false</LinksUpToDate>
  <CharactersWithSpaces>9976</CharactersWithSpaces>
  <Application>WPS Office_11.8.2.1130_F1E327BC-269C-435d-A152-05C5408002CA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2025-09-25T18:17:00Z</dcterms:created>
  <dc:creator>李航 null</dc:creator>
  <cp:lastModifiedBy>yq</cp:lastModifiedBy>
  <cp:lastPrinted>2024-08-09T18:20:00Z</cp:lastPrinted>
  <dcterms:modified xsi:type="dcterms:W3CDTF">2025-09-25T10:56:11Z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2052-11.8.2.1130</vt:lpwstr>
  </property>
  <property fmtid="{D5CDD505-2E9C-101B-9397-08002B2CF9AE}" pid="3" name="ICV">
    <vt:lpwstr>BB7B6AA21D207914D6FDA268992A22D6</vt:lpwstr>
  </property>
</Properties>
</file>