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7E1C3">
      <w:pPr>
        <w:pStyle w:val="10"/>
        <w:jc w:val="center"/>
        <w:rPr>
          <w:sz w:val="56"/>
          <w:szCs w:val="56"/>
        </w:rPr>
      </w:pPr>
    </w:p>
    <w:p w14:paraId="7CFBA4E9">
      <w:pPr>
        <w:pStyle w:val="10"/>
        <w:jc w:val="center"/>
        <w:rPr>
          <w:sz w:val="56"/>
          <w:szCs w:val="56"/>
        </w:rPr>
      </w:pPr>
    </w:p>
    <w:p w14:paraId="15A3D23E">
      <w:pPr>
        <w:pStyle w:val="10"/>
        <w:jc w:val="center"/>
        <w:rPr>
          <w:sz w:val="84"/>
          <w:szCs w:val="84"/>
        </w:rPr>
      </w:pPr>
    </w:p>
    <w:p w14:paraId="688EE07A">
      <w:pPr>
        <w:pStyle w:val="10"/>
        <w:jc w:val="center"/>
        <w:rPr>
          <w:sz w:val="84"/>
          <w:szCs w:val="84"/>
        </w:rPr>
      </w:pPr>
    </w:p>
    <w:p w14:paraId="2E75B41D">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14E425F">
      <w:pPr>
        <w:pStyle w:val="10"/>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怀化市农机事务中心</w:t>
      </w:r>
    </w:p>
    <w:p w14:paraId="01407EE5">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6775CF8">
      <w:pPr>
        <w:pStyle w:val="10"/>
        <w:jc w:val="center"/>
        <w:rPr>
          <w:rFonts w:hint="eastAsia" w:ascii="方正小标宋_GBK" w:hAnsi="方正小标宋_GBK" w:eastAsia="方正小标宋_GBK" w:cs="方正小标宋_GBK"/>
          <w:sz w:val="56"/>
          <w:szCs w:val="56"/>
        </w:rPr>
      </w:pPr>
    </w:p>
    <w:p w14:paraId="442BE64F">
      <w:pPr>
        <w:pStyle w:val="10"/>
        <w:jc w:val="center"/>
        <w:rPr>
          <w:sz w:val="56"/>
          <w:szCs w:val="56"/>
        </w:rPr>
      </w:pPr>
    </w:p>
    <w:p w14:paraId="62421A11">
      <w:pPr>
        <w:pStyle w:val="10"/>
        <w:jc w:val="center"/>
        <w:rPr>
          <w:sz w:val="56"/>
          <w:szCs w:val="56"/>
        </w:rPr>
      </w:pPr>
    </w:p>
    <w:p w14:paraId="2100F9B2">
      <w:pPr>
        <w:pStyle w:val="10"/>
        <w:jc w:val="center"/>
        <w:rPr>
          <w:sz w:val="56"/>
          <w:szCs w:val="56"/>
        </w:rPr>
      </w:pPr>
    </w:p>
    <w:p w14:paraId="4A15C381">
      <w:pPr>
        <w:pStyle w:val="10"/>
        <w:jc w:val="center"/>
        <w:rPr>
          <w:sz w:val="32"/>
          <w:szCs w:val="32"/>
        </w:rPr>
      </w:pPr>
    </w:p>
    <w:p w14:paraId="791F673E">
      <w:pPr>
        <w:pStyle w:val="10"/>
        <w:jc w:val="center"/>
        <w:rPr>
          <w:sz w:val="32"/>
          <w:szCs w:val="32"/>
        </w:rPr>
      </w:pPr>
    </w:p>
    <w:p w14:paraId="1E09699B">
      <w:pPr>
        <w:pStyle w:val="10"/>
        <w:jc w:val="center"/>
        <w:rPr>
          <w:sz w:val="32"/>
          <w:szCs w:val="32"/>
        </w:rPr>
      </w:pPr>
    </w:p>
    <w:p w14:paraId="7DB953E9">
      <w:pPr>
        <w:pStyle w:val="10"/>
        <w:jc w:val="center"/>
        <w:rPr>
          <w:sz w:val="32"/>
          <w:szCs w:val="32"/>
        </w:rPr>
      </w:pPr>
    </w:p>
    <w:p w14:paraId="5A10BB45">
      <w:pPr>
        <w:pStyle w:val="10"/>
        <w:jc w:val="center"/>
        <w:rPr>
          <w:sz w:val="32"/>
          <w:szCs w:val="32"/>
        </w:rPr>
      </w:pPr>
    </w:p>
    <w:p w14:paraId="5A8D5F28">
      <w:pPr>
        <w:pStyle w:val="10"/>
        <w:spacing w:line="540" w:lineRule="exact"/>
        <w:jc w:val="center"/>
        <w:rPr>
          <w:sz w:val="56"/>
          <w:szCs w:val="56"/>
        </w:rPr>
      </w:pPr>
    </w:p>
    <w:p w14:paraId="7AD6CDA1">
      <w:pPr>
        <w:pStyle w:val="10"/>
        <w:spacing w:line="500" w:lineRule="exact"/>
        <w:jc w:val="both"/>
        <w:rPr>
          <w:b/>
          <w:sz w:val="36"/>
          <w:szCs w:val="28"/>
        </w:rPr>
      </w:pPr>
    </w:p>
    <w:p w14:paraId="047EB3F4">
      <w:pPr>
        <w:pStyle w:val="10"/>
        <w:spacing w:line="500" w:lineRule="exact"/>
        <w:jc w:val="center"/>
        <w:rPr>
          <w:b/>
          <w:sz w:val="36"/>
          <w:szCs w:val="28"/>
        </w:rPr>
      </w:pPr>
      <w:r>
        <w:rPr>
          <w:rFonts w:hint="eastAsia"/>
          <w:b/>
          <w:sz w:val="36"/>
          <w:szCs w:val="28"/>
        </w:rPr>
        <w:t>目录</w:t>
      </w:r>
    </w:p>
    <w:p w14:paraId="6C441370">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 xml:space="preserve"> 怀化市农机事务中心</w:t>
      </w:r>
      <w:r>
        <w:rPr>
          <w:rFonts w:hint="eastAsia" w:ascii="黑体" w:hAnsi="黑体" w:eastAsia="黑体" w:cs="黑体"/>
          <w:b w:val="0"/>
          <w:bCs/>
          <w:sz w:val="28"/>
          <w:szCs w:val="28"/>
        </w:rPr>
        <w:t>概况</w:t>
      </w:r>
    </w:p>
    <w:p w14:paraId="1A8B8EB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C3C4B4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6F81B55">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E6C3EE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1C76CF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08941A4">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C834630">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8D0EF62">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F8564F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41DB480">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568E42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1DE646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755D95E">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932E1C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16C50ED">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5A5001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DA4327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354157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B1E470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C70798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5D4EA86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77014D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eastAsia="zh-CN"/>
        </w:rPr>
        <w:t>国有资本经营预算</w:t>
      </w:r>
      <w:r>
        <w:rPr>
          <w:rFonts w:hint="eastAsia" w:ascii="仿宋_GB2312" w:hAnsi="仿宋_GB2312" w:eastAsia="仿宋_GB2312" w:cs="仿宋_GB2312"/>
          <w:color w:val="000000"/>
          <w:kern w:val="0"/>
          <w:sz w:val="28"/>
          <w:szCs w:val="28"/>
        </w:rPr>
        <w:t>收入支出决算情况</w:t>
      </w:r>
    </w:p>
    <w:p w14:paraId="0D3EAE4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574E8F1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0E41F62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14:paraId="0171FC1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4A53B4D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14:paraId="0662C931">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EFC8CDA">
      <w:pPr>
        <w:jc w:val="center"/>
        <w:rPr>
          <w:sz w:val="72"/>
          <w:szCs w:val="72"/>
        </w:rPr>
      </w:pPr>
    </w:p>
    <w:p w14:paraId="0F204557">
      <w:pPr>
        <w:jc w:val="center"/>
        <w:rPr>
          <w:sz w:val="72"/>
          <w:szCs w:val="72"/>
        </w:rPr>
      </w:pPr>
    </w:p>
    <w:p w14:paraId="74FF7903">
      <w:pPr>
        <w:jc w:val="center"/>
        <w:rPr>
          <w:sz w:val="72"/>
          <w:szCs w:val="72"/>
        </w:rPr>
      </w:pPr>
    </w:p>
    <w:p w14:paraId="1BDFA944">
      <w:pPr>
        <w:jc w:val="center"/>
        <w:rPr>
          <w:sz w:val="72"/>
          <w:szCs w:val="72"/>
        </w:rPr>
      </w:pPr>
    </w:p>
    <w:p w14:paraId="5B57ED9C">
      <w:pPr>
        <w:rPr>
          <w:rFonts w:hint="eastAsia" w:ascii="方正小标宋_GBK" w:hAnsi="方正小标宋_GBK" w:eastAsia="方正小标宋_GBK" w:cs="方正小标宋_GBK"/>
          <w:sz w:val="72"/>
          <w:szCs w:val="72"/>
        </w:rPr>
      </w:pPr>
    </w:p>
    <w:p w14:paraId="47AF9B2D">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5298C82">
      <w:pPr>
        <w:pStyle w:val="10"/>
        <w:jc w:val="center"/>
        <w:rPr>
          <w:rFonts w:hint="eastAsia" w:ascii="方正小标宋_GBK" w:hAnsi="方正小标宋_GBK" w:eastAsia="方正小标宋_GBK" w:cs="方正小标宋_GBK"/>
          <w:sz w:val="84"/>
          <w:szCs w:val="84"/>
        </w:rPr>
      </w:pPr>
    </w:p>
    <w:p w14:paraId="38A9C5A8">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w:t>
      </w:r>
      <w:r>
        <w:rPr>
          <w:rFonts w:hint="eastAsia"/>
          <w:sz w:val="84"/>
          <w:szCs w:val="84"/>
          <w:lang w:eastAsia="zh-CN"/>
        </w:rPr>
        <w:t>化</w:t>
      </w:r>
      <w:r>
        <w:rPr>
          <w:rFonts w:hint="eastAsia" w:ascii="方正小标宋_GBK" w:hAnsi="方正小标宋_GBK" w:eastAsia="方正小标宋_GBK" w:cs="方正小标宋_GBK"/>
          <w:sz w:val="84"/>
          <w:szCs w:val="84"/>
          <w:lang w:eastAsia="zh-CN"/>
        </w:rPr>
        <w:t>市农机事务中心</w:t>
      </w:r>
      <w:r>
        <w:rPr>
          <w:rFonts w:hint="eastAsia" w:ascii="方正小标宋_GBK" w:hAnsi="方正小标宋_GBK" w:eastAsia="方正小标宋_GBK" w:cs="方正小标宋_GBK"/>
          <w:sz w:val="84"/>
          <w:szCs w:val="84"/>
        </w:rPr>
        <w:t>概况</w:t>
      </w:r>
    </w:p>
    <w:p w14:paraId="2316B250">
      <w:pPr>
        <w:jc w:val="center"/>
        <w:rPr>
          <w:rFonts w:hint="eastAsia" w:ascii="方正小标宋_GBK" w:hAnsi="方正小标宋_GBK" w:eastAsia="方正小标宋_GBK" w:cs="方正小标宋_GBK"/>
          <w:sz w:val="72"/>
          <w:szCs w:val="72"/>
        </w:rPr>
      </w:pPr>
    </w:p>
    <w:p w14:paraId="45562E16">
      <w:pPr>
        <w:jc w:val="center"/>
        <w:rPr>
          <w:rFonts w:hint="eastAsia" w:ascii="方正小标宋_GBK" w:hAnsi="方正小标宋_GBK" w:eastAsia="方正小标宋_GBK" w:cs="方正小标宋_GBK"/>
          <w:sz w:val="72"/>
          <w:szCs w:val="72"/>
        </w:rPr>
      </w:pPr>
    </w:p>
    <w:p w14:paraId="62C4657B">
      <w:pPr>
        <w:jc w:val="center"/>
        <w:rPr>
          <w:sz w:val="72"/>
          <w:szCs w:val="72"/>
        </w:rPr>
      </w:pPr>
    </w:p>
    <w:p w14:paraId="4510EB3F">
      <w:pPr>
        <w:jc w:val="center"/>
        <w:rPr>
          <w:sz w:val="72"/>
          <w:szCs w:val="72"/>
        </w:rPr>
      </w:pPr>
    </w:p>
    <w:p w14:paraId="32CE17D0">
      <w:pPr>
        <w:jc w:val="center"/>
        <w:rPr>
          <w:sz w:val="72"/>
          <w:szCs w:val="72"/>
        </w:rPr>
      </w:pPr>
    </w:p>
    <w:p w14:paraId="0E3C4629">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AED078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（一）</w:t>
      </w:r>
      <w:r>
        <w:rPr>
          <w:rFonts w:hint="eastAsia" w:ascii="仿宋_GB2312" w:hAnsi="仿宋_GB2312" w:eastAsia="仿宋_GB2312" w:cs="仿宋_GB2312"/>
          <w:color w:val="000000"/>
          <w:kern w:val="0"/>
          <w:sz w:val="28"/>
          <w:szCs w:val="28"/>
          <w:lang w:eastAsia="zh-CN"/>
        </w:rPr>
        <w:t>为全市农业机械化发展提供技术性支撑和公益性、事务性服务。</w:t>
      </w:r>
    </w:p>
    <w:p w14:paraId="230DF5A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lang w:eastAsia="zh-CN"/>
        </w:rPr>
        <w:t>）承担全市农业机械化事业发展规划和有关标准、技术规范的研究工作，调查研究农业机械社会化服务和产业化发展的经济、技术问题，开展相关评估论证，提出对策建议。</w:t>
      </w:r>
    </w:p>
    <w:p w14:paraId="7A9BBC3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w:t>
      </w:r>
      <w:r>
        <w:rPr>
          <w:rFonts w:hint="eastAsia" w:ascii="仿宋_GB2312" w:hAnsi="仿宋_GB2312" w:eastAsia="仿宋_GB2312" w:cs="仿宋_GB2312"/>
          <w:color w:val="000000"/>
          <w:kern w:val="0"/>
          <w:sz w:val="28"/>
          <w:szCs w:val="28"/>
          <w:lang w:eastAsia="zh-CN"/>
        </w:rPr>
        <w:t>）为全市农业机械化生产、农机社会化服务、农机维修、农机抗灾救灾、农机安全生产监管等相关工作提供技术支持、服务保障和相关公益服务。承担农业机械从业人员教育培训和职业技能开发工作。</w:t>
      </w:r>
    </w:p>
    <w:p w14:paraId="09B7FD3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四</w:t>
      </w:r>
      <w:r>
        <w:rPr>
          <w:rFonts w:hint="eastAsia" w:ascii="仿宋_GB2312" w:hAnsi="仿宋_GB2312" w:eastAsia="仿宋_GB2312" w:cs="仿宋_GB2312"/>
          <w:color w:val="000000"/>
          <w:kern w:val="0"/>
          <w:sz w:val="28"/>
          <w:szCs w:val="28"/>
          <w:lang w:eastAsia="zh-CN"/>
        </w:rPr>
        <w:t>）承担农业机械补贴政策实施相关事务性工作。</w:t>
      </w:r>
    </w:p>
    <w:p w14:paraId="3178557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五</w:t>
      </w:r>
      <w:r>
        <w:rPr>
          <w:rFonts w:hint="eastAsia" w:ascii="仿宋_GB2312" w:hAnsi="仿宋_GB2312" w:eastAsia="仿宋_GB2312" w:cs="仿宋_GB2312"/>
          <w:color w:val="000000"/>
          <w:kern w:val="0"/>
          <w:sz w:val="28"/>
          <w:szCs w:val="28"/>
          <w:lang w:eastAsia="zh-CN"/>
        </w:rPr>
        <w:t>）承担农业机械化信息网络建设运行、农业机械化生产信息统计工作。</w:t>
      </w:r>
    </w:p>
    <w:p w14:paraId="300432F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六</w:t>
      </w:r>
      <w:r>
        <w:rPr>
          <w:rFonts w:hint="eastAsia" w:ascii="仿宋_GB2312" w:hAnsi="仿宋_GB2312" w:eastAsia="仿宋_GB2312" w:cs="仿宋_GB2312"/>
          <w:color w:val="000000"/>
          <w:kern w:val="0"/>
          <w:sz w:val="28"/>
          <w:szCs w:val="28"/>
          <w:lang w:eastAsia="zh-CN"/>
        </w:rPr>
        <w:t>）承担农业机械化新机具、新技术的引进和示范推广等相关技术性、事务性工作。</w:t>
      </w:r>
    </w:p>
    <w:p w14:paraId="3B350BC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（七）指导、服务农机合作社等新型农机服务组织建设与发展。</w:t>
      </w:r>
    </w:p>
    <w:p w14:paraId="5C61691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八</w:t>
      </w:r>
      <w:r>
        <w:rPr>
          <w:rFonts w:hint="eastAsia" w:ascii="仿宋_GB2312" w:hAnsi="仿宋_GB2312" w:eastAsia="仿宋_GB2312" w:cs="仿宋_GB2312"/>
          <w:color w:val="000000"/>
          <w:kern w:val="0"/>
          <w:sz w:val="28"/>
          <w:szCs w:val="28"/>
          <w:lang w:eastAsia="zh-CN"/>
        </w:rPr>
        <w:t>）对县市区农机事务中心进行业务和技术指导，联系市农机行业协会等社会组织。</w:t>
      </w:r>
    </w:p>
    <w:p w14:paraId="2A76EC5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lang w:eastAsia="zh-CN"/>
        </w:rPr>
        <w:t>）承担市农业农村局交办的其他事项。</w:t>
      </w:r>
    </w:p>
    <w:p w14:paraId="2CB3564C">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5C8895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（一）内设机构设置。怀化市农机事务中心作为怀化市农业农村局的二级部门预算单位，内设科室包括：综合部、人事和财务部、生产服务部、产业发展部、安全监理部。</w:t>
      </w:r>
    </w:p>
    <w:p w14:paraId="29F3DE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（二）决算单位构成。怀化市农机事务中心20</w:t>
      </w:r>
      <w:r>
        <w:rPr>
          <w:rFonts w:hint="eastAsia" w:ascii="仿宋_GB2312" w:hAnsi="仿宋_GB2312" w:eastAsia="仿宋_GB2312" w:cs="仿宋_GB2312"/>
          <w:color w:val="000000"/>
          <w:kern w:val="0"/>
          <w:sz w:val="28"/>
          <w:szCs w:val="28"/>
          <w:lang w:val="en-US" w:eastAsia="zh-CN"/>
        </w:rPr>
        <w:t>23</w:t>
      </w:r>
      <w:r>
        <w:rPr>
          <w:rFonts w:hint="eastAsia" w:ascii="仿宋_GB2312" w:hAnsi="仿宋_GB2312" w:eastAsia="仿宋_GB2312" w:cs="仿宋_GB2312"/>
          <w:color w:val="000000"/>
          <w:kern w:val="0"/>
          <w:sz w:val="28"/>
          <w:szCs w:val="28"/>
          <w:lang w:eastAsia="zh-CN"/>
        </w:rPr>
        <w:t>年部门决算汇总公开单位构成包括：怀化市农机事务中心。</w:t>
      </w:r>
    </w:p>
    <w:p w14:paraId="4290618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p>
    <w:p w14:paraId="61AEA709">
      <w:pPr>
        <w:jc w:val="left"/>
        <w:rPr>
          <w:rFonts w:ascii="仿宋_GB2312" w:eastAsia="仿宋_GB2312" w:hAnsiTheme="minorEastAsia"/>
          <w:sz w:val="28"/>
          <w:szCs w:val="32"/>
        </w:rPr>
      </w:pPr>
    </w:p>
    <w:p w14:paraId="5631D8FD">
      <w:pPr>
        <w:jc w:val="center"/>
        <w:rPr>
          <w:rFonts w:ascii="黑体" w:hAnsi="黑体" w:eastAsia="黑体"/>
          <w:sz w:val="28"/>
          <w:szCs w:val="28"/>
        </w:rPr>
      </w:pPr>
    </w:p>
    <w:p w14:paraId="5B32C35C">
      <w:pPr>
        <w:jc w:val="center"/>
        <w:rPr>
          <w:rFonts w:ascii="黑体" w:hAnsi="黑体" w:eastAsia="黑体"/>
          <w:sz w:val="28"/>
          <w:szCs w:val="28"/>
        </w:rPr>
      </w:pPr>
    </w:p>
    <w:p w14:paraId="27DDD3FA">
      <w:pPr>
        <w:jc w:val="center"/>
        <w:rPr>
          <w:rFonts w:ascii="黑体" w:hAnsi="黑体" w:eastAsia="黑体"/>
          <w:sz w:val="28"/>
          <w:szCs w:val="28"/>
        </w:rPr>
      </w:pPr>
    </w:p>
    <w:p w14:paraId="176DC8C9">
      <w:pPr>
        <w:jc w:val="center"/>
        <w:rPr>
          <w:rFonts w:ascii="黑体" w:hAnsi="黑体" w:eastAsia="黑体"/>
          <w:sz w:val="28"/>
          <w:szCs w:val="28"/>
        </w:rPr>
      </w:pPr>
    </w:p>
    <w:p w14:paraId="487E8E0B">
      <w:pPr>
        <w:jc w:val="center"/>
        <w:rPr>
          <w:rFonts w:ascii="黑体" w:hAnsi="黑体" w:eastAsia="黑体"/>
          <w:sz w:val="28"/>
          <w:szCs w:val="28"/>
        </w:rPr>
      </w:pPr>
    </w:p>
    <w:p w14:paraId="317DDE93">
      <w:pPr>
        <w:jc w:val="center"/>
        <w:rPr>
          <w:rFonts w:ascii="黑体" w:hAnsi="黑体" w:eastAsia="黑体"/>
          <w:sz w:val="28"/>
          <w:szCs w:val="28"/>
        </w:rPr>
      </w:pPr>
    </w:p>
    <w:p w14:paraId="0042787E">
      <w:pPr>
        <w:pStyle w:val="10"/>
        <w:ind w:firstLine="3360" w:firstLineChars="4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6395E7C">
      <w:pPr>
        <w:pStyle w:val="10"/>
        <w:jc w:val="center"/>
        <w:rPr>
          <w:rFonts w:hint="eastAsia" w:ascii="方正小标宋_GBK" w:hAnsi="方正小标宋_GBK" w:eastAsia="方正小标宋_GBK" w:cs="方正小标宋_GBK"/>
          <w:sz w:val="84"/>
          <w:szCs w:val="84"/>
        </w:rPr>
      </w:pPr>
    </w:p>
    <w:p w14:paraId="35A26E91">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FA601AB">
      <w:pPr>
        <w:jc w:val="center"/>
        <w:rPr>
          <w:rFonts w:hint="eastAsia"/>
          <w:sz w:val="72"/>
          <w:szCs w:val="72"/>
          <w:lang w:eastAsia="zh-CN"/>
        </w:rPr>
      </w:pPr>
    </w:p>
    <w:p w14:paraId="00C4AD11">
      <w:pPr>
        <w:jc w:val="center"/>
        <w:rPr>
          <w:sz w:val="56"/>
          <w:szCs w:val="56"/>
        </w:rPr>
        <w:sectPr>
          <w:pgSz w:w="11906" w:h="16838"/>
          <w:pgMar w:top="720" w:right="720" w:bottom="720" w:left="720" w:header="851" w:footer="992" w:gutter="0"/>
          <w:cols w:space="425" w:num="1"/>
          <w:docGrid w:type="lines" w:linePitch="312" w:charSpace="0"/>
        </w:sectPr>
      </w:pPr>
      <w:r>
        <w:rPr>
          <w:rFonts w:hint="eastAsia"/>
          <w:sz w:val="52"/>
          <w:szCs w:val="52"/>
          <w:lang w:eastAsia="zh-CN"/>
        </w:rPr>
        <w:t>（见附件）</w:t>
      </w:r>
      <w:bookmarkStart w:id="0" w:name="RANGE!A1:I22"/>
      <w:bookmarkEnd w:id="0"/>
    </w:p>
    <w:p w14:paraId="15E28DA9">
      <w:pPr>
        <w:pStyle w:val="10"/>
        <w:rPr>
          <w:sz w:val="72"/>
          <w:szCs w:val="72"/>
        </w:rPr>
      </w:pPr>
    </w:p>
    <w:p w14:paraId="7CB4D24C">
      <w:pPr>
        <w:pStyle w:val="10"/>
        <w:rPr>
          <w:sz w:val="72"/>
          <w:szCs w:val="72"/>
        </w:rPr>
      </w:pPr>
    </w:p>
    <w:p w14:paraId="45943A96">
      <w:pPr>
        <w:pStyle w:val="10"/>
        <w:rPr>
          <w:sz w:val="72"/>
          <w:szCs w:val="72"/>
        </w:rPr>
      </w:pPr>
    </w:p>
    <w:p w14:paraId="1FC53B10">
      <w:pPr>
        <w:pStyle w:val="10"/>
        <w:jc w:val="center"/>
        <w:rPr>
          <w:sz w:val="72"/>
          <w:szCs w:val="72"/>
        </w:rPr>
      </w:pPr>
    </w:p>
    <w:p w14:paraId="220EBC85">
      <w:pPr>
        <w:pStyle w:val="10"/>
        <w:jc w:val="center"/>
        <w:rPr>
          <w:rFonts w:hint="eastAsia" w:ascii="方正小标宋_GBK" w:hAnsi="方正小标宋_GBK" w:eastAsia="方正小标宋_GBK" w:cs="方正小标宋_GBK"/>
          <w:sz w:val="72"/>
          <w:szCs w:val="72"/>
        </w:rPr>
      </w:pPr>
    </w:p>
    <w:p w14:paraId="0170AAF7">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84456F5">
      <w:pPr>
        <w:pStyle w:val="10"/>
        <w:jc w:val="center"/>
        <w:rPr>
          <w:rFonts w:hint="eastAsia" w:ascii="方正小标宋_GBK" w:hAnsi="方正小标宋_GBK" w:eastAsia="方正小标宋_GBK" w:cs="方正小标宋_GBK"/>
          <w:sz w:val="70"/>
          <w:szCs w:val="70"/>
        </w:rPr>
      </w:pPr>
    </w:p>
    <w:p w14:paraId="40CEAE33">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37C55CD4">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37A2BE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697F2253">
      <w:pPr>
        <w:pStyle w:val="10"/>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highlight w:val="lightGray"/>
          <w:lang w:eastAsia="zh-CN"/>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度收、支总计</w:t>
      </w:r>
      <w:r>
        <w:rPr>
          <w:rFonts w:hint="eastAsia" w:ascii="Times New Roman" w:hAnsi="Times New Roman" w:eastAsia="仿宋_GB2312"/>
          <w:sz w:val="32"/>
          <w:szCs w:val="32"/>
          <w:lang w:val="en-US" w:eastAsia="zh-CN"/>
        </w:rPr>
        <w:t>320.55</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26.12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8.87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2023年新进人员增加</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人员</w:t>
      </w:r>
      <w:r>
        <w:rPr>
          <w:rFonts w:hint="eastAsia" w:ascii="Times New Roman" w:hAnsi="Times New Roman" w:eastAsia="仿宋_GB2312"/>
          <w:sz w:val="32"/>
          <w:szCs w:val="32"/>
          <w:highlight w:val="none"/>
        </w:rPr>
        <w:t>经费</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lang w:val="en-US" w:eastAsia="zh-CN"/>
        </w:rPr>
        <w:t>。</w:t>
      </w:r>
    </w:p>
    <w:p w14:paraId="710657A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68ED874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度收入合计</w:t>
      </w:r>
      <w:r>
        <w:rPr>
          <w:rFonts w:hint="eastAsia" w:ascii="Times New Roman" w:hAnsi="Times New Roman" w:eastAsia="仿宋_GB2312"/>
          <w:sz w:val="32"/>
          <w:szCs w:val="32"/>
          <w:lang w:val="en-US" w:eastAsia="zh-CN"/>
        </w:rPr>
        <w:t>313.24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300.26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95.86</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12.98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4.14</w:t>
      </w:r>
      <w:r>
        <w:rPr>
          <w:rFonts w:hint="eastAsia" w:ascii="Times New Roman" w:hAnsi="Times New Roman" w:eastAsia="仿宋_GB2312"/>
          <w:sz w:val="32"/>
          <w:szCs w:val="32"/>
        </w:rPr>
        <w:t>%。</w:t>
      </w:r>
    </w:p>
    <w:p w14:paraId="1DAC777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3172B1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度支出合计</w:t>
      </w:r>
      <w:r>
        <w:rPr>
          <w:rFonts w:hint="eastAsia" w:ascii="Times New Roman" w:hAnsi="Times New Roman" w:eastAsia="仿宋_GB2312"/>
          <w:sz w:val="32"/>
          <w:szCs w:val="32"/>
          <w:lang w:val="en-US" w:eastAsia="zh-CN"/>
        </w:rPr>
        <w:t>320.55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282.78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88.22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37.77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11.78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6545D6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763BE5E">
      <w:pPr>
        <w:pStyle w:val="10"/>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度财政拨款收、支总计</w:t>
      </w:r>
      <w:r>
        <w:rPr>
          <w:rFonts w:hint="eastAsia" w:ascii="Times New Roman" w:hAnsi="Times New Roman" w:eastAsia="仿宋_GB2312"/>
          <w:color w:val="auto"/>
          <w:sz w:val="32"/>
          <w:szCs w:val="32"/>
          <w:lang w:val="en-US" w:eastAsia="zh-CN"/>
        </w:rPr>
        <w:t>300.26</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color w:val="auto"/>
          <w:sz w:val="32"/>
          <w:szCs w:val="32"/>
          <w:lang w:val="en-US" w:eastAsia="zh-CN"/>
        </w:rPr>
        <w:t>11.18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3.88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有新进</w:t>
      </w:r>
      <w:r>
        <w:rPr>
          <w:rFonts w:hint="eastAsia" w:ascii="Times New Roman" w:hAnsi="Times New Roman" w:eastAsia="仿宋_GB2312"/>
          <w:sz w:val="32"/>
          <w:szCs w:val="32"/>
          <w:highlight w:val="none"/>
          <w:lang w:eastAsia="zh-CN"/>
        </w:rPr>
        <w:t>人员，人员经费增加。</w:t>
      </w:r>
    </w:p>
    <w:p w14:paraId="66CF368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352FCB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48F86F6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度财政拨款支出</w:t>
      </w:r>
      <w:r>
        <w:rPr>
          <w:rFonts w:hint="eastAsia" w:ascii="Times New Roman" w:hAnsi="Times New Roman" w:eastAsia="仿宋_GB2312"/>
          <w:color w:val="auto"/>
          <w:sz w:val="32"/>
          <w:szCs w:val="32"/>
          <w:lang w:val="en-US" w:eastAsia="zh-CN"/>
        </w:rPr>
        <w:t>300.26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93.67</w:t>
      </w:r>
      <w:r>
        <w:rPr>
          <w:rFonts w:hint="eastAsia" w:ascii="Times New Roman" w:hAnsi="Times New Roman" w:eastAsia="仿宋_GB2312"/>
          <w:sz w:val="32"/>
          <w:szCs w:val="32"/>
        </w:rPr>
        <w:t>%，与上年相比，财政拨款</w:t>
      </w:r>
      <w:r>
        <w:rPr>
          <w:rFonts w:hint="eastAsia" w:ascii="Times New Roman" w:hAnsi="Times New Roman" w:eastAsia="仿宋_GB2312"/>
          <w:sz w:val="32"/>
          <w:szCs w:val="32"/>
          <w:lang w:eastAsia="zh-CN"/>
        </w:rPr>
        <w:t>支出增加</w:t>
      </w:r>
      <w:r>
        <w:rPr>
          <w:rFonts w:hint="eastAsia" w:ascii="Times New Roman" w:hAnsi="Times New Roman" w:eastAsia="仿宋_GB2312"/>
          <w:color w:val="auto"/>
          <w:sz w:val="32"/>
          <w:szCs w:val="32"/>
          <w:lang w:val="en-US" w:eastAsia="zh-CN"/>
        </w:rPr>
        <w:t>11.18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3.88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有新进</w:t>
      </w:r>
      <w:r>
        <w:rPr>
          <w:rFonts w:hint="eastAsia" w:ascii="Times New Roman" w:hAnsi="Times New Roman" w:eastAsia="仿宋_GB2312"/>
          <w:sz w:val="32"/>
          <w:szCs w:val="32"/>
          <w:highlight w:val="none"/>
          <w:lang w:eastAsia="zh-CN"/>
        </w:rPr>
        <w:t>人员，人员经费增加。</w:t>
      </w:r>
    </w:p>
    <w:p w14:paraId="06F395BB">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7F526296">
      <w:pPr>
        <w:pStyle w:val="10"/>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度财政拨款支出</w:t>
      </w:r>
      <w:r>
        <w:rPr>
          <w:rFonts w:hint="eastAsia" w:ascii="Times New Roman" w:hAnsi="Times New Roman" w:eastAsia="仿宋_GB2312"/>
          <w:sz w:val="32"/>
          <w:szCs w:val="32"/>
          <w:lang w:val="en-US" w:eastAsia="zh-CN"/>
        </w:rPr>
        <w:t>300.26</w:t>
      </w:r>
      <w:r>
        <w:rPr>
          <w:rFonts w:hint="eastAsia" w:ascii="Times New Roman" w:hAnsi="Times New Roman" w:eastAsia="仿宋_GB2312"/>
          <w:sz w:val="32"/>
          <w:szCs w:val="32"/>
        </w:rPr>
        <w:t>万元，主要用于以下方面：社会保障和就业（类）支出</w:t>
      </w:r>
      <w:r>
        <w:rPr>
          <w:rFonts w:hint="eastAsia" w:ascii="Times New Roman" w:hAnsi="Times New Roman" w:eastAsia="仿宋_GB2312"/>
          <w:sz w:val="32"/>
          <w:szCs w:val="32"/>
          <w:lang w:val="en-US" w:eastAsia="zh-CN"/>
        </w:rPr>
        <w:t>63.66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21.2</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9.85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3.28</w:t>
      </w:r>
      <w:r>
        <w:rPr>
          <w:rFonts w:hint="eastAsia" w:ascii="Times New Roman" w:hAnsi="Times New Roman" w:eastAsia="仿宋_GB2312"/>
          <w:sz w:val="32"/>
          <w:szCs w:val="32"/>
        </w:rPr>
        <w:t>%;农林水（类）支出</w:t>
      </w:r>
      <w:r>
        <w:rPr>
          <w:rFonts w:hint="eastAsia" w:ascii="Times New Roman" w:hAnsi="Times New Roman" w:eastAsia="仿宋_GB2312"/>
          <w:sz w:val="32"/>
          <w:szCs w:val="32"/>
          <w:lang w:val="en-US" w:eastAsia="zh-CN"/>
        </w:rPr>
        <w:t>221.75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73.85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；交通运输（类）支出</w:t>
      </w:r>
      <w:r>
        <w:rPr>
          <w:rFonts w:hint="eastAsia" w:ascii="Times New Roman" w:hAnsi="Times New Roman" w:eastAsia="仿宋_GB2312"/>
          <w:sz w:val="32"/>
          <w:szCs w:val="32"/>
          <w:lang w:val="en-US" w:eastAsia="zh-CN"/>
        </w:rPr>
        <w:t>5万元，占1.67%</w:t>
      </w:r>
      <w:r>
        <w:rPr>
          <w:rFonts w:hint="eastAsia" w:ascii="Times New Roman" w:hAnsi="Times New Roman" w:eastAsia="仿宋_GB2312"/>
          <w:sz w:val="32"/>
          <w:szCs w:val="32"/>
          <w:lang w:eastAsia="zh-CN"/>
        </w:rPr>
        <w:t>。</w:t>
      </w:r>
    </w:p>
    <w:p w14:paraId="0FCC397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28DF8CA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度财政拨款支出年初预算数为</w:t>
      </w:r>
      <w:r>
        <w:rPr>
          <w:rFonts w:hint="eastAsia" w:ascii="Times New Roman" w:hAnsi="Times New Roman" w:eastAsia="仿宋_GB2312"/>
          <w:sz w:val="32"/>
          <w:szCs w:val="32"/>
          <w:lang w:val="en-US" w:eastAsia="zh-CN"/>
        </w:rPr>
        <w:t>293.87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300.26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102.17</w:t>
      </w:r>
      <w:r>
        <w:rPr>
          <w:rFonts w:hint="eastAsia" w:ascii="Times New Roman" w:hAnsi="Times New Roman" w:eastAsia="仿宋_GB2312"/>
          <w:sz w:val="32"/>
          <w:szCs w:val="32"/>
        </w:rPr>
        <w:t>%，其中：</w:t>
      </w:r>
    </w:p>
    <w:p w14:paraId="1548494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1、社会保障和就业支出（类）行政事业单位养老支出（款）事业单位离退休（项）。</w:t>
      </w:r>
    </w:p>
    <w:p w14:paraId="77C872A6">
      <w:pPr>
        <w:pStyle w:val="10"/>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41.8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rPr>
        <w:t>万元，完成年初预算的</w:t>
      </w:r>
      <w:r>
        <w:rPr>
          <w:rFonts w:hint="eastAsia" w:ascii="Times New Roman" w:hAnsi="Times New Roman" w:eastAsia="仿宋_GB2312"/>
          <w:color w:val="auto"/>
          <w:sz w:val="32"/>
          <w:szCs w:val="32"/>
          <w:lang w:val="en-US" w:eastAsia="zh-CN"/>
        </w:rPr>
        <w:t>10.29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highlight w:val="none"/>
          <w:lang w:val="en-US" w:eastAsia="zh-CN"/>
        </w:rPr>
        <w:t>年初预算含离退休人员2023年度一次性补助，执行中在“其他行政事业单位养老支出”功能科目下开支。</w:t>
      </w:r>
    </w:p>
    <w:p w14:paraId="7D5B9C9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社会保障和就业支出（类）行政事业单位养老支出（款）机关事业单位基本养老保险缴费支出（项）。</w:t>
      </w:r>
    </w:p>
    <w:p w14:paraId="78B17A1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19.35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20.31</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eastAsia="zh-CN"/>
        </w:rPr>
        <w:t>的</w:t>
      </w:r>
      <w:r>
        <w:rPr>
          <w:rFonts w:hint="eastAsia" w:ascii="Times New Roman" w:hAnsi="Times New Roman" w:eastAsia="仿宋_GB2312"/>
          <w:color w:val="auto"/>
          <w:sz w:val="32"/>
          <w:szCs w:val="32"/>
          <w:lang w:val="en-US" w:eastAsia="zh-CN"/>
        </w:rPr>
        <w:t>104.96</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highlight w:val="none"/>
          <w:lang w:val="en-US" w:eastAsia="zh-CN"/>
        </w:rPr>
        <w:t xml:space="preserve"> 预算未含新进人员的养老保险费用，年中在执行中增加。</w:t>
      </w:r>
    </w:p>
    <w:p w14:paraId="37C2EBD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社会保障和就业支出（类）行政事业单位养老支出（款）其他行政事业单位养老支出（项）。</w:t>
      </w:r>
    </w:p>
    <w:p w14:paraId="373C2E0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eastAsia="仿宋_GB2312" w:asciiTheme="minorEastAsia" w:hAnsi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38.87</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年初预算列</w:t>
      </w:r>
      <w:r>
        <w:rPr>
          <w:rFonts w:hint="eastAsia" w:ascii="Times New Roman" w:hAnsi="Times New Roman" w:eastAsia="仿宋_GB2312"/>
          <w:sz w:val="32"/>
          <w:szCs w:val="32"/>
          <w:lang w:eastAsia="zh-CN"/>
        </w:rPr>
        <w:t>在“事业单位离退休”功能科目下。</w:t>
      </w:r>
    </w:p>
    <w:p w14:paraId="2EA9972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、卫生健康支出（类）行政事业单位医疗（款）行政单位医疗（项）。</w:t>
      </w:r>
    </w:p>
    <w:p w14:paraId="23FF9D4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8.02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9.85</w:t>
      </w:r>
      <w:r>
        <w:rPr>
          <w:rFonts w:hint="eastAsia" w:ascii="Times New Roman" w:hAnsi="Times New Roman" w:eastAsia="仿宋_GB2312"/>
          <w:sz w:val="32"/>
          <w:szCs w:val="32"/>
        </w:rPr>
        <w:t>万元，完成年初预算的</w:t>
      </w:r>
      <w:r>
        <w:rPr>
          <w:rFonts w:hint="eastAsia" w:ascii="Times New Roman" w:hAnsi="Times New Roman" w:eastAsia="仿宋_GB2312"/>
          <w:color w:val="auto"/>
          <w:sz w:val="32"/>
          <w:szCs w:val="32"/>
          <w:lang w:val="en-US" w:eastAsia="zh-CN"/>
        </w:rPr>
        <w:t>122.82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highlight w:val="none"/>
          <w:lang w:val="en-US" w:eastAsia="zh-CN"/>
        </w:rPr>
        <w:t>预算未含新进人员的养老保险费用，年中在执行中增加。</w:t>
      </w:r>
    </w:p>
    <w:p w14:paraId="1CC8CE0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卫生健康支出（类）行政事业单位医疗（款）</w:t>
      </w:r>
      <w:r>
        <w:rPr>
          <w:rFonts w:hint="eastAsia" w:ascii="Times New Roman" w:hAnsi="Times New Roman" w:eastAsia="仿宋_GB2312"/>
          <w:sz w:val="32"/>
          <w:szCs w:val="32"/>
          <w:lang w:eastAsia="zh-CN"/>
        </w:rPr>
        <w:t>其他行政事业单位医疗支出</w:t>
      </w:r>
      <w:r>
        <w:rPr>
          <w:rFonts w:hint="eastAsia" w:ascii="Times New Roman" w:hAnsi="Times New Roman" w:eastAsia="仿宋_GB2312"/>
          <w:sz w:val="32"/>
          <w:szCs w:val="32"/>
        </w:rPr>
        <w:t>（项）。</w:t>
      </w:r>
    </w:p>
    <w:p w14:paraId="059F9B7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eastAsia="仿宋_GB2312" w:asciiTheme="minorEastAsia" w:hAnsiTheme="minorEastAsia"/>
          <w:sz w:val="32"/>
          <w:szCs w:val="32"/>
          <w:highlight w:val="lightGray"/>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年初预算未包含建国初期参加工作离退休人员医疗补助。</w:t>
      </w:r>
    </w:p>
    <w:p w14:paraId="0691D83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heme="minorEastAsia" w:hAnsiTheme="minorEastAsia" w:eastAsiaTheme="minorEastAsia"/>
          <w:sz w:val="32"/>
          <w:szCs w:val="32"/>
          <w:highlight w:val="lightGray"/>
          <w:lang w:val="en-US" w:eastAsia="zh-CN"/>
        </w:rPr>
      </w:pPr>
    </w:p>
    <w:p w14:paraId="321D6E8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heme="minorEastAsia" w:hAnsiTheme="minorEastAsia" w:eastAsiaTheme="minorEastAsia"/>
          <w:sz w:val="32"/>
          <w:szCs w:val="32"/>
          <w:highlight w:val="lightGray"/>
          <w:lang w:val="en-US" w:eastAsia="zh-CN"/>
        </w:rPr>
      </w:pPr>
    </w:p>
    <w:p w14:paraId="14D91951">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、农林水支出（类）农业农村（款）行政运行（项）。</w:t>
      </w:r>
    </w:p>
    <w:p w14:paraId="19A4679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184.01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171.15</w:t>
      </w:r>
      <w:r>
        <w:rPr>
          <w:rFonts w:hint="eastAsia" w:ascii="Times New Roman" w:hAnsi="Times New Roman" w:eastAsia="仿宋_GB2312"/>
          <w:sz w:val="32"/>
          <w:szCs w:val="32"/>
        </w:rPr>
        <w:t>万元，完成年初预算的</w:t>
      </w:r>
      <w:r>
        <w:rPr>
          <w:rFonts w:hint="eastAsia" w:ascii="Times New Roman" w:hAnsi="Times New Roman" w:eastAsia="仿宋_GB2312"/>
          <w:color w:val="auto"/>
          <w:sz w:val="32"/>
          <w:szCs w:val="32"/>
          <w:lang w:val="en-US" w:eastAsia="zh-CN"/>
        </w:rPr>
        <w:t>93.01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年初预算包含的绩效奖执行中</w:t>
      </w:r>
      <w:r>
        <w:rPr>
          <w:rFonts w:hint="eastAsia" w:ascii="Times New Roman" w:hAnsi="Times New Roman" w:eastAsia="仿宋_GB2312"/>
          <w:sz w:val="32"/>
          <w:szCs w:val="32"/>
          <w:lang w:val="en-US" w:eastAsia="zh-CN"/>
        </w:rPr>
        <w:t>在“其他农业农村支出”中列支。</w:t>
      </w:r>
    </w:p>
    <w:p w14:paraId="68121B6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农林水支出（类）农业农村（款）</w:t>
      </w:r>
      <w:r>
        <w:rPr>
          <w:rFonts w:hint="eastAsia" w:ascii="Times New Roman" w:hAnsi="Times New Roman" w:eastAsia="仿宋_GB2312"/>
          <w:sz w:val="32"/>
          <w:szCs w:val="32"/>
          <w:lang w:eastAsia="zh-CN"/>
        </w:rPr>
        <w:t>事业运行</w:t>
      </w:r>
      <w:r>
        <w:rPr>
          <w:rFonts w:hint="eastAsia" w:ascii="Times New Roman" w:hAnsi="Times New Roman" w:eastAsia="仿宋_GB2312"/>
          <w:sz w:val="32"/>
          <w:szCs w:val="32"/>
        </w:rPr>
        <w:t>（项）。</w:t>
      </w:r>
    </w:p>
    <w:p w14:paraId="7817D2F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lightGray"/>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单位部分社保缴费个人部分以及部分日常运行费用在此项开支。</w:t>
      </w:r>
    </w:p>
    <w:p w14:paraId="7E2B370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农林水支出（类）农业农村（款）科技转化与推广服务（项）。</w:t>
      </w:r>
    </w:p>
    <w:p w14:paraId="0AD1A19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12.77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98.23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年底报账出错未及时更正至指标被收回。</w:t>
      </w:r>
    </w:p>
    <w:p w14:paraId="7C2905C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农林水支出（类）农业农村（款）执法监管（项）。</w:t>
      </w:r>
    </w:p>
    <w:p w14:paraId="1326441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302CA33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农林水支出（类）农业农村（款）农业生产发展（项）。</w:t>
      </w:r>
    </w:p>
    <w:p w14:paraId="6486518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7892AA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农林水支出（类）农业农村（款）其他农业农村支出（项）。</w:t>
      </w:r>
    </w:p>
    <w:p w14:paraId="5DB8ED1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2.63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17.83</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年初预算列在“行政运行”功能科目下的绩效奖金在此项列支。</w:t>
      </w:r>
    </w:p>
    <w:p w14:paraId="7F97862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12、住房保障支出（类）住房改革支出（款）住房公积金（项）。</w:t>
      </w:r>
    </w:p>
    <w:p w14:paraId="2CBEE4EA">
      <w:pPr>
        <w:pStyle w:val="10"/>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eastAsia="zh-CN"/>
        </w:rPr>
        <w:t>年初预算为</w:t>
      </w:r>
      <w:r>
        <w:rPr>
          <w:rFonts w:hint="eastAsia" w:ascii="Times New Roman" w:hAnsi="Times New Roman" w:eastAsia="仿宋_GB2312"/>
          <w:color w:val="auto"/>
          <w:sz w:val="32"/>
          <w:szCs w:val="32"/>
          <w:lang w:val="en-US" w:eastAsia="zh-CN"/>
        </w:rPr>
        <w:t>15.06</w:t>
      </w:r>
      <w:r>
        <w:rPr>
          <w:rFonts w:hint="eastAsia" w:ascii="Times New Roman" w:hAnsi="Times New Roman" w:eastAsia="仿宋_GB2312"/>
          <w:sz w:val="32"/>
          <w:szCs w:val="32"/>
          <w:lang w:val="en-US" w:eastAsia="zh-CN"/>
        </w:rPr>
        <w:t>万元，支出决算为0万元，决算数小于年初预算的主要原因是：</w:t>
      </w:r>
      <w:r>
        <w:rPr>
          <w:rFonts w:hint="eastAsia" w:ascii="Times New Roman" w:hAnsi="Times New Roman" w:eastAsia="仿宋_GB2312"/>
          <w:sz w:val="32"/>
          <w:szCs w:val="32"/>
          <w:highlight w:val="none"/>
          <w:lang w:val="en-US" w:eastAsia="zh-CN"/>
        </w:rPr>
        <w:t>执行中在“行政运行”功能科目下列支。</w:t>
      </w:r>
    </w:p>
    <w:p w14:paraId="1B15E47F">
      <w:pPr>
        <w:pStyle w:val="10"/>
        <w:keepNext w:val="0"/>
        <w:keepLines w:val="0"/>
        <w:pageBreakBefore w:val="0"/>
        <w:numPr>
          <w:ilvl w:val="0"/>
          <w:numId w:val="2"/>
        </w:numPr>
        <w:kinsoku/>
        <w:wordWrap/>
        <w:overflowPunct/>
        <w:topLinePunct w:val="0"/>
        <w:bidi w:val="0"/>
        <w:adjustRightInd/>
        <w:snapToGrid/>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交通运输支出（类）其他交通运输支出（款）其他交通运输支出（项）。</w:t>
      </w:r>
    </w:p>
    <w:p w14:paraId="37C5F5FC">
      <w:pPr>
        <w:pStyle w:val="10"/>
        <w:keepNext w:val="0"/>
        <w:keepLines w:val="0"/>
        <w:pageBreakBefore w:val="0"/>
        <w:kinsoku/>
        <w:wordWrap/>
        <w:overflowPunct/>
        <w:topLinePunct w:val="0"/>
        <w:bidi w:val="0"/>
        <w:adjustRightInd/>
        <w:snapToGrid/>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 xml:space="preserve"> </w:t>
      </w:r>
      <w:r>
        <w:rPr>
          <w:rFonts w:hint="eastAsia" w:ascii="Times New Roman" w:hAnsi="Times New Roman" w:eastAsia="仿宋_GB2312"/>
          <w:sz w:val="32"/>
          <w:szCs w:val="32"/>
          <w:lang w:val="en-US" w:eastAsia="zh-CN"/>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sz w:val="32"/>
          <w:szCs w:val="32"/>
          <w:lang w:val="en-US" w:eastAsia="zh-CN"/>
        </w:rPr>
        <w:t>万元，支出决算为5万元，决算数大于年初预算的主要原因是：</w:t>
      </w:r>
      <w:r>
        <w:rPr>
          <w:rFonts w:hint="eastAsia" w:ascii="Times New Roman" w:hAnsi="Times New Roman" w:eastAsia="仿宋_GB2312"/>
          <w:sz w:val="32"/>
          <w:szCs w:val="32"/>
          <w:lang w:eastAsia="zh-CN"/>
        </w:rPr>
        <w:t>年初预算未包含此项处理交通顽瘴痼疾所拨业务经费。</w:t>
      </w:r>
    </w:p>
    <w:p w14:paraId="38C9205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ED1709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度财政拨款基本支出</w:t>
      </w:r>
      <w:r>
        <w:rPr>
          <w:rFonts w:hint="eastAsia" w:ascii="Times New Roman" w:hAnsi="Times New Roman" w:eastAsia="仿宋_GB2312"/>
          <w:sz w:val="32"/>
          <w:szCs w:val="32"/>
          <w:lang w:val="en-US" w:eastAsia="zh-CN"/>
        </w:rPr>
        <w:t>262.49</w:t>
      </w:r>
      <w:r>
        <w:rPr>
          <w:rFonts w:hint="eastAsia" w:ascii="Times New Roman" w:hAnsi="Times New Roman" w:eastAsia="仿宋_GB2312"/>
          <w:sz w:val="32"/>
          <w:szCs w:val="32"/>
        </w:rPr>
        <w:t>万元，其中：</w:t>
      </w:r>
    </w:p>
    <w:p w14:paraId="068CD84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242.8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92.5</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、机关事业单位基本养老保险缴费、职工基本医疗保险缴费、其他社会保障缴费、其他工资福利支出、生活补助、</w:t>
      </w:r>
      <w:r>
        <w:rPr>
          <w:rFonts w:hint="eastAsia" w:ascii="Times New Roman" w:hAnsi="Times New Roman" w:eastAsia="仿宋_GB2312"/>
          <w:sz w:val="32"/>
          <w:szCs w:val="32"/>
          <w:lang w:val="en-US" w:eastAsia="zh-CN"/>
        </w:rPr>
        <w:t>医疗费补助、</w:t>
      </w:r>
      <w:r>
        <w:rPr>
          <w:rFonts w:hint="eastAsia" w:ascii="Times New Roman" w:hAnsi="Times New Roman" w:eastAsia="仿宋_GB2312"/>
          <w:sz w:val="32"/>
          <w:szCs w:val="32"/>
          <w:lang w:eastAsia="zh-CN"/>
        </w:rPr>
        <w:t>其他对个人和家庭的补助。</w:t>
      </w:r>
    </w:p>
    <w:p w14:paraId="7310075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19.69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eastAsia="zh-CN"/>
        </w:rPr>
        <w:t>邮电</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差旅</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维修</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、会议费、培训费、公务接待费、委托业务费、工会经费、福利费、公务用车运行维护费、其他商品和服务支出</w:t>
      </w:r>
      <w:r>
        <w:rPr>
          <w:rFonts w:hint="eastAsia" w:ascii="Times New Roman" w:hAnsi="Times New Roman" w:eastAsia="仿宋_GB2312"/>
          <w:sz w:val="32"/>
          <w:szCs w:val="32"/>
        </w:rPr>
        <w:t>。</w:t>
      </w:r>
    </w:p>
    <w:p w14:paraId="603F47D6">
      <w:pPr>
        <w:pStyle w:val="10"/>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47FF585A">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14:paraId="40FA89E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4.98</w:t>
      </w:r>
      <w:r>
        <w:rPr>
          <w:rFonts w:hint="eastAsia" w:ascii="Times New Roman" w:hAnsi="Times New Roman" w:eastAsia="仿宋_GB2312"/>
          <w:sz w:val="32"/>
          <w:szCs w:val="32"/>
        </w:rPr>
        <w:t>万元，支出决算为</w:t>
      </w:r>
      <w:r>
        <w:rPr>
          <w:rFonts w:hint="eastAsia" w:ascii="Times New Roman" w:hAnsi="Times New Roman" w:eastAsia="仿宋_GB2312"/>
          <w:color w:val="auto"/>
          <w:sz w:val="32"/>
          <w:szCs w:val="32"/>
          <w:lang w:val="en-US" w:eastAsia="zh-CN"/>
        </w:rPr>
        <w:t>4.98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2EF4E5E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与上年相比无增减变动。</w:t>
      </w:r>
    </w:p>
    <w:p w14:paraId="3685F62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1.28</w:t>
      </w:r>
      <w:r>
        <w:rPr>
          <w:rFonts w:hint="eastAsia" w:ascii="Times New Roman" w:hAnsi="Times New Roman" w:eastAsia="仿宋_GB2312"/>
          <w:sz w:val="32"/>
          <w:szCs w:val="32"/>
        </w:rPr>
        <w:t>万元，支出决算为</w:t>
      </w:r>
      <w:r>
        <w:rPr>
          <w:rFonts w:hint="eastAsia" w:ascii="Times New Roman" w:hAnsi="Times New Roman" w:eastAsia="仿宋_GB2312"/>
          <w:color w:val="auto"/>
          <w:sz w:val="32"/>
          <w:szCs w:val="32"/>
          <w:lang w:val="en-US" w:eastAsia="zh-CN"/>
        </w:rPr>
        <w:t>1.28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0.15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13.27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增加了公务接待人次</w:t>
      </w:r>
      <w:r>
        <w:rPr>
          <w:rFonts w:hint="eastAsia" w:ascii="Times New Roman" w:hAnsi="Times New Roman" w:eastAsia="仿宋_GB2312"/>
          <w:sz w:val="32"/>
          <w:szCs w:val="32"/>
        </w:rPr>
        <w:t>。</w:t>
      </w:r>
    </w:p>
    <w:p w14:paraId="30EE1DC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0万</w:t>
      </w:r>
      <w:r>
        <w:rPr>
          <w:rFonts w:hint="eastAsia" w:ascii="Times New Roman" w:hAnsi="Times New Roman" w:eastAsia="仿宋_GB2312"/>
          <w:sz w:val="32"/>
          <w:szCs w:val="32"/>
        </w:rPr>
        <w:t>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与上年相比无增减变动。</w:t>
      </w:r>
    </w:p>
    <w:p w14:paraId="5BFA6DE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万元，支出决算为</w:t>
      </w:r>
      <w:r>
        <w:rPr>
          <w:rFonts w:hint="eastAsia" w:ascii="Times New Roman" w:hAnsi="Times New Roman" w:eastAsia="仿宋_GB2312"/>
          <w:color w:val="auto"/>
          <w:sz w:val="32"/>
          <w:szCs w:val="32"/>
          <w:lang w:val="en-US" w:eastAsia="zh-CN"/>
        </w:rPr>
        <w:t>3.7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0.77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26.28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本年维修费等增加</w:t>
      </w:r>
      <w:r>
        <w:rPr>
          <w:rFonts w:hint="eastAsia" w:ascii="Times New Roman" w:hAnsi="Times New Roman" w:eastAsia="仿宋_GB2312"/>
          <w:sz w:val="32"/>
          <w:szCs w:val="32"/>
        </w:rPr>
        <w:t>。</w:t>
      </w:r>
    </w:p>
    <w:p w14:paraId="60B27A4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65C33E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度“三公”经费财政拨款支出决算中，公务接待费支出决算</w:t>
      </w:r>
      <w:r>
        <w:rPr>
          <w:rFonts w:hint="eastAsia" w:ascii="Times New Roman" w:hAnsi="Times New Roman" w:eastAsia="仿宋_GB2312"/>
          <w:color w:val="auto"/>
          <w:sz w:val="32"/>
          <w:szCs w:val="32"/>
          <w:lang w:val="en-US" w:eastAsia="zh-CN"/>
        </w:rPr>
        <w:t>1.28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25.7</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74.3</w:t>
      </w:r>
      <w:r>
        <w:rPr>
          <w:rFonts w:hint="eastAsia" w:ascii="Times New Roman" w:hAnsi="Times New Roman" w:eastAsia="仿宋_GB2312"/>
          <w:sz w:val="32"/>
          <w:szCs w:val="32"/>
        </w:rPr>
        <w:t>%。其中：</w:t>
      </w:r>
    </w:p>
    <w:p w14:paraId="240E258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0A0CA4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color w:val="auto"/>
          <w:sz w:val="32"/>
          <w:szCs w:val="32"/>
          <w:lang w:val="en-US" w:eastAsia="zh-CN"/>
        </w:rPr>
        <w:t>1.28</w:t>
      </w:r>
      <w:r>
        <w:rPr>
          <w:rFonts w:hint="eastAsia" w:ascii="Times New Roman" w:hAnsi="Times New Roman" w:eastAsia="仿宋_GB2312"/>
          <w:sz w:val="32"/>
          <w:szCs w:val="32"/>
        </w:rPr>
        <w:t>万元，全年共接待来访团组</w:t>
      </w:r>
      <w:r>
        <w:rPr>
          <w:rFonts w:hint="eastAsia" w:ascii="Times New Roman" w:hAnsi="Times New Roman" w:eastAsia="仿宋_GB2312"/>
          <w:color w:val="auto"/>
          <w:sz w:val="32"/>
          <w:szCs w:val="32"/>
          <w:lang w:val="en-US" w:eastAsia="zh-CN"/>
        </w:rPr>
        <w:t>23</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78</w:t>
      </w:r>
      <w:r>
        <w:rPr>
          <w:rFonts w:hint="eastAsia" w:ascii="Times New Roman" w:hAnsi="Times New Roman" w:eastAsia="仿宋_GB2312"/>
          <w:sz w:val="32"/>
          <w:szCs w:val="32"/>
        </w:rPr>
        <w:t>人次，主要是省</w:t>
      </w:r>
      <w:r>
        <w:rPr>
          <w:rFonts w:hint="eastAsia" w:ascii="Times New Roman" w:hAnsi="Times New Roman" w:eastAsia="仿宋_GB2312"/>
          <w:sz w:val="32"/>
          <w:szCs w:val="32"/>
          <w:lang w:val="en-US" w:eastAsia="zh-CN"/>
        </w:rPr>
        <w:t>及</w:t>
      </w:r>
      <w:r>
        <w:rPr>
          <w:rFonts w:hint="eastAsia" w:ascii="Times New Roman" w:hAnsi="Times New Roman" w:eastAsia="仿宋_GB2312"/>
          <w:sz w:val="32"/>
          <w:szCs w:val="32"/>
        </w:rPr>
        <w:t>市县</w:t>
      </w:r>
      <w:r>
        <w:rPr>
          <w:rFonts w:hint="eastAsia" w:ascii="Times New Roman" w:hAnsi="Times New Roman" w:eastAsia="仿宋_GB2312"/>
          <w:sz w:val="32"/>
          <w:szCs w:val="32"/>
          <w:lang w:val="en-US" w:eastAsia="zh-CN"/>
        </w:rPr>
        <w:t>区</w:t>
      </w:r>
      <w:r>
        <w:rPr>
          <w:rFonts w:hint="eastAsia" w:ascii="Times New Roman" w:hAnsi="Times New Roman" w:eastAsia="仿宋_GB2312"/>
          <w:sz w:val="32"/>
          <w:szCs w:val="32"/>
        </w:rPr>
        <w:t>部门来访人员发生的接待支出。</w:t>
      </w:r>
    </w:p>
    <w:p w14:paraId="51F8A49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color w:val="auto"/>
          <w:sz w:val="32"/>
          <w:szCs w:val="32"/>
          <w:lang w:val="en-US" w:eastAsia="zh-CN"/>
        </w:rPr>
        <w:t>3.7</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车辆维修费、保险费及过路费等支出</w:t>
      </w:r>
      <w:r>
        <w:rPr>
          <w:rFonts w:hint="eastAsia" w:ascii="Times New Roman" w:hAnsi="Times New Roman" w:eastAsia="仿宋_GB2312"/>
          <w:sz w:val="32"/>
          <w:szCs w:val="32"/>
        </w:rPr>
        <w:t>，截止</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5BE366E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rPr>
        <w:t>八、政府性基金预算收入支出决算情况</w:t>
      </w:r>
      <w:r>
        <w:rPr>
          <w:rFonts w:hint="eastAsia" w:hAnsi="黑体" w:cs="黑体"/>
          <w:b w:val="0"/>
          <w:bCs/>
          <w:sz w:val="32"/>
          <w:szCs w:val="32"/>
          <w:lang w:eastAsia="zh-CN"/>
        </w:rPr>
        <w:t>说明</w:t>
      </w:r>
    </w:p>
    <w:p w14:paraId="1CD4A21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w:t>
      </w:r>
      <w:r>
        <w:rPr>
          <w:rFonts w:hint="eastAsia" w:ascii="Times New Roman" w:hAnsi="Times New Roman" w:eastAsia="仿宋_GB2312"/>
          <w:sz w:val="32"/>
          <w:szCs w:val="32"/>
          <w:lang w:eastAsia="zh-CN"/>
        </w:rPr>
        <w:t>本单位无政府性基金收支。</w:t>
      </w:r>
    </w:p>
    <w:p w14:paraId="536447A2">
      <w:pPr>
        <w:pStyle w:val="10"/>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国有资本经营预算</w:t>
      </w:r>
      <w:r>
        <w:rPr>
          <w:rFonts w:hint="eastAsia" w:hAnsi="黑体" w:cs="黑体"/>
          <w:b w:val="0"/>
          <w:bCs/>
          <w:sz w:val="32"/>
          <w:szCs w:val="32"/>
          <w:lang w:eastAsia="zh-CN"/>
        </w:rPr>
        <w:t>收入支出</w:t>
      </w:r>
      <w:r>
        <w:rPr>
          <w:rFonts w:hint="eastAsia" w:ascii="黑体" w:hAnsi="黑体" w:eastAsia="黑体" w:cs="黑体"/>
          <w:b w:val="0"/>
          <w:bCs/>
          <w:sz w:val="32"/>
          <w:szCs w:val="32"/>
          <w:lang w:eastAsia="zh-CN"/>
        </w:rPr>
        <w:t>情况说明</w:t>
      </w:r>
    </w:p>
    <w:p w14:paraId="736FD812">
      <w:pPr>
        <w:pStyle w:val="10"/>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2023年度本单位无国有资本经营收支。</w:t>
      </w:r>
    </w:p>
    <w:p w14:paraId="1B9BCC8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、关于机关运行经费支出说明</w:t>
      </w:r>
    </w:p>
    <w:p w14:paraId="19077093">
      <w:pPr>
        <w:pStyle w:val="10"/>
        <w:keepNext w:val="0"/>
        <w:keepLines w:val="0"/>
        <w:pageBreakBefore w:val="0"/>
        <w:kinsoku/>
        <w:wordWrap/>
        <w:overflowPunct/>
        <w:topLinePunct w:val="0"/>
        <w:bidi w:val="0"/>
        <w:adjustRightInd/>
        <w:snapToGrid/>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度机关运行经费支出</w:t>
      </w:r>
      <w:r>
        <w:rPr>
          <w:rFonts w:hint="eastAsia" w:ascii="Times New Roman" w:hAnsi="Times New Roman" w:eastAsia="仿宋_GB2312"/>
          <w:color w:val="auto"/>
          <w:sz w:val="32"/>
          <w:szCs w:val="32"/>
          <w:lang w:val="en-US" w:eastAsia="zh-CN"/>
        </w:rPr>
        <w:t>19.69</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20.25</w:t>
      </w:r>
      <w:r>
        <w:rPr>
          <w:rFonts w:hint="eastAsia" w:ascii="Times New Roman" w:hAnsi="Times New Roman" w:eastAsia="仿宋_GB2312"/>
          <w:sz w:val="32"/>
          <w:szCs w:val="32"/>
        </w:rPr>
        <w:t>%。主要原因是：厉行节约，严</w:t>
      </w:r>
      <w:r>
        <w:rPr>
          <w:rFonts w:hint="eastAsia" w:ascii="Times New Roman" w:hAnsi="Times New Roman" w:eastAsia="仿宋_GB2312"/>
          <w:sz w:val="32"/>
          <w:szCs w:val="32"/>
          <w:lang w:val="en-US" w:eastAsia="zh-CN"/>
        </w:rPr>
        <w:t>控</w:t>
      </w:r>
      <w:r>
        <w:rPr>
          <w:rFonts w:hint="eastAsia" w:ascii="Times New Roman" w:hAnsi="Times New Roman" w:eastAsia="仿宋_GB2312"/>
          <w:sz w:val="32"/>
          <w:szCs w:val="32"/>
        </w:rPr>
        <w:t>机关运行经费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压缩“三公经费”。</w:t>
      </w:r>
    </w:p>
    <w:p w14:paraId="196719B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69FE987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本部门开支会议费</w:t>
      </w:r>
      <w:r>
        <w:rPr>
          <w:rFonts w:hint="eastAsia" w:ascii="Times New Roman" w:hAnsi="Times New Roman" w:eastAsia="仿宋_GB2312"/>
          <w:color w:val="auto"/>
          <w:sz w:val="32"/>
          <w:szCs w:val="32"/>
          <w:lang w:val="en-US" w:eastAsia="zh-CN"/>
        </w:rPr>
        <w:t>0.12</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部门工作</w:t>
      </w:r>
      <w:r>
        <w:rPr>
          <w:rFonts w:hint="eastAsia" w:ascii="Times New Roman" w:hAnsi="Times New Roman" w:eastAsia="仿宋_GB2312"/>
          <w:sz w:val="32"/>
          <w:szCs w:val="32"/>
        </w:rPr>
        <w:t>会议，人数</w:t>
      </w:r>
      <w:r>
        <w:rPr>
          <w:rFonts w:hint="eastAsia" w:ascii="Times New Roman" w:hAnsi="Times New Roman" w:eastAsia="仿宋_GB2312"/>
          <w:color w:val="auto"/>
          <w:sz w:val="32"/>
          <w:szCs w:val="32"/>
          <w:lang w:val="en-US" w:eastAsia="zh-CN"/>
        </w:rPr>
        <w:t>26</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全市水稻机插机抛项目调度推进暨农机安全生产工作会议</w:t>
      </w:r>
      <w:bookmarkStart w:id="1" w:name="_GoBack"/>
      <w:bookmarkEnd w:id="1"/>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0.19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用于</w:t>
      </w:r>
      <w:r>
        <w:rPr>
          <w:rFonts w:hint="eastAsia" w:ascii="Times New Roman" w:hAnsi="Times New Roman" w:eastAsia="仿宋_GB2312"/>
          <w:sz w:val="32"/>
          <w:szCs w:val="32"/>
          <w:lang w:eastAsia="zh-CN"/>
        </w:rPr>
        <w:t>参加水稻机插（抛）育秧</w:t>
      </w:r>
      <w:r>
        <w:rPr>
          <w:rFonts w:hint="eastAsia" w:ascii="Times New Roman" w:hAnsi="Times New Roman" w:eastAsia="仿宋_GB2312"/>
          <w:sz w:val="32"/>
          <w:szCs w:val="32"/>
        </w:rPr>
        <w:t>培训</w:t>
      </w:r>
      <w:r>
        <w:rPr>
          <w:rFonts w:hint="eastAsia" w:ascii="Times New Roman" w:hAnsi="Times New Roman" w:eastAsia="仿宋_GB2312"/>
          <w:sz w:val="32"/>
          <w:szCs w:val="32"/>
          <w:lang w:eastAsia="zh-CN"/>
        </w:rPr>
        <w:t>费</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2023年怀化市</w:t>
      </w:r>
      <w:r>
        <w:rPr>
          <w:rFonts w:hint="eastAsia" w:ascii="Times New Roman" w:hAnsi="Times New Roman" w:eastAsia="仿宋_GB2312"/>
          <w:sz w:val="32"/>
          <w:szCs w:val="32"/>
          <w:lang w:eastAsia="zh-CN"/>
        </w:rPr>
        <w:t>水稻机插（抛）北斗监测系统作业数据判读培训会</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活动。</w:t>
      </w:r>
    </w:p>
    <w:p w14:paraId="6E5210C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545D5F2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度政府采购支出总额</w:t>
      </w:r>
      <w:r>
        <w:rPr>
          <w:rFonts w:hint="eastAsia" w:ascii="Times New Roman" w:hAnsi="Times New Roman" w:eastAsia="仿宋_GB2312"/>
          <w:sz w:val="32"/>
          <w:szCs w:val="32"/>
          <w:lang w:val="en-US" w:eastAsia="zh-CN"/>
        </w:rPr>
        <w:t>8.11</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3.11</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8.11</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8.11</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38.35</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61.65</w:t>
      </w:r>
      <w:r>
        <w:rPr>
          <w:rFonts w:hint="eastAsia" w:ascii="Times New Roman" w:hAnsi="Times New Roman" w:eastAsia="仿宋_GB2312"/>
          <w:sz w:val="32"/>
          <w:szCs w:val="32"/>
        </w:rPr>
        <w:t>%。</w:t>
      </w:r>
    </w:p>
    <w:p w14:paraId="232FCF1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14:paraId="4EFB6DF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26457F2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lang w:eastAsia="zh-CN"/>
        </w:rPr>
        <w:t>2023年</w:t>
      </w:r>
      <w:r>
        <w:rPr>
          <w:rFonts w:hint="eastAsia" w:ascii="黑体" w:hAnsi="黑体" w:eastAsia="黑体" w:cs="黑体"/>
          <w:b w:val="0"/>
          <w:bCs/>
          <w:sz w:val="32"/>
          <w:szCs w:val="32"/>
        </w:rPr>
        <w:t>度预算绩效情况的说明</w:t>
      </w:r>
    </w:p>
    <w:p w14:paraId="4FFADE67">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bCs/>
          <w:kern w:val="0"/>
          <w:sz w:val="32"/>
          <w:szCs w:val="32"/>
          <w:highlight w:val="none"/>
        </w:rPr>
        <w:t>本部门所有支出实行绩效目标管理。纳入</w:t>
      </w:r>
      <w:r>
        <w:rPr>
          <w:rFonts w:hint="eastAsia" w:ascii="仿宋" w:hAnsi="仿宋" w:eastAsia="仿宋" w:cs="仿宋"/>
          <w:bCs/>
          <w:kern w:val="0"/>
          <w:sz w:val="32"/>
          <w:szCs w:val="32"/>
          <w:highlight w:val="none"/>
          <w:lang w:val="en-US" w:eastAsia="zh-CN"/>
        </w:rPr>
        <w:t>2023年</w:t>
      </w:r>
      <w:r>
        <w:rPr>
          <w:rFonts w:hint="eastAsia" w:ascii="仿宋" w:hAnsi="仿宋" w:eastAsia="仿宋" w:cs="仿宋"/>
          <w:bCs/>
          <w:kern w:val="0"/>
          <w:sz w:val="32"/>
          <w:szCs w:val="32"/>
          <w:highlight w:val="none"/>
        </w:rPr>
        <w:t>部门整体支出绩效目标的金额为</w:t>
      </w:r>
      <w:r>
        <w:rPr>
          <w:rFonts w:hint="eastAsia" w:ascii="仿宋" w:hAnsi="仿宋" w:eastAsia="仿宋" w:cs="仿宋"/>
          <w:color w:val="auto"/>
          <w:sz w:val="32"/>
          <w:szCs w:val="32"/>
          <w:highlight w:val="none"/>
          <w:u w:val="none"/>
          <w:lang w:val="en-US" w:eastAsia="zh-CN"/>
        </w:rPr>
        <w:t>320.55</w:t>
      </w:r>
      <w:r>
        <w:rPr>
          <w:rFonts w:hint="eastAsia" w:ascii="仿宋" w:hAnsi="仿宋" w:eastAsia="仿宋" w:cs="仿宋"/>
          <w:bCs/>
          <w:kern w:val="0"/>
          <w:sz w:val="32"/>
          <w:szCs w:val="32"/>
          <w:highlight w:val="none"/>
        </w:rPr>
        <w:t>万元</w:t>
      </w:r>
      <w:r>
        <w:rPr>
          <w:rFonts w:hint="eastAsia" w:ascii="仿宋" w:hAnsi="仿宋" w:eastAsia="仿宋" w:cs="仿宋"/>
          <w:bCs/>
          <w:kern w:val="0"/>
          <w:sz w:val="32"/>
          <w:szCs w:val="32"/>
          <w:highlight w:val="none"/>
          <w:lang w:eastAsia="zh-CN"/>
        </w:rPr>
        <w:t>。</w:t>
      </w:r>
      <w:r>
        <w:rPr>
          <w:rFonts w:hint="eastAsia" w:ascii="仿宋" w:hAnsi="仿宋" w:eastAsia="仿宋" w:cs="仿宋"/>
          <w:bCs/>
          <w:kern w:val="0"/>
          <w:sz w:val="32"/>
          <w:szCs w:val="32"/>
          <w:highlight w:val="none"/>
        </w:rPr>
        <w:t>其中，基本支出</w:t>
      </w:r>
      <w:r>
        <w:rPr>
          <w:rFonts w:hint="eastAsia" w:ascii="仿宋" w:hAnsi="仿宋" w:eastAsia="仿宋" w:cs="仿宋"/>
          <w:bCs/>
          <w:color w:val="auto"/>
          <w:kern w:val="0"/>
          <w:sz w:val="32"/>
          <w:szCs w:val="32"/>
          <w:highlight w:val="none"/>
          <w:lang w:val="en-US" w:eastAsia="zh-CN"/>
        </w:rPr>
        <w:t>282.78</w:t>
      </w:r>
      <w:r>
        <w:rPr>
          <w:rFonts w:hint="eastAsia" w:ascii="仿宋" w:hAnsi="仿宋" w:eastAsia="仿宋" w:cs="仿宋"/>
          <w:bCs/>
          <w:kern w:val="0"/>
          <w:sz w:val="32"/>
          <w:szCs w:val="32"/>
          <w:highlight w:val="none"/>
        </w:rPr>
        <w:t>万元，项目支出</w:t>
      </w:r>
      <w:r>
        <w:rPr>
          <w:rFonts w:hint="eastAsia" w:ascii="仿宋" w:hAnsi="仿宋" w:eastAsia="仿宋" w:cs="仿宋"/>
          <w:bCs/>
          <w:color w:val="auto"/>
          <w:kern w:val="0"/>
          <w:sz w:val="32"/>
          <w:szCs w:val="32"/>
          <w:highlight w:val="none"/>
          <w:lang w:val="en-US" w:eastAsia="zh-CN"/>
        </w:rPr>
        <w:t>37.77</w:t>
      </w:r>
      <w:r>
        <w:rPr>
          <w:rFonts w:hint="eastAsia" w:ascii="仿宋" w:hAnsi="仿宋" w:eastAsia="仿宋" w:cs="仿宋"/>
          <w:bCs/>
          <w:kern w:val="0"/>
          <w:sz w:val="32"/>
          <w:szCs w:val="32"/>
          <w:highlight w:val="none"/>
        </w:rPr>
        <w:t>万元，具体绩效目标详见</w:t>
      </w:r>
      <w:r>
        <w:rPr>
          <w:rFonts w:hint="eastAsia" w:ascii="仿宋" w:hAnsi="仿宋" w:eastAsia="仿宋" w:cs="仿宋"/>
          <w:bCs/>
          <w:kern w:val="0"/>
          <w:sz w:val="32"/>
          <w:szCs w:val="32"/>
          <w:highlight w:val="none"/>
          <w:lang w:eastAsia="zh-CN"/>
        </w:rPr>
        <w:t>附件。</w:t>
      </w:r>
    </w:p>
    <w:p w14:paraId="1139EE95">
      <w:pPr>
        <w:pStyle w:val="10"/>
        <w:jc w:val="both"/>
        <w:rPr>
          <w:sz w:val="72"/>
          <w:szCs w:val="72"/>
        </w:rPr>
      </w:pPr>
    </w:p>
    <w:p w14:paraId="7AD306F7">
      <w:pPr>
        <w:pStyle w:val="10"/>
        <w:jc w:val="center"/>
        <w:rPr>
          <w:sz w:val="72"/>
          <w:szCs w:val="72"/>
        </w:rPr>
      </w:pPr>
    </w:p>
    <w:p w14:paraId="70A0E30B">
      <w:pPr>
        <w:pStyle w:val="10"/>
        <w:jc w:val="center"/>
        <w:rPr>
          <w:sz w:val="72"/>
          <w:szCs w:val="72"/>
        </w:rPr>
      </w:pPr>
    </w:p>
    <w:p w14:paraId="008D1166">
      <w:pPr>
        <w:pStyle w:val="10"/>
        <w:jc w:val="center"/>
        <w:rPr>
          <w:sz w:val="72"/>
          <w:szCs w:val="72"/>
        </w:rPr>
      </w:pPr>
    </w:p>
    <w:p w14:paraId="38844826">
      <w:pPr>
        <w:pStyle w:val="10"/>
        <w:jc w:val="center"/>
        <w:rPr>
          <w:sz w:val="72"/>
          <w:szCs w:val="72"/>
        </w:rPr>
      </w:pPr>
    </w:p>
    <w:p w14:paraId="568F55DD">
      <w:pPr>
        <w:pStyle w:val="10"/>
        <w:jc w:val="both"/>
        <w:rPr>
          <w:rFonts w:hint="eastAsia" w:ascii="方正小标宋_GBK" w:hAnsi="方正小标宋_GBK" w:eastAsia="方正小标宋_GBK" w:cs="方正小标宋_GBK"/>
          <w:sz w:val="72"/>
          <w:szCs w:val="72"/>
        </w:rPr>
      </w:pPr>
    </w:p>
    <w:p w14:paraId="6BA531E0">
      <w:pPr>
        <w:pStyle w:val="10"/>
        <w:jc w:val="center"/>
        <w:rPr>
          <w:rFonts w:hint="eastAsia" w:ascii="方正小标宋_GBK" w:hAnsi="方正小标宋_GBK" w:eastAsia="方正小标宋_GBK" w:cs="方正小标宋_GBK"/>
          <w:sz w:val="72"/>
          <w:szCs w:val="72"/>
        </w:rPr>
      </w:pPr>
    </w:p>
    <w:p w14:paraId="1D7D6CFE">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33BCDF0">
      <w:pPr>
        <w:jc w:val="center"/>
        <w:rPr>
          <w:rFonts w:hint="eastAsia" w:ascii="方正小标宋_GBK" w:hAnsi="方正小标宋_GBK" w:eastAsia="方正小标宋_GBK" w:cs="方正小标宋_GBK"/>
          <w:color w:val="000000"/>
          <w:kern w:val="0"/>
          <w:sz w:val="70"/>
          <w:szCs w:val="70"/>
        </w:rPr>
      </w:pPr>
    </w:p>
    <w:p w14:paraId="5726C9D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2F4E243">
      <w:pPr>
        <w:widowControl/>
        <w:jc w:val="left"/>
        <w:rPr>
          <w:rFonts w:cs="黑体" w:asciiTheme="minorEastAsia" w:hAnsiTheme="minorEastAsia"/>
          <w:color w:val="000000"/>
          <w:kern w:val="0"/>
          <w:sz w:val="32"/>
          <w:szCs w:val="32"/>
        </w:rPr>
      </w:pPr>
    </w:p>
    <w:p w14:paraId="684EED4F">
      <w:pPr>
        <w:pStyle w:val="5"/>
        <w:widowControl/>
        <w:spacing w:beforeAutospacing="0" w:afterAutospacing="0" w:line="560" w:lineRule="exact"/>
        <w:ind w:firstLine="64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462A51B">
      <w:pPr>
        <w:pStyle w:val="5"/>
        <w:widowControl/>
        <w:spacing w:beforeAutospacing="0" w:afterAutospacing="0" w:line="560" w:lineRule="exact"/>
        <w:ind w:firstLine="640"/>
        <w:jc w:val="both"/>
        <w:rPr>
          <w:sz w:val="72"/>
          <w:szCs w:val="72"/>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DAB7F70">
      <w:pPr>
        <w:pStyle w:val="10"/>
        <w:jc w:val="center"/>
        <w:rPr>
          <w:sz w:val="72"/>
          <w:szCs w:val="72"/>
        </w:rPr>
      </w:pPr>
    </w:p>
    <w:p w14:paraId="29FCE071">
      <w:pPr>
        <w:pStyle w:val="10"/>
        <w:jc w:val="center"/>
        <w:rPr>
          <w:sz w:val="72"/>
          <w:szCs w:val="72"/>
        </w:rPr>
      </w:pPr>
    </w:p>
    <w:p w14:paraId="3D50392F">
      <w:pPr>
        <w:pStyle w:val="10"/>
        <w:jc w:val="center"/>
        <w:rPr>
          <w:sz w:val="72"/>
          <w:szCs w:val="72"/>
        </w:rPr>
      </w:pPr>
    </w:p>
    <w:p w14:paraId="5476E906">
      <w:pPr>
        <w:pStyle w:val="10"/>
        <w:jc w:val="center"/>
        <w:rPr>
          <w:sz w:val="72"/>
          <w:szCs w:val="72"/>
        </w:rPr>
      </w:pPr>
    </w:p>
    <w:p w14:paraId="7CF1CBCC">
      <w:pPr>
        <w:pStyle w:val="10"/>
        <w:jc w:val="center"/>
        <w:rPr>
          <w:sz w:val="72"/>
          <w:szCs w:val="72"/>
        </w:rPr>
      </w:pPr>
    </w:p>
    <w:p w14:paraId="6A6CBF3A">
      <w:pPr>
        <w:pStyle w:val="10"/>
        <w:jc w:val="center"/>
        <w:rPr>
          <w:sz w:val="72"/>
          <w:szCs w:val="72"/>
        </w:rPr>
      </w:pPr>
    </w:p>
    <w:p w14:paraId="1D74D80C">
      <w:pPr>
        <w:pStyle w:val="10"/>
        <w:jc w:val="center"/>
        <w:rPr>
          <w:sz w:val="72"/>
          <w:szCs w:val="72"/>
        </w:rPr>
      </w:pPr>
    </w:p>
    <w:p w14:paraId="0B29B3AC">
      <w:pPr>
        <w:pStyle w:val="10"/>
        <w:jc w:val="center"/>
        <w:rPr>
          <w:sz w:val="72"/>
          <w:szCs w:val="72"/>
        </w:rPr>
      </w:pPr>
    </w:p>
    <w:p w14:paraId="456BCB91">
      <w:pPr>
        <w:pStyle w:val="10"/>
        <w:jc w:val="center"/>
        <w:rPr>
          <w:sz w:val="72"/>
          <w:szCs w:val="72"/>
        </w:rPr>
      </w:pPr>
    </w:p>
    <w:p w14:paraId="2ED36AD3">
      <w:pPr>
        <w:pStyle w:val="10"/>
        <w:jc w:val="center"/>
        <w:rPr>
          <w:sz w:val="72"/>
          <w:szCs w:val="72"/>
        </w:rPr>
      </w:pPr>
    </w:p>
    <w:p w14:paraId="61FA1AB8">
      <w:pPr>
        <w:pStyle w:val="10"/>
        <w:jc w:val="center"/>
        <w:rPr>
          <w:sz w:val="72"/>
          <w:szCs w:val="72"/>
        </w:rPr>
      </w:pPr>
    </w:p>
    <w:p w14:paraId="2D3B7477">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FC776"/>
    <w:multiLevelType w:val="singleLevel"/>
    <w:tmpl w:val="A4BFC776"/>
    <w:lvl w:ilvl="0" w:tentative="0">
      <w:start w:val="13"/>
      <w:numFmt w:val="decimal"/>
      <w:suff w:val="nothing"/>
      <w:lvlText w:val="%1、"/>
      <w:lvlJc w:val="left"/>
    </w:lvl>
  </w:abstractNum>
  <w:abstractNum w:abstractNumId="1">
    <w:nsid w:val="C75D1505"/>
    <w:multiLevelType w:val="singleLevel"/>
    <w:tmpl w:val="C75D1505"/>
    <w:lvl w:ilvl="0" w:tentative="0">
      <w:start w:val="9"/>
      <w:numFmt w:val="chineseCounting"/>
      <w:suff w:val="nothing"/>
      <w:lvlText w:val="%1、"/>
      <w:lvlJc w:val="left"/>
      <w:rPr>
        <w:rFonts w:hint="eastAsia"/>
      </w:rPr>
    </w:lvl>
  </w:abstractNum>
  <w:abstractNum w:abstractNumId="2">
    <w:nsid w:val="C8A817DB"/>
    <w:multiLevelType w:val="singleLevel"/>
    <w:tmpl w:val="C8A817DB"/>
    <w:lvl w:ilvl="0" w:tentative="0">
      <w:start w:val="7"/>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ZDMwYzM5N2IyOGI3NzY4YzgzMmMwYTFlYWU1ODk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8274C"/>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0C0502"/>
    <w:rsid w:val="01172A03"/>
    <w:rsid w:val="01437C9C"/>
    <w:rsid w:val="033A0C2B"/>
    <w:rsid w:val="04695C6C"/>
    <w:rsid w:val="054E09BE"/>
    <w:rsid w:val="07140111"/>
    <w:rsid w:val="072639A0"/>
    <w:rsid w:val="079C0106"/>
    <w:rsid w:val="092B34F0"/>
    <w:rsid w:val="0A0A30D1"/>
    <w:rsid w:val="0A187F18"/>
    <w:rsid w:val="0B7F5D75"/>
    <w:rsid w:val="0CA830A9"/>
    <w:rsid w:val="0CEA5470"/>
    <w:rsid w:val="0ED921A4"/>
    <w:rsid w:val="0FA22032"/>
    <w:rsid w:val="0FED59A3"/>
    <w:rsid w:val="10613C9B"/>
    <w:rsid w:val="10AF25B9"/>
    <w:rsid w:val="126161D4"/>
    <w:rsid w:val="127E1F7E"/>
    <w:rsid w:val="137B32C6"/>
    <w:rsid w:val="139E0D62"/>
    <w:rsid w:val="13CE7A81"/>
    <w:rsid w:val="14092680"/>
    <w:rsid w:val="14D0319D"/>
    <w:rsid w:val="17FE0021"/>
    <w:rsid w:val="18550589"/>
    <w:rsid w:val="187A1D9E"/>
    <w:rsid w:val="18E831AB"/>
    <w:rsid w:val="193C34F7"/>
    <w:rsid w:val="195C76F5"/>
    <w:rsid w:val="1A89451A"/>
    <w:rsid w:val="1AA876F3"/>
    <w:rsid w:val="1AD5775F"/>
    <w:rsid w:val="1B723200"/>
    <w:rsid w:val="1B7A3E63"/>
    <w:rsid w:val="1B8076CB"/>
    <w:rsid w:val="1BA62EAA"/>
    <w:rsid w:val="1C112A19"/>
    <w:rsid w:val="1C60574F"/>
    <w:rsid w:val="1C672639"/>
    <w:rsid w:val="1CCB0E1A"/>
    <w:rsid w:val="1D1D719C"/>
    <w:rsid w:val="1E195BB5"/>
    <w:rsid w:val="1E3173A3"/>
    <w:rsid w:val="1E8F7C25"/>
    <w:rsid w:val="1EBD4792"/>
    <w:rsid w:val="1EF36406"/>
    <w:rsid w:val="1F777037"/>
    <w:rsid w:val="20344F28"/>
    <w:rsid w:val="20C22534"/>
    <w:rsid w:val="20F841A8"/>
    <w:rsid w:val="21584C46"/>
    <w:rsid w:val="221E19EC"/>
    <w:rsid w:val="224D22D1"/>
    <w:rsid w:val="23D42CAA"/>
    <w:rsid w:val="23FF75FB"/>
    <w:rsid w:val="249064A5"/>
    <w:rsid w:val="249C309C"/>
    <w:rsid w:val="259C77F7"/>
    <w:rsid w:val="25BD32CA"/>
    <w:rsid w:val="2657371E"/>
    <w:rsid w:val="26647BE9"/>
    <w:rsid w:val="26D62895"/>
    <w:rsid w:val="274E68CF"/>
    <w:rsid w:val="28327F9F"/>
    <w:rsid w:val="28732366"/>
    <w:rsid w:val="29341AF5"/>
    <w:rsid w:val="29542197"/>
    <w:rsid w:val="29E4351B"/>
    <w:rsid w:val="2A1A6F3D"/>
    <w:rsid w:val="2A7F3244"/>
    <w:rsid w:val="2B011EAB"/>
    <w:rsid w:val="2B33475A"/>
    <w:rsid w:val="2B6A7325"/>
    <w:rsid w:val="2C5C383D"/>
    <w:rsid w:val="2D0F08AF"/>
    <w:rsid w:val="2D7B7A2C"/>
    <w:rsid w:val="2E3D58F0"/>
    <w:rsid w:val="2E456552"/>
    <w:rsid w:val="2E9D638E"/>
    <w:rsid w:val="2F032695"/>
    <w:rsid w:val="31271F3F"/>
    <w:rsid w:val="31A16195"/>
    <w:rsid w:val="31FC517A"/>
    <w:rsid w:val="32036508"/>
    <w:rsid w:val="32C24615"/>
    <w:rsid w:val="32FC18D5"/>
    <w:rsid w:val="33955886"/>
    <w:rsid w:val="33C3797D"/>
    <w:rsid w:val="347B2CCE"/>
    <w:rsid w:val="367B0D63"/>
    <w:rsid w:val="37060F75"/>
    <w:rsid w:val="382C4A0B"/>
    <w:rsid w:val="383C09C6"/>
    <w:rsid w:val="384C6E5B"/>
    <w:rsid w:val="3881462B"/>
    <w:rsid w:val="3A23599A"/>
    <w:rsid w:val="3C6127A9"/>
    <w:rsid w:val="3C6D55F2"/>
    <w:rsid w:val="3C8A7F52"/>
    <w:rsid w:val="3C964B49"/>
    <w:rsid w:val="3CD76F0F"/>
    <w:rsid w:val="3E9C5D1B"/>
    <w:rsid w:val="3EB92D70"/>
    <w:rsid w:val="3EF20030"/>
    <w:rsid w:val="3EF45B57"/>
    <w:rsid w:val="3F76656C"/>
    <w:rsid w:val="3F830C89"/>
    <w:rsid w:val="3FCC262F"/>
    <w:rsid w:val="4024421A"/>
    <w:rsid w:val="41AC096A"/>
    <w:rsid w:val="42360234"/>
    <w:rsid w:val="447F2366"/>
    <w:rsid w:val="44B00772"/>
    <w:rsid w:val="44F85796"/>
    <w:rsid w:val="45FB3C6E"/>
    <w:rsid w:val="45FB77CB"/>
    <w:rsid w:val="47024B89"/>
    <w:rsid w:val="471E5E67"/>
    <w:rsid w:val="47B40579"/>
    <w:rsid w:val="47B57E4D"/>
    <w:rsid w:val="47C02A7A"/>
    <w:rsid w:val="47DE55F6"/>
    <w:rsid w:val="47FF02E4"/>
    <w:rsid w:val="48C52312"/>
    <w:rsid w:val="49521DF7"/>
    <w:rsid w:val="4A001853"/>
    <w:rsid w:val="4A0A4480"/>
    <w:rsid w:val="4AC72371"/>
    <w:rsid w:val="4B217CD3"/>
    <w:rsid w:val="4B6D2F19"/>
    <w:rsid w:val="4BD42F98"/>
    <w:rsid w:val="4C9D5A7F"/>
    <w:rsid w:val="4D27359B"/>
    <w:rsid w:val="4DF3347D"/>
    <w:rsid w:val="4E434405"/>
    <w:rsid w:val="4F2B31A4"/>
    <w:rsid w:val="4F2C4E99"/>
    <w:rsid w:val="508A631B"/>
    <w:rsid w:val="51204589"/>
    <w:rsid w:val="518A40F8"/>
    <w:rsid w:val="519F4057"/>
    <w:rsid w:val="51B318A1"/>
    <w:rsid w:val="51FB0B52"/>
    <w:rsid w:val="525E35BB"/>
    <w:rsid w:val="52DC0984"/>
    <w:rsid w:val="52E94739"/>
    <w:rsid w:val="531B14AC"/>
    <w:rsid w:val="534065EA"/>
    <w:rsid w:val="549E05E7"/>
    <w:rsid w:val="552F7491"/>
    <w:rsid w:val="55E62245"/>
    <w:rsid w:val="55E93AE3"/>
    <w:rsid w:val="55F44A25"/>
    <w:rsid w:val="560A5808"/>
    <w:rsid w:val="562C577E"/>
    <w:rsid w:val="566D6A2E"/>
    <w:rsid w:val="56A56EFC"/>
    <w:rsid w:val="56CB4F97"/>
    <w:rsid w:val="5777D4F5"/>
    <w:rsid w:val="57FD3876"/>
    <w:rsid w:val="58445001"/>
    <w:rsid w:val="58D2260D"/>
    <w:rsid w:val="58FE1654"/>
    <w:rsid w:val="590E560F"/>
    <w:rsid w:val="592D3CE7"/>
    <w:rsid w:val="5C1D0043"/>
    <w:rsid w:val="5C5E1454"/>
    <w:rsid w:val="5C78171D"/>
    <w:rsid w:val="5D017965"/>
    <w:rsid w:val="5D215911"/>
    <w:rsid w:val="5D35760E"/>
    <w:rsid w:val="5D683540"/>
    <w:rsid w:val="5DA6050C"/>
    <w:rsid w:val="5DD230AF"/>
    <w:rsid w:val="5F5A7F63"/>
    <w:rsid w:val="5F993E84"/>
    <w:rsid w:val="5FAB3BB8"/>
    <w:rsid w:val="5FC6BB1E"/>
    <w:rsid w:val="5FF720F1"/>
    <w:rsid w:val="600339F4"/>
    <w:rsid w:val="60730CA5"/>
    <w:rsid w:val="61475B62"/>
    <w:rsid w:val="623954AB"/>
    <w:rsid w:val="633345F0"/>
    <w:rsid w:val="639D7CBB"/>
    <w:rsid w:val="63D86F45"/>
    <w:rsid w:val="64191A38"/>
    <w:rsid w:val="67A71109"/>
    <w:rsid w:val="67B33F51"/>
    <w:rsid w:val="67FF0F45"/>
    <w:rsid w:val="684576B7"/>
    <w:rsid w:val="68C53F3C"/>
    <w:rsid w:val="68D777CC"/>
    <w:rsid w:val="69931944"/>
    <w:rsid w:val="6B6F1F3D"/>
    <w:rsid w:val="6C16685D"/>
    <w:rsid w:val="6CFF5543"/>
    <w:rsid w:val="6D5C4743"/>
    <w:rsid w:val="6E1B63AC"/>
    <w:rsid w:val="6E421B8B"/>
    <w:rsid w:val="6ED83717"/>
    <w:rsid w:val="6F881820"/>
    <w:rsid w:val="71A010A2"/>
    <w:rsid w:val="71DC5E53"/>
    <w:rsid w:val="720158B9"/>
    <w:rsid w:val="72C139C6"/>
    <w:rsid w:val="72D57472"/>
    <w:rsid w:val="737D59BA"/>
    <w:rsid w:val="74377C4B"/>
    <w:rsid w:val="745368A0"/>
    <w:rsid w:val="746F7452"/>
    <w:rsid w:val="74C0380A"/>
    <w:rsid w:val="763E6C2C"/>
    <w:rsid w:val="76960CC6"/>
    <w:rsid w:val="77302EC9"/>
    <w:rsid w:val="774249AA"/>
    <w:rsid w:val="77C37683"/>
    <w:rsid w:val="78D10B9A"/>
    <w:rsid w:val="79586707"/>
    <w:rsid w:val="79FF515B"/>
    <w:rsid w:val="7A456C8B"/>
    <w:rsid w:val="7AE74861"/>
    <w:rsid w:val="7B1E74DC"/>
    <w:rsid w:val="7CFD1A9F"/>
    <w:rsid w:val="7D782ED3"/>
    <w:rsid w:val="7DE14F1D"/>
    <w:rsid w:val="7DFD162B"/>
    <w:rsid w:val="7E9F11B4"/>
    <w:rsid w:val="7F625BE9"/>
    <w:rsid w:val="7FC05006"/>
    <w:rsid w:val="7FC56178"/>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paragraph" w:customStyle="1" w:styleId="16">
    <w:name w:val="ToCaption"/>
    <w:basedOn w:val="1"/>
    <w:next w:val="1"/>
    <w:qFormat/>
    <w:uiPriority w:val="0"/>
    <w:pPr>
      <w:ind w:left="400" w:leftChars="200" w:hanging="200" w:hanging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4646</Words>
  <Characters>5112</Characters>
  <Lines>63</Lines>
  <Paragraphs>18</Paragraphs>
  <TotalTime>372</TotalTime>
  <ScaleCrop>false</ScaleCrop>
  <LinksUpToDate>false</LinksUpToDate>
  <CharactersWithSpaces>5119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颖</cp:lastModifiedBy>
  <cp:lastPrinted>2023-08-15T09:28:00Z</cp:lastPrinted>
  <dcterms:modified xsi:type="dcterms:W3CDTF">2024-09-23T03:34:05Z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4BF2D63DA553445A842C69AF9695B15A_12</vt:lpwstr>
  </property>
</Properties>
</file>