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80" w:lineRule="atLeast"/>
        <w:ind w:left="0" w:right="0" w:firstLine="0"/>
        <w:jc w:val="both"/>
        <w:rPr>
          <w:rFonts w:ascii="Times New Roman" w:hAnsi="Times New Roman" w:eastAsia="黑体" w:cs="Times New Roman"/>
          <w:sz w:val="32"/>
          <w:szCs w:val="32"/>
          <w:highlight w:val="none"/>
        </w:rPr>
      </w:pPr>
      <w:r>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t>附件1</w:t>
      </w:r>
    </w:p>
    <w:p>
      <w:pPr>
        <w:shd w:val="clear" w:color="auto" w:fill="auto"/>
        <w:spacing w:line="600" w:lineRule="exact"/>
        <w:rPr>
          <w:rFonts w:ascii="Times New Roman" w:hAnsi="Times New Roman" w:eastAsia="黑体" w:cs="Times New Roman"/>
          <w:sz w:val="32"/>
          <w:szCs w:val="32"/>
          <w:highlight w:val="none"/>
        </w:rPr>
      </w:pPr>
    </w:p>
    <w:p>
      <w:pPr>
        <w:shd w:val="clear" w:color="auto" w:fill="auto"/>
        <w:spacing w:line="600" w:lineRule="exact"/>
        <w:rPr>
          <w:rFonts w:ascii="Times New Roman" w:hAnsi="Times New Roman" w:eastAsia="黑体" w:cs="Times New Roman"/>
          <w:sz w:val="32"/>
          <w:szCs w:val="32"/>
          <w:highlight w:val="none"/>
        </w:rPr>
      </w:pPr>
    </w:p>
    <w:p>
      <w:pPr>
        <w:shd w:val="clear" w:color="auto" w:fill="auto"/>
        <w:spacing w:line="600" w:lineRule="exact"/>
        <w:rPr>
          <w:rFonts w:ascii="Times New Roman" w:hAnsi="Times New Roman" w:eastAsia="黑体" w:cs="Times New Roman"/>
          <w:sz w:val="32"/>
          <w:szCs w:val="32"/>
          <w:highlight w:val="none"/>
        </w:rPr>
      </w:pPr>
    </w:p>
    <w:p>
      <w:pPr>
        <w:pStyle w:val="2"/>
        <w:bidi w:val="0"/>
        <w:jc w:val="center"/>
        <w:rPr>
          <w:rFonts w:hint="eastAsia"/>
          <w:sz w:val="56"/>
          <w:szCs w:val="56"/>
          <w:lang w:eastAsia="zh-CN"/>
        </w:rPr>
      </w:pPr>
      <w:r>
        <w:rPr>
          <w:sz w:val="56"/>
          <w:szCs w:val="56"/>
        </w:rPr>
        <w:t>202</w:t>
      </w:r>
      <w:r>
        <w:rPr>
          <w:rFonts w:hint="eastAsia"/>
          <w:sz w:val="56"/>
          <w:szCs w:val="56"/>
          <w:lang w:val="en-US" w:eastAsia="zh-CN"/>
        </w:rPr>
        <w:t>3</w:t>
      </w:r>
      <w:r>
        <w:rPr>
          <w:sz w:val="56"/>
          <w:szCs w:val="56"/>
        </w:rPr>
        <w:t>年度</w:t>
      </w:r>
      <w:r>
        <w:rPr>
          <w:rFonts w:hint="eastAsia"/>
          <w:sz w:val="56"/>
          <w:szCs w:val="56"/>
          <w:lang w:eastAsia="zh-CN"/>
        </w:rPr>
        <w:t>怀化市农机事务中心</w:t>
      </w:r>
    </w:p>
    <w:p>
      <w:pPr>
        <w:pStyle w:val="2"/>
        <w:bidi w:val="0"/>
        <w:jc w:val="center"/>
        <w:rPr>
          <w:sz w:val="56"/>
          <w:szCs w:val="56"/>
        </w:rPr>
      </w:pPr>
      <w:r>
        <w:rPr>
          <w:rFonts w:hint="eastAsia"/>
          <w:sz w:val="56"/>
          <w:szCs w:val="56"/>
          <w:lang w:eastAsia="zh-CN"/>
        </w:rPr>
        <w:t>部门</w:t>
      </w:r>
      <w:r>
        <w:rPr>
          <w:sz w:val="56"/>
          <w:szCs w:val="56"/>
        </w:rPr>
        <w:t>整体支出绩效自评报告</w:t>
      </w:r>
    </w:p>
    <w:p>
      <w:pPr>
        <w:shd w:val="clear" w:color="auto" w:fill="auto"/>
        <w:jc w:val="both"/>
        <w:rPr>
          <w:rFonts w:ascii="Times New Roman" w:hAnsi="Times New Roman" w:eastAsia="楷体_GB2312" w:cs="Times New Roman"/>
          <w:b/>
          <w:sz w:val="32"/>
          <w:szCs w:val="32"/>
          <w:highlight w:val="none"/>
        </w:rPr>
      </w:pPr>
    </w:p>
    <w:p>
      <w:pPr>
        <w:shd w:val="clear" w:color="auto" w:fill="auto"/>
        <w:jc w:val="center"/>
        <w:rPr>
          <w:rFonts w:ascii="Times New Roman" w:hAnsi="Times New Roman" w:eastAsia="黑体" w:cs="Times New Roman"/>
          <w:sz w:val="32"/>
          <w:szCs w:val="32"/>
          <w:highlight w:val="none"/>
        </w:rPr>
      </w:pPr>
    </w:p>
    <w:p>
      <w:pPr>
        <w:shd w:val="clear" w:color="auto" w:fill="auto"/>
        <w:jc w:val="center"/>
        <w:rPr>
          <w:rFonts w:ascii="Times New Roman" w:hAnsi="Times New Roman" w:eastAsia="黑体" w:cs="Times New Roman"/>
          <w:sz w:val="32"/>
          <w:szCs w:val="32"/>
          <w:highlight w:val="none"/>
        </w:rPr>
      </w:pPr>
    </w:p>
    <w:p>
      <w:pPr>
        <w:shd w:val="clear" w:color="auto" w:fill="auto"/>
        <w:jc w:val="center"/>
        <w:rPr>
          <w:rFonts w:ascii="Times New Roman" w:hAnsi="Times New Roman" w:eastAsia="黑体" w:cs="Times New Roman"/>
          <w:sz w:val="32"/>
          <w:szCs w:val="32"/>
          <w:highlight w:val="none"/>
        </w:rPr>
      </w:pPr>
    </w:p>
    <w:p>
      <w:pPr>
        <w:shd w:val="clear" w:color="auto" w:fill="auto"/>
        <w:jc w:val="center"/>
        <w:rPr>
          <w:rFonts w:ascii="Times New Roman" w:hAnsi="Times New Roman" w:eastAsia="黑体" w:cs="Times New Roman"/>
          <w:sz w:val="32"/>
          <w:szCs w:val="32"/>
          <w:highlight w:val="none"/>
        </w:rPr>
      </w:pPr>
    </w:p>
    <w:p>
      <w:pPr>
        <w:shd w:val="clear" w:color="auto" w:fill="auto"/>
        <w:jc w:val="center"/>
        <w:rPr>
          <w:rFonts w:ascii="Times New Roman" w:hAnsi="Times New Roman" w:eastAsia="黑体" w:cs="Times New Roman"/>
          <w:sz w:val="32"/>
          <w:szCs w:val="32"/>
          <w:highlight w:val="none"/>
        </w:rPr>
      </w:pPr>
    </w:p>
    <w:p>
      <w:pPr>
        <w:shd w:val="clear" w:color="auto" w:fill="auto"/>
        <w:jc w:val="center"/>
        <w:rPr>
          <w:rFonts w:ascii="Times New Roman" w:hAnsi="Times New Roman" w:eastAsia="黑体" w:cs="Times New Roman"/>
          <w:sz w:val="32"/>
          <w:szCs w:val="32"/>
          <w:highlight w:val="none"/>
        </w:rPr>
      </w:pPr>
    </w:p>
    <w:p>
      <w:pPr>
        <w:shd w:val="clear" w:color="auto" w:fill="auto"/>
        <w:jc w:val="both"/>
        <w:rPr>
          <w:rFonts w:ascii="Times New Roman" w:hAnsi="Times New Roman" w:eastAsia="黑体" w:cs="Times New Roman"/>
          <w:sz w:val="32"/>
          <w:szCs w:val="32"/>
          <w:highlight w:val="none"/>
        </w:rPr>
      </w:pPr>
    </w:p>
    <w:p>
      <w:pPr>
        <w:shd w:val="clear" w:color="auto" w:fill="auto"/>
        <w:jc w:val="center"/>
        <w:rPr>
          <w:rFonts w:ascii="Times New Roman" w:hAnsi="Times New Roman" w:eastAsia="黑体" w:cs="Times New Roman"/>
          <w:sz w:val="32"/>
          <w:szCs w:val="32"/>
          <w:highlight w:val="none"/>
        </w:rPr>
      </w:pPr>
    </w:p>
    <w:p>
      <w:pPr>
        <w:shd w:val="clear" w:color="auto" w:fill="auto"/>
        <w:spacing w:line="600" w:lineRule="exact"/>
        <w:ind w:firstLine="1920" w:firstLineChars="600"/>
        <w:rPr>
          <w:rFonts w:ascii="Times New Roman" w:hAnsi="Times New Roman" w:eastAsia="仿宋_GB2312" w:cs="Times New Roman"/>
          <w:sz w:val="32"/>
          <w:szCs w:val="32"/>
          <w:highlight w:val="none"/>
          <w:u w:val="single"/>
        </w:rPr>
      </w:pPr>
      <w:r>
        <w:rPr>
          <w:rFonts w:ascii="Times New Roman" w:hAnsi="Times New Roman" w:eastAsia="仿宋_GB2312" w:cs="Times New Roman"/>
          <w:sz w:val="32"/>
          <w:szCs w:val="32"/>
          <w:highlight w:val="none"/>
        </w:rPr>
        <w:t>单位名称：</w:t>
      </w:r>
      <w:r>
        <w:rPr>
          <w:rFonts w:hint="eastAsia" w:ascii="Times New Roman" w:hAnsi="Times New Roman" w:eastAsia="仿宋_GB2312" w:cs="Times New Roman"/>
          <w:sz w:val="32"/>
          <w:szCs w:val="32"/>
          <w:highlight w:val="none"/>
          <w:u w:val="single"/>
          <w:lang w:eastAsia="zh-CN"/>
        </w:rPr>
        <w:t>怀化市农机事务中心</w:t>
      </w:r>
      <w:r>
        <w:rPr>
          <w:rFonts w:ascii="Times New Roman" w:hAnsi="Times New Roman" w:eastAsia="仿宋_GB2312" w:cs="Times New Roman"/>
          <w:sz w:val="32"/>
          <w:szCs w:val="32"/>
          <w:highlight w:val="none"/>
          <w:u w:val="single"/>
        </w:rPr>
        <w:t xml:space="preserve">        </w:t>
      </w:r>
    </w:p>
    <w:p>
      <w:pPr>
        <w:shd w:val="clear" w:color="auto" w:fill="auto"/>
        <w:spacing w:line="600" w:lineRule="exact"/>
        <w:ind w:firstLine="3200" w:firstLineChars="1000"/>
        <w:rPr>
          <w:rFonts w:ascii="Times New Roman" w:hAnsi="Times New Roman" w:eastAsia="楷体_GB2312" w:cs="Times New Roman"/>
          <w:sz w:val="32"/>
          <w:szCs w:val="32"/>
          <w:highlight w:val="none"/>
        </w:rPr>
      </w:pPr>
      <w:r>
        <w:rPr>
          <w:rFonts w:hint="eastAsia" w:ascii="Times New Roman" w:hAnsi="Times New Roman" w:eastAsia="楷体_GB2312" w:cs="Times New Roman"/>
          <w:sz w:val="32"/>
          <w:szCs w:val="32"/>
          <w:highlight w:val="none"/>
          <w:lang w:val="en-US" w:eastAsia="zh-CN"/>
        </w:rPr>
        <w:t>2024</w:t>
      </w:r>
      <w:r>
        <w:rPr>
          <w:rFonts w:ascii="Times New Roman" w:hAnsi="Times New Roman" w:eastAsia="楷体_GB2312" w:cs="Times New Roman"/>
          <w:sz w:val="32"/>
          <w:szCs w:val="32"/>
          <w:highlight w:val="none"/>
        </w:rPr>
        <w:t xml:space="preserve">年 </w:t>
      </w:r>
      <w:r>
        <w:rPr>
          <w:rFonts w:hint="eastAsia" w:ascii="Times New Roman" w:hAnsi="Times New Roman" w:eastAsia="楷体_GB2312" w:cs="Times New Roman"/>
          <w:sz w:val="32"/>
          <w:szCs w:val="32"/>
          <w:highlight w:val="none"/>
          <w:lang w:val="en-US" w:eastAsia="zh-CN"/>
        </w:rPr>
        <w:t>6</w:t>
      </w:r>
      <w:r>
        <w:rPr>
          <w:rFonts w:ascii="Times New Roman" w:hAnsi="Times New Roman" w:eastAsia="楷体_GB2312" w:cs="Times New Roman"/>
          <w:sz w:val="32"/>
          <w:szCs w:val="32"/>
          <w:highlight w:val="none"/>
        </w:rPr>
        <w:t xml:space="preserve"> 月 </w:t>
      </w:r>
      <w:r>
        <w:rPr>
          <w:rFonts w:hint="eastAsia" w:ascii="Times New Roman" w:hAnsi="Times New Roman" w:eastAsia="楷体_GB2312" w:cs="Times New Roman"/>
          <w:sz w:val="32"/>
          <w:szCs w:val="32"/>
          <w:highlight w:val="none"/>
          <w:lang w:val="en-US" w:eastAsia="zh-CN"/>
        </w:rPr>
        <w:t>27</w:t>
      </w:r>
      <w:r>
        <w:rPr>
          <w:rFonts w:ascii="Times New Roman" w:hAnsi="Times New Roman" w:eastAsia="楷体_GB2312" w:cs="Times New Roman"/>
          <w:sz w:val="32"/>
          <w:szCs w:val="32"/>
          <w:highlight w:val="none"/>
        </w:rPr>
        <w:t xml:space="preserve"> 日</w:t>
      </w:r>
    </w:p>
    <w:p>
      <w:pPr>
        <w:shd w:val="clear" w:color="auto" w:fill="auto"/>
        <w:jc w:val="center"/>
        <w:rPr>
          <w:rFonts w:ascii="Times New Roman" w:hAnsi="Times New Roman" w:eastAsia="黑体" w:cs="Times New Roman"/>
          <w:sz w:val="32"/>
          <w:szCs w:val="32"/>
          <w:highlight w:val="none"/>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hint="eastAsia" w:ascii="方正小标宋_GBK" w:hAnsi="方正小标宋_GBK" w:eastAsia="方正小标宋_GBK" w:cs="方正小标宋_GBK"/>
          <w:i w:val="0"/>
          <w:iCs w:val="0"/>
          <w:caps w:val="0"/>
          <w:color w:val="000000"/>
          <w:spacing w:val="0"/>
          <w:sz w:val="44"/>
          <w:szCs w:val="44"/>
          <w:shd w:val="clear" w:fill="FFFFFF"/>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hint="eastAsia" w:ascii="方正小标宋_GBK" w:hAnsi="方正小标宋_GBK" w:eastAsia="方正小标宋_GBK" w:cs="方正小标宋_GBK"/>
          <w:b w:val="0"/>
          <w:bCs w:val="0"/>
          <w:i w:val="0"/>
          <w:iCs w:val="0"/>
          <w:caps w:val="0"/>
          <w:color w:val="000000"/>
          <w:spacing w:val="0"/>
          <w:sz w:val="44"/>
          <w:szCs w:val="44"/>
          <w:shd w:val="clear" w:fill="FFFFFF"/>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ascii="方正小标宋_GBK" w:hAnsi="方正小标宋_GBK" w:eastAsia="方正小标宋_GBK" w:cs="方正小标宋_GBK"/>
          <w:b w:val="0"/>
          <w:bCs w:val="0"/>
          <w:i w:val="0"/>
          <w:iCs w:val="0"/>
          <w:caps w:val="0"/>
          <w:color w:val="000000"/>
          <w:spacing w:val="0"/>
          <w:sz w:val="44"/>
          <w:szCs w:val="44"/>
        </w:rPr>
      </w:pPr>
      <w:r>
        <w:rPr>
          <w:rFonts w:hint="eastAsia" w:ascii="方正小标宋_GBK" w:hAnsi="方正小标宋_GBK" w:eastAsia="方正小标宋_GBK" w:cs="方正小标宋_GBK"/>
          <w:b w:val="0"/>
          <w:bCs w:val="0"/>
          <w:i w:val="0"/>
          <w:iCs w:val="0"/>
          <w:caps w:val="0"/>
          <w:color w:val="000000"/>
          <w:spacing w:val="0"/>
          <w:sz w:val="44"/>
          <w:szCs w:val="44"/>
          <w:shd w:val="clear" w:fill="FFFFFF"/>
        </w:rPr>
        <w:t>部门整体支出绩效自评报告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ascii="仿宋_GB2312" w:eastAsia="仿宋_GB2312" w:cs="仿宋_GB2312"/>
          <w:i w:val="0"/>
          <w:iCs w:val="0"/>
          <w:caps w:val="0"/>
          <w:color w:val="000000"/>
          <w:spacing w:val="0"/>
          <w:sz w:val="24"/>
          <w:szCs w:val="24"/>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一、部门、单位基本情况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（一）机构设置情况</w:t>
      </w:r>
    </w:p>
    <w:p>
      <w:pPr>
        <w:keepNext w:val="0"/>
        <w:keepLines w:val="0"/>
        <w:pageBreakBefore w:val="0"/>
        <w:widowControl/>
        <w:shd w:val="clear" w:color="auto"/>
        <w:tabs>
          <w:tab w:val="left" w:pos="3450"/>
        </w:tabs>
        <w:kinsoku/>
        <w:wordWrap/>
        <w:overflowPunct/>
        <w:topLinePunct w:val="0"/>
        <w:autoSpaceDN/>
        <w:bidi w:val="0"/>
        <w:adjustRightInd/>
        <w:snapToGrid/>
        <w:spacing w:afterAutospacing="0" w:line="560" w:lineRule="exact"/>
        <w:ind w:firstLine="640" w:firstLineChars="200"/>
        <w:jc w:val="left"/>
        <w:rPr>
          <w:rFonts w:hint="default" w:ascii="仿宋" w:hAnsi="仿宋" w:eastAsia="仿宋" w:cs="仿宋_GB2312"/>
          <w:kern w:val="0"/>
          <w:sz w:val="32"/>
          <w:szCs w:val="32"/>
          <w:highlight w:val="none"/>
          <w:lang w:val="en-US" w:eastAsia="zh-CN"/>
        </w:rPr>
      </w:pPr>
      <w:r>
        <w:rPr>
          <w:rFonts w:hint="eastAsia" w:ascii="仿宋" w:hAnsi="仿宋" w:eastAsia="仿宋" w:cs="仿宋_GB2312"/>
          <w:kern w:val="0"/>
          <w:sz w:val="32"/>
          <w:szCs w:val="32"/>
          <w:highlight w:val="none"/>
          <w:lang w:val="en-US" w:eastAsia="zh-CN"/>
        </w:rPr>
        <w:t>1.机构和人员情况</w:t>
      </w:r>
    </w:p>
    <w:p>
      <w:pPr>
        <w:keepNext w:val="0"/>
        <w:keepLines w:val="0"/>
        <w:pageBreakBefore w:val="0"/>
        <w:widowControl/>
        <w:shd w:val="clear" w:color="auto"/>
        <w:tabs>
          <w:tab w:val="left" w:pos="3450"/>
        </w:tabs>
        <w:kinsoku/>
        <w:wordWrap/>
        <w:overflowPunct/>
        <w:topLinePunct w:val="0"/>
        <w:autoSpaceDN/>
        <w:bidi w:val="0"/>
        <w:adjustRightInd/>
        <w:snapToGrid/>
        <w:spacing w:afterAutospacing="0" w:line="560" w:lineRule="exact"/>
        <w:ind w:firstLine="640" w:firstLineChars="200"/>
        <w:jc w:val="left"/>
        <w:rPr>
          <w:rFonts w:hint="default" w:ascii="仿宋" w:hAnsi="仿宋" w:eastAsia="仿宋" w:cs="仿宋_GB2312"/>
          <w:kern w:val="0"/>
          <w:sz w:val="32"/>
          <w:szCs w:val="32"/>
          <w:highlight w:val="none"/>
          <w:lang w:eastAsia="zh-CN"/>
        </w:rPr>
      </w:pPr>
      <w:r>
        <w:rPr>
          <w:rFonts w:hint="eastAsia" w:ascii="仿宋" w:hAnsi="仿宋" w:eastAsia="仿宋" w:cs="仿宋_GB2312"/>
          <w:kern w:val="0"/>
          <w:sz w:val="32"/>
          <w:szCs w:val="32"/>
          <w:highlight w:val="none"/>
        </w:rPr>
        <w:t>怀化市</w:t>
      </w:r>
      <w:r>
        <w:rPr>
          <w:rFonts w:hint="eastAsia" w:ascii="仿宋" w:hAnsi="仿宋" w:eastAsia="仿宋" w:cs="仿宋_GB2312"/>
          <w:kern w:val="0"/>
          <w:sz w:val="32"/>
          <w:szCs w:val="32"/>
          <w:highlight w:val="none"/>
          <w:lang w:eastAsia="zh-CN"/>
        </w:rPr>
        <w:t>农机事务中心</w:t>
      </w:r>
      <w:r>
        <w:rPr>
          <w:rFonts w:hint="eastAsia" w:ascii="Times New Roman" w:hAnsi="Times New Roman" w:eastAsia="仿宋_GB2312" w:cs="Times New Roman"/>
          <w:sz w:val="32"/>
          <w:szCs w:val="32"/>
          <w:highlight w:val="none"/>
          <w:lang w:val="en-US" w:eastAsia="zh-CN"/>
        </w:rPr>
        <w:t>为</w:t>
      </w:r>
      <w:r>
        <w:rPr>
          <w:rFonts w:hint="eastAsia" w:ascii="仿宋" w:hAnsi="仿宋" w:eastAsia="仿宋" w:cs="仿宋_GB2312"/>
          <w:kern w:val="0"/>
          <w:sz w:val="32"/>
          <w:szCs w:val="32"/>
          <w:highlight w:val="none"/>
          <w:lang w:val="en-US" w:eastAsia="zh-CN"/>
        </w:rPr>
        <w:t>市农业农村局管理的副处级行政类事业单位（参公）</w:t>
      </w:r>
      <w:r>
        <w:rPr>
          <w:rFonts w:hint="eastAsia" w:ascii="仿宋" w:hAnsi="仿宋" w:eastAsia="仿宋" w:cs="仿宋_GB2312"/>
          <w:kern w:val="0"/>
          <w:sz w:val="32"/>
          <w:szCs w:val="32"/>
          <w:highlight w:val="none"/>
          <w:lang w:eastAsia="zh-CN"/>
        </w:rPr>
        <w:t>，内设五个科室，包括：综合部、人事和财务部、产业发展部、生产服务部、安全监理部。</w:t>
      </w:r>
    </w:p>
    <w:p>
      <w:pPr>
        <w:pStyle w:val="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人员编制情况</w:t>
      </w:r>
    </w:p>
    <w:p>
      <w:pPr>
        <w:keepNext w:val="0"/>
        <w:keepLines w:val="0"/>
        <w:pageBreakBefore w:val="0"/>
        <w:widowControl/>
        <w:shd w:val="clear" w:color="auto"/>
        <w:tabs>
          <w:tab w:val="left" w:pos="3450"/>
        </w:tabs>
        <w:kinsoku/>
        <w:wordWrap/>
        <w:overflowPunct/>
        <w:topLinePunct w:val="0"/>
        <w:autoSpaceDN/>
        <w:bidi w:val="0"/>
        <w:adjustRightInd/>
        <w:snapToGrid/>
        <w:spacing w:afterAutospacing="0" w:line="560" w:lineRule="exact"/>
        <w:ind w:firstLine="640" w:firstLineChars="200"/>
        <w:jc w:val="left"/>
        <w:rPr>
          <w:rFonts w:hint="default" w:ascii="仿宋" w:hAnsi="仿宋" w:eastAsia="仿宋" w:cs="仿宋_GB2312"/>
          <w:kern w:val="0"/>
          <w:sz w:val="32"/>
          <w:szCs w:val="32"/>
          <w:highlight w:val="none"/>
          <w:lang w:eastAsia="zh-CN"/>
        </w:rPr>
      </w:pPr>
      <w:r>
        <w:rPr>
          <w:rFonts w:hint="eastAsia" w:ascii="仿宋" w:hAnsi="仿宋" w:eastAsia="仿宋" w:cs="仿宋_GB2312"/>
          <w:kern w:val="0"/>
          <w:sz w:val="32"/>
          <w:szCs w:val="32"/>
          <w:highlight w:val="none"/>
          <w:lang w:val="en-US" w:eastAsia="zh-CN"/>
        </w:rPr>
        <w:t>2023年末，我中心参照公务员法管理人员编制17名，实际在职干部职工16人（其中：机关工勤人员2人）。</w:t>
      </w:r>
    </w:p>
    <w:p>
      <w:pPr>
        <w:pStyle w:val="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left="0" w:leftChars="0" w:right="0" w:firstLine="0" w:firstLineChars="0"/>
        <w:textAlignment w:val="auto"/>
        <w:rPr>
          <w:rFonts w:hint="eastAsia" w:ascii="仿宋" w:hAnsi="仿宋" w:eastAsia="仿宋" w:cs="仿宋_GB2312"/>
          <w:kern w:val="0"/>
          <w:sz w:val="32"/>
          <w:szCs w:val="32"/>
          <w:highlight w:val="none"/>
          <w:lang w:val="en-US" w:eastAsia="zh-CN" w:bidi="ar-SA"/>
        </w:rPr>
      </w:pPr>
      <w:r>
        <w:rPr>
          <w:rFonts w:hint="default" w:ascii="楷体_GB2312" w:eastAsia="楷体_GB2312" w:cs="楷体_GB2312"/>
          <w:i w:val="0"/>
          <w:iCs w:val="0"/>
          <w:caps w:val="0"/>
          <w:color w:val="000000"/>
          <w:spacing w:val="0"/>
          <w:sz w:val="32"/>
          <w:szCs w:val="32"/>
          <w:shd w:val="clear" w:fill="FFFFFF"/>
        </w:rPr>
        <w:t>主要职能职责</w:t>
      </w:r>
      <w:r>
        <w:rPr>
          <w:rFonts w:hint="eastAsia" w:ascii="仿宋" w:hAnsi="仿宋" w:eastAsia="仿宋" w:cs="仿宋_GB2312"/>
          <w:kern w:val="0"/>
          <w:sz w:val="32"/>
          <w:szCs w:val="32"/>
          <w:highlight w:val="none"/>
        </w:rPr>
        <w:br w:type="textWrapping"/>
      </w:r>
      <w:r>
        <w:rPr>
          <w:rFonts w:hint="eastAsia" w:ascii="仿宋" w:hAnsi="仿宋" w:eastAsia="仿宋" w:cs="仿宋_GB2312"/>
          <w:kern w:val="0"/>
          <w:sz w:val="32"/>
          <w:szCs w:val="32"/>
          <w:highlight w:val="none"/>
        </w:rPr>
        <w:t>　　</w:t>
      </w:r>
      <w:r>
        <w:rPr>
          <w:rFonts w:hint="eastAsia" w:ascii="仿宋" w:hAnsi="仿宋" w:eastAsia="仿宋" w:cs="仿宋_GB2312"/>
          <w:kern w:val="0"/>
          <w:sz w:val="32"/>
          <w:szCs w:val="32"/>
          <w:highlight w:val="none"/>
          <w:lang w:val="en-US" w:eastAsia="zh-CN" w:bidi="ar-SA"/>
        </w:rPr>
        <w:t>（1）贯彻执行党中央、国务院、省委、省政府、市委、市政府有关农业机械化工作的方针政策和法律法规，为我市农业机械化发展提供技术性支撑和公益性、事务性服务。</w:t>
      </w:r>
    </w:p>
    <w:p>
      <w:pPr>
        <w:keepNext w:val="0"/>
        <w:keepLines w:val="0"/>
        <w:pageBreakBefore w:val="0"/>
        <w:widowControl/>
        <w:numPr>
          <w:ilvl w:val="0"/>
          <w:numId w:val="0"/>
        </w:numPr>
        <w:shd w:val="clear" w:color="auto"/>
        <w:tabs>
          <w:tab w:val="left" w:pos="3450"/>
        </w:tabs>
        <w:kinsoku/>
        <w:wordWrap/>
        <w:overflowPunct/>
        <w:topLinePunct w:val="0"/>
        <w:autoSpaceDN/>
        <w:bidi w:val="0"/>
        <w:adjustRightInd/>
        <w:snapToGrid/>
        <w:spacing w:afterAutospacing="0" w:line="560" w:lineRule="exact"/>
        <w:ind w:firstLine="640" w:firstLineChars="200"/>
        <w:jc w:val="left"/>
        <w:rPr>
          <w:rFonts w:hint="eastAsia" w:ascii="仿宋" w:hAnsi="仿宋" w:eastAsia="仿宋" w:cs="仿宋_GB2312"/>
          <w:kern w:val="0"/>
          <w:sz w:val="32"/>
          <w:szCs w:val="32"/>
          <w:highlight w:val="none"/>
          <w:lang w:val="en-US" w:eastAsia="zh-CN" w:bidi="ar-SA"/>
        </w:rPr>
      </w:pPr>
      <w:r>
        <w:rPr>
          <w:rFonts w:hint="eastAsia" w:ascii="仿宋" w:hAnsi="仿宋" w:eastAsia="仿宋" w:cs="仿宋_GB2312"/>
          <w:kern w:val="0"/>
          <w:sz w:val="32"/>
          <w:szCs w:val="32"/>
          <w:highlight w:val="none"/>
          <w:lang w:val="en-US" w:eastAsia="zh-CN" w:bidi="ar-SA"/>
        </w:rPr>
        <w:t>（2）承担全市农业机械化事业发展规划和有关标准、技术规范的研究工作，调查研究农业机械社会化服务和产业化发展的经济、技术问题，开展相关评估论证，提出对策建议。</w:t>
      </w:r>
    </w:p>
    <w:p>
      <w:pPr>
        <w:keepNext w:val="0"/>
        <w:keepLines w:val="0"/>
        <w:pageBreakBefore w:val="0"/>
        <w:widowControl/>
        <w:numPr>
          <w:ilvl w:val="0"/>
          <w:numId w:val="0"/>
        </w:numPr>
        <w:shd w:val="clear" w:color="auto"/>
        <w:tabs>
          <w:tab w:val="left" w:pos="3450"/>
        </w:tabs>
        <w:kinsoku/>
        <w:wordWrap/>
        <w:overflowPunct/>
        <w:topLinePunct w:val="0"/>
        <w:autoSpaceDN/>
        <w:bidi w:val="0"/>
        <w:adjustRightInd/>
        <w:snapToGrid/>
        <w:spacing w:afterAutospacing="0" w:line="560" w:lineRule="exact"/>
        <w:ind w:firstLine="640" w:firstLineChars="200"/>
        <w:jc w:val="left"/>
        <w:rPr>
          <w:rFonts w:hint="eastAsia" w:ascii="仿宋" w:hAnsi="仿宋" w:eastAsia="仿宋" w:cs="仿宋_GB2312"/>
          <w:kern w:val="0"/>
          <w:sz w:val="32"/>
          <w:szCs w:val="32"/>
          <w:highlight w:val="none"/>
          <w:lang w:eastAsia="zh-CN"/>
        </w:rPr>
      </w:pPr>
      <w:r>
        <w:rPr>
          <w:rFonts w:hint="eastAsia" w:ascii="仿宋" w:hAnsi="仿宋" w:eastAsia="仿宋" w:cs="仿宋_GB2312"/>
          <w:kern w:val="0"/>
          <w:sz w:val="32"/>
          <w:szCs w:val="32"/>
          <w:highlight w:val="none"/>
          <w:lang w:val="en-US" w:eastAsia="zh-CN" w:bidi="ar-SA"/>
        </w:rPr>
        <w:t>（3）为全市农业机械化生产、农机社会化服务、农机维修、农机抗灾救灾、农机安全生产监管等相关工作提供技术支</w:t>
      </w:r>
      <w:r>
        <w:rPr>
          <w:rFonts w:hint="eastAsia" w:ascii="仿宋" w:hAnsi="仿宋" w:eastAsia="仿宋" w:cs="仿宋_GB2312"/>
          <w:kern w:val="0"/>
          <w:sz w:val="32"/>
          <w:szCs w:val="32"/>
          <w:highlight w:val="none"/>
          <w:lang w:eastAsia="zh-CN"/>
        </w:rPr>
        <w:t>持、服务保障和相关公益服务。承担农业机械从业人员教育培训和职业技能开发工作。</w:t>
      </w:r>
    </w:p>
    <w:p>
      <w:pPr>
        <w:keepNext w:val="0"/>
        <w:keepLines w:val="0"/>
        <w:pageBreakBefore w:val="0"/>
        <w:widowControl/>
        <w:numPr>
          <w:ilvl w:val="0"/>
          <w:numId w:val="0"/>
        </w:numPr>
        <w:shd w:val="clear" w:color="auto"/>
        <w:tabs>
          <w:tab w:val="left" w:pos="3450"/>
        </w:tabs>
        <w:kinsoku/>
        <w:wordWrap/>
        <w:overflowPunct/>
        <w:topLinePunct w:val="0"/>
        <w:autoSpaceDN/>
        <w:bidi w:val="0"/>
        <w:adjustRightInd/>
        <w:snapToGrid/>
        <w:spacing w:afterAutospacing="0" w:line="560" w:lineRule="exact"/>
        <w:ind w:firstLine="640" w:firstLineChars="200"/>
        <w:jc w:val="left"/>
        <w:rPr>
          <w:rFonts w:hint="eastAsia" w:ascii="仿宋" w:hAnsi="仿宋" w:eastAsia="仿宋" w:cs="仿宋_GB2312"/>
          <w:kern w:val="0"/>
          <w:sz w:val="32"/>
          <w:szCs w:val="32"/>
          <w:highlight w:val="none"/>
          <w:lang w:eastAsia="zh-CN"/>
        </w:rPr>
      </w:pPr>
      <w:r>
        <w:rPr>
          <w:rFonts w:hint="eastAsia" w:ascii="仿宋" w:hAnsi="仿宋" w:eastAsia="仿宋" w:cs="仿宋_GB2312"/>
          <w:kern w:val="0"/>
          <w:sz w:val="32"/>
          <w:szCs w:val="32"/>
          <w:highlight w:val="none"/>
          <w:lang w:eastAsia="zh-CN"/>
        </w:rPr>
        <w:t>（</w:t>
      </w:r>
      <w:r>
        <w:rPr>
          <w:rFonts w:hint="eastAsia" w:ascii="仿宋" w:hAnsi="仿宋" w:eastAsia="仿宋" w:cs="仿宋_GB2312"/>
          <w:kern w:val="0"/>
          <w:sz w:val="32"/>
          <w:szCs w:val="32"/>
          <w:highlight w:val="none"/>
          <w:lang w:val="en-US" w:eastAsia="zh-CN"/>
        </w:rPr>
        <w:t>4</w:t>
      </w:r>
      <w:r>
        <w:rPr>
          <w:rFonts w:hint="eastAsia" w:ascii="仿宋" w:hAnsi="仿宋" w:eastAsia="仿宋" w:cs="仿宋_GB2312"/>
          <w:kern w:val="0"/>
          <w:sz w:val="32"/>
          <w:szCs w:val="32"/>
          <w:highlight w:val="none"/>
          <w:lang w:eastAsia="zh-CN"/>
        </w:rPr>
        <w:t>）承担农业机械补贴政策实施相关事务性工作。</w:t>
      </w:r>
    </w:p>
    <w:p>
      <w:pPr>
        <w:keepNext w:val="0"/>
        <w:keepLines w:val="0"/>
        <w:pageBreakBefore w:val="0"/>
        <w:widowControl/>
        <w:numPr>
          <w:ilvl w:val="0"/>
          <w:numId w:val="0"/>
        </w:numPr>
        <w:shd w:val="clear" w:color="auto"/>
        <w:tabs>
          <w:tab w:val="left" w:pos="3450"/>
        </w:tabs>
        <w:kinsoku/>
        <w:wordWrap/>
        <w:overflowPunct/>
        <w:topLinePunct w:val="0"/>
        <w:autoSpaceDN/>
        <w:bidi w:val="0"/>
        <w:adjustRightInd/>
        <w:snapToGrid/>
        <w:spacing w:afterAutospacing="0" w:line="560" w:lineRule="exact"/>
        <w:ind w:firstLine="640" w:firstLineChars="200"/>
        <w:jc w:val="left"/>
        <w:rPr>
          <w:rFonts w:hint="eastAsia" w:ascii="仿宋" w:hAnsi="仿宋" w:eastAsia="仿宋" w:cs="仿宋_GB2312"/>
          <w:kern w:val="0"/>
          <w:sz w:val="32"/>
          <w:szCs w:val="32"/>
          <w:highlight w:val="none"/>
          <w:lang w:eastAsia="zh-CN"/>
        </w:rPr>
      </w:pPr>
      <w:r>
        <w:rPr>
          <w:rFonts w:hint="eastAsia" w:ascii="仿宋" w:hAnsi="仿宋" w:eastAsia="仿宋" w:cs="仿宋_GB2312"/>
          <w:kern w:val="0"/>
          <w:sz w:val="32"/>
          <w:szCs w:val="32"/>
          <w:highlight w:val="none"/>
          <w:lang w:eastAsia="zh-CN"/>
        </w:rPr>
        <w:t>（</w:t>
      </w:r>
      <w:r>
        <w:rPr>
          <w:rFonts w:hint="eastAsia" w:ascii="仿宋" w:hAnsi="仿宋" w:eastAsia="仿宋" w:cs="仿宋_GB2312"/>
          <w:kern w:val="0"/>
          <w:sz w:val="32"/>
          <w:szCs w:val="32"/>
          <w:highlight w:val="none"/>
          <w:lang w:val="en-US" w:eastAsia="zh-CN"/>
        </w:rPr>
        <w:t>5</w:t>
      </w:r>
      <w:r>
        <w:rPr>
          <w:rFonts w:hint="eastAsia" w:ascii="仿宋" w:hAnsi="仿宋" w:eastAsia="仿宋" w:cs="仿宋_GB2312"/>
          <w:kern w:val="0"/>
          <w:sz w:val="32"/>
          <w:szCs w:val="32"/>
          <w:highlight w:val="none"/>
          <w:lang w:eastAsia="zh-CN"/>
        </w:rPr>
        <w:t>）承担农业机械化信息网络建设运行、农业机械化生产信息统计工作。</w:t>
      </w:r>
    </w:p>
    <w:p>
      <w:pPr>
        <w:keepNext w:val="0"/>
        <w:keepLines w:val="0"/>
        <w:pageBreakBefore w:val="0"/>
        <w:widowControl/>
        <w:numPr>
          <w:ilvl w:val="0"/>
          <w:numId w:val="0"/>
        </w:numPr>
        <w:shd w:val="clear" w:color="auto"/>
        <w:tabs>
          <w:tab w:val="left" w:pos="3450"/>
        </w:tabs>
        <w:kinsoku/>
        <w:wordWrap/>
        <w:overflowPunct/>
        <w:topLinePunct w:val="0"/>
        <w:autoSpaceDN/>
        <w:bidi w:val="0"/>
        <w:adjustRightInd/>
        <w:snapToGrid/>
        <w:spacing w:afterAutospacing="0" w:line="560" w:lineRule="exact"/>
        <w:ind w:firstLine="640" w:firstLineChars="200"/>
        <w:jc w:val="left"/>
        <w:rPr>
          <w:rFonts w:hint="eastAsia" w:ascii="仿宋" w:hAnsi="仿宋" w:eastAsia="仿宋" w:cs="仿宋_GB2312"/>
          <w:kern w:val="0"/>
          <w:sz w:val="32"/>
          <w:szCs w:val="32"/>
          <w:highlight w:val="none"/>
          <w:lang w:eastAsia="zh-CN"/>
        </w:rPr>
      </w:pPr>
      <w:r>
        <w:rPr>
          <w:rFonts w:hint="eastAsia" w:ascii="仿宋" w:hAnsi="仿宋" w:eastAsia="仿宋" w:cs="仿宋_GB2312"/>
          <w:kern w:val="0"/>
          <w:sz w:val="32"/>
          <w:szCs w:val="32"/>
          <w:highlight w:val="none"/>
          <w:lang w:eastAsia="zh-CN"/>
        </w:rPr>
        <w:t>（</w:t>
      </w:r>
      <w:r>
        <w:rPr>
          <w:rFonts w:hint="eastAsia" w:ascii="仿宋" w:hAnsi="仿宋" w:eastAsia="仿宋" w:cs="仿宋_GB2312"/>
          <w:kern w:val="0"/>
          <w:sz w:val="32"/>
          <w:szCs w:val="32"/>
          <w:highlight w:val="none"/>
          <w:lang w:val="en-US" w:eastAsia="zh-CN"/>
        </w:rPr>
        <w:t>6</w:t>
      </w:r>
      <w:r>
        <w:rPr>
          <w:rFonts w:hint="eastAsia" w:ascii="仿宋" w:hAnsi="仿宋" w:eastAsia="仿宋" w:cs="仿宋_GB2312"/>
          <w:kern w:val="0"/>
          <w:sz w:val="32"/>
          <w:szCs w:val="32"/>
          <w:highlight w:val="none"/>
          <w:lang w:eastAsia="zh-CN"/>
        </w:rPr>
        <w:t>）承担农业机械化新机具、新技术的引进和示范推广等相关技术性、事务性工作。</w:t>
      </w:r>
    </w:p>
    <w:p>
      <w:pPr>
        <w:keepNext w:val="0"/>
        <w:keepLines w:val="0"/>
        <w:pageBreakBefore w:val="0"/>
        <w:widowControl/>
        <w:numPr>
          <w:ilvl w:val="0"/>
          <w:numId w:val="0"/>
        </w:numPr>
        <w:shd w:val="clear" w:color="auto"/>
        <w:tabs>
          <w:tab w:val="left" w:pos="3450"/>
        </w:tabs>
        <w:kinsoku/>
        <w:wordWrap/>
        <w:overflowPunct/>
        <w:topLinePunct w:val="0"/>
        <w:autoSpaceDN/>
        <w:bidi w:val="0"/>
        <w:adjustRightInd/>
        <w:snapToGrid/>
        <w:spacing w:afterAutospacing="0" w:line="560" w:lineRule="exact"/>
        <w:ind w:firstLine="640" w:firstLineChars="200"/>
        <w:jc w:val="left"/>
        <w:rPr>
          <w:rFonts w:hint="eastAsia" w:ascii="仿宋" w:hAnsi="仿宋" w:eastAsia="仿宋" w:cs="仿宋_GB2312"/>
          <w:kern w:val="0"/>
          <w:sz w:val="32"/>
          <w:szCs w:val="32"/>
          <w:highlight w:val="none"/>
          <w:lang w:eastAsia="zh-CN"/>
        </w:rPr>
      </w:pPr>
      <w:r>
        <w:rPr>
          <w:rFonts w:hint="eastAsia" w:ascii="仿宋" w:hAnsi="仿宋" w:eastAsia="仿宋" w:cs="仿宋_GB2312"/>
          <w:kern w:val="0"/>
          <w:sz w:val="32"/>
          <w:szCs w:val="32"/>
          <w:highlight w:val="none"/>
          <w:lang w:eastAsia="zh-CN"/>
        </w:rPr>
        <w:t>（</w:t>
      </w:r>
      <w:r>
        <w:rPr>
          <w:rFonts w:hint="eastAsia" w:ascii="仿宋" w:hAnsi="仿宋" w:eastAsia="仿宋" w:cs="仿宋_GB2312"/>
          <w:kern w:val="0"/>
          <w:sz w:val="32"/>
          <w:szCs w:val="32"/>
          <w:highlight w:val="none"/>
          <w:lang w:val="en-US" w:eastAsia="zh-CN"/>
        </w:rPr>
        <w:t>7</w:t>
      </w:r>
      <w:r>
        <w:rPr>
          <w:rFonts w:hint="eastAsia" w:ascii="仿宋" w:hAnsi="仿宋" w:eastAsia="仿宋" w:cs="仿宋_GB2312"/>
          <w:kern w:val="0"/>
          <w:sz w:val="32"/>
          <w:szCs w:val="32"/>
          <w:highlight w:val="none"/>
          <w:lang w:eastAsia="zh-CN"/>
        </w:rPr>
        <w:t>）对县市区农机事务中心进行业务和技术指导，联系市农机行业协会等社会组织。</w:t>
      </w:r>
    </w:p>
    <w:p>
      <w:pPr>
        <w:keepNext w:val="0"/>
        <w:keepLines w:val="0"/>
        <w:pageBreakBefore w:val="0"/>
        <w:widowControl/>
        <w:numPr>
          <w:ilvl w:val="0"/>
          <w:numId w:val="0"/>
        </w:numPr>
        <w:shd w:val="clear" w:color="auto"/>
        <w:tabs>
          <w:tab w:val="left" w:pos="3450"/>
        </w:tabs>
        <w:kinsoku/>
        <w:wordWrap/>
        <w:overflowPunct/>
        <w:topLinePunct w:val="0"/>
        <w:autoSpaceDN/>
        <w:bidi w:val="0"/>
        <w:adjustRightInd/>
        <w:snapToGrid/>
        <w:spacing w:afterAutospacing="0" w:line="560" w:lineRule="exact"/>
        <w:ind w:firstLine="640" w:firstLineChars="200"/>
        <w:jc w:val="left"/>
        <w:rPr>
          <w:rFonts w:hint="default" w:ascii="楷体_GB2312" w:eastAsia="楷体_GB2312" w:cs="楷体_GB2312"/>
          <w:i w:val="0"/>
          <w:iCs w:val="0"/>
          <w:caps w:val="0"/>
          <w:color w:val="000000"/>
          <w:spacing w:val="0"/>
          <w:sz w:val="32"/>
          <w:szCs w:val="32"/>
          <w:shd w:val="clear" w:fill="FFFFFF"/>
        </w:rPr>
      </w:pPr>
      <w:r>
        <w:rPr>
          <w:rFonts w:hint="eastAsia" w:ascii="仿宋" w:hAnsi="仿宋" w:eastAsia="仿宋" w:cs="仿宋_GB2312"/>
          <w:kern w:val="0"/>
          <w:sz w:val="32"/>
          <w:szCs w:val="32"/>
          <w:highlight w:val="none"/>
          <w:lang w:eastAsia="zh-CN"/>
        </w:rPr>
        <w:t>（</w:t>
      </w:r>
      <w:r>
        <w:rPr>
          <w:rFonts w:hint="eastAsia" w:ascii="仿宋" w:hAnsi="仿宋" w:eastAsia="仿宋" w:cs="仿宋_GB2312"/>
          <w:kern w:val="0"/>
          <w:sz w:val="32"/>
          <w:szCs w:val="32"/>
          <w:highlight w:val="none"/>
          <w:lang w:val="en-US" w:eastAsia="zh-CN"/>
        </w:rPr>
        <w:t>8</w:t>
      </w:r>
      <w:r>
        <w:rPr>
          <w:rFonts w:hint="eastAsia" w:ascii="仿宋" w:hAnsi="仿宋" w:eastAsia="仿宋" w:cs="仿宋_GB2312"/>
          <w:kern w:val="0"/>
          <w:sz w:val="32"/>
          <w:szCs w:val="32"/>
          <w:highlight w:val="none"/>
          <w:lang w:eastAsia="zh-CN"/>
        </w:rPr>
        <w:t>）承担市农业农村局交办的其他事项。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（四）绩效目标设定情况</w:t>
      </w:r>
    </w:p>
    <w:p>
      <w:pPr>
        <w:keepNext w:val="0"/>
        <w:keepLines w:val="0"/>
        <w:pageBreakBefore w:val="0"/>
        <w:widowControl/>
        <w:shd w:val="clear" w:color="auto"/>
        <w:kinsoku/>
        <w:wordWrap/>
        <w:overflowPunct/>
        <w:topLinePunct w:val="0"/>
        <w:autoSpaceDN/>
        <w:bidi w:val="0"/>
        <w:adjustRightInd/>
        <w:snapToGrid/>
        <w:spacing w:afterAutospacing="0" w:line="560" w:lineRule="exact"/>
        <w:ind w:firstLine="640" w:firstLineChars="200"/>
        <w:jc w:val="left"/>
        <w:rPr>
          <w:rFonts w:hint="default" w:ascii="仿宋" w:hAnsi="仿宋" w:eastAsia="仿宋" w:cs="宋体"/>
          <w:color w:val="010101"/>
          <w:kern w:val="0"/>
          <w:sz w:val="32"/>
          <w:szCs w:val="32"/>
          <w:highlight w:val="none"/>
          <w:lang w:val="en-US" w:eastAsia="zh-CN"/>
        </w:rPr>
      </w:pPr>
      <w:r>
        <w:rPr>
          <w:rFonts w:hint="eastAsia" w:ascii="仿宋" w:hAnsi="仿宋" w:eastAsia="仿宋" w:cs="宋体"/>
          <w:color w:val="010101"/>
          <w:kern w:val="0"/>
          <w:sz w:val="32"/>
          <w:szCs w:val="32"/>
          <w:highlight w:val="none"/>
          <w:lang w:val="en-US" w:eastAsia="zh-CN"/>
        </w:rPr>
        <w:t>（1）</w:t>
      </w:r>
      <w:r>
        <w:rPr>
          <w:rFonts w:hint="default" w:ascii="仿宋" w:hAnsi="仿宋" w:eastAsia="仿宋" w:cs="宋体"/>
          <w:color w:val="010101"/>
          <w:kern w:val="0"/>
          <w:sz w:val="32"/>
          <w:szCs w:val="32"/>
          <w:highlight w:val="none"/>
          <w:lang w:val="en-US" w:eastAsia="zh-CN"/>
        </w:rPr>
        <w:t>农机购置补贴政策实施；</w:t>
      </w:r>
    </w:p>
    <w:p>
      <w:pPr>
        <w:keepNext w:val="0"/>
        <w:keepLines w:val="0"/>
        <w:pageBreakBefore w:val="0"/>
        <w:widowControl/>
        <w:shd w:val="clear" w:color="auto"/>
        <w:kinsoku/>
        <w:wordWrap/>
        <w:overflowPunct/>
        <w:topLinePunct w:val="0"/>
        <w:autoSpaceDN/>
        <w:bidi w:val="0"/>
        <w:adjustRightInd/>
        <w:snapToGrid/>
        <w:spacing w:afterAutospacing="0" w:line="560" w:lineRule="exact"/>
        <w:ind w:firstLine="640" w:firstLineChars="200"/>
        <w:jc w:val="left"/>
        <w:rPr>
          <w:rFonts w:hint="default" w:ascii="仿宋" w:hAnsi="仿宋" w:eastAsia="仿宋" w:cs="宋体"/>
          <w:color w:val="010101"/>
          <w:kern w:val="0"/>
          <w:sz w:val="32"/>
          <w:szCs w:val="32"/>
          <w:highlight w:val="none"/>
          <w:lang w:val="en-US" w:eastAsia="zh-CN"/>
        </w:rPr>
      </w:pPr>
      <w:r>
        <w:rPr>
          <w:rFonts w:hint="eastAsia" w:ascii="仿宋" w:hAnsi="仿宋" w:eastAsia="仿宋" w:cs="宋体"/>
          <w:color w:val="010101"/>
          <w:kern w:val="0"/>
          <w:sz w:val="32"/>
          <w:szCs w:val="32"/>
          <w:highlight w:val="none"/>
          <w:lang w:val="en-US" w:eastAsia="zh-CN"/>
        </w:rPr>
        <w:t>（2）</w:t>
      </w:r>
      <w:r>
        <w:rPr>
          <w:rFonts w:hint="default" w:ascii="仿宋" w:hAnsi="仿宋" w:eastAsia="仿宋" w:cs="宋体"/>
          <w:color w:val="010101"/>
          <w:kern w:val="0"/>
          <w:sz w:val="32"/>
          <w:szCs w:val="32"/>
          <w:highlight w:val="none"/>
          <w:lang w:val="en-US" w:eastAsia="zh-CN"/>
        </w:rPr>
        <w:t>有序进行现代农机合作社建设；</w:t>
      </w:r>
    </w:p>
    <w:p>
      <w:pPr>
        <w:keepNext w:val="0"/>
        <w:keepLines w:val="0"/>
        <w:pageBreakBefore w:val="0"/>
        <w:widowControl/>
        <w:shd w:val="clear" w:color="auto"/>
        <w:kinsoku/>
        <w:wordWrap/>
        <w:overflowPunct/>
        <w:topLinePunct w:val="0"/>
        <w:autoSpaceDN/>
        <w:bidi w:val="0"/>
        <w:adjustRightInd/>
        <w:snapToGrid/>
        <w:spacing w:afterAutospacing="0" w:line="560" w:lineRule="exact"/>
        <w:ind w:firstLine="640" w:firstLineChars="200"/>
        <w:jc w:val="left"/>
        <w:rPr>
          <w:rFonts w:hint="default" w:ascii="仿宋" w:hAnsi="仿宋" w:eastAsia="仿宋" w:cs="宋体"/>
          <w:color w:val="010101"/>
          <w:kern w:val="0"/>
          <w:sz w:val="32"/>
          <w:szCs w:val="32"/>
          <w:highlight w:val="none"/>
          <w:lang w:val="en-US" w:eastAsia="zh-CN"/>
        </w:rPr>
      </w:pPr>
      <w:r>
        <w:rPr>
          <w:rFonts w:hint="eastAsia" w:ascii="仿宋" w:hAnsi="仿宋" w:eastAsia="仿宋" w:cs="宋体"/>
          <w:color w:val="010101"/>
          <w:kern w:val="0"/>
          <w:sz w:val="32"/>
          <w:szCs w:val="32"/>
          <w:highlight w:val="none"/>
          <w:lang w:val="en-US" w:eastAsia="zh-CN"/>
        </w:rPr>
        <w:t>（3）</w:t>
      </w:r>
      <w:r>
        <w:rPr>
          <w:rFonts w:hint="default" w:ascii="仿宋" w:hAnsi="仿宋" w:eastAsia="仿宋" w:cs="宋体"/>
          <w:color w:val="010101"/>
          <w:kern w:val="0"/>
          <w:sz w:val="32"/>
          <w:szCs w:val="32"/>
          <w:highlight w:val="none"/>
          <w:lang w:val="en-US" w:eastAsia="zh-CN"/>
        </w:rPr>
        <w:t>水稻综合机械化与机插机抛推广；</w:t>
      </w:r>
    </w:p>
    <w:p>
      <w:pPr>
        <w:keepNext w:val="0"/>
        <w:keepLines w:val="0"/>
        <w:pageBreakBefore w:val="0"/>
        <w:widowControl/>
        <w:shd w:val="clear" w:color="auto"/>
        <w:kinsoku/>
        <w:wordWrap/>
        <w:overflowPunct/>
        <w:topLinePunct w:val="0"/>
        <w:autoSpaceDN/>
        <w:bidi w:val="0"/>
        <w:adjustRightInd/>
        <w:snapToGrid/>
        <w:spacing w:afterAutospacing="0" w:line="560" w:lineRule="exact"/>
        <w:ind w:firstLine="640" w:firstLineChars="200"/>
        <w:jc w:val="left"/>
        <w:rPr>
          <w:rFonts w:hint="default" w:ascii="仿宋" w:hAnsi="仿宋" w:eastAsia="仿宋" w:cs="宋体"/>
          <w:color w:val="010101"/>
          <w:kern w:val="0"/>
          <w:sz w:val="32"/>
          <w:szCs w:val="32"/>
          <w:highlight w:val="none"/>
          <w:lang w:val="en-US" w:eastAsia="zh-CN"/>
        </w:rPr>
      </w:pPr>
      <w:r>
        <w:rPr>
          <w:rFonts w:hint="eastAsia" w:ascii="仿宋" w:hAnsi="仿宋" w:eastAsia="仿宋" w:cs="宋体"/>
          <w:color w:val="010101"/>
          <w:kern w:val="0"/>
          <w:sz w:val="32"/>
          <w:szCs w:val="32"/>
          <w:highlight w:val="none"/>
          <w:lang w:val="en-US" w:eastAsia="zh-CN"/>
        </w:rPr>
        <w:t>（4）</w:t>
      </w:r>
      <w:r>
        <w:rPr>
          <w:rFonts w:hint="default" w:ascii="仿宋" w:hAnsi="仿宋" w:eastAsia="仿宋" w:cs="宋体"/>
          <w:color w:val="010101"/>
          <w:kern w:val="0"/>
          <w:sz w:val="32"/>
          <w:szCs w:val="32"/>
          <w:highlight w:val="none"/>
          <w:lang w:val="en-US" w:eastAsia="zh-CN"/>
        </w:rPr>
        <w:t>大力开展农机科教培训工作；</w:t>
      </w:r>
    </w:p>
    <w:p>
      <w:pPr>
        <w:keepNext w:val="0"/>
        <w:keepLines w:val="0"/>
        <w:pageBreakBefore w:val="0"/>
        <w:widowControl/>
        <w:shd w:val="clear" w:color="auto"/>
        <w:kinsoku/>
        <w:wordWrap/>
        <w:overflowPunct/>
        <w:topLinePunct w:val="0"/>
        <w:autoSpaceDN/>
        <w:bidi w:val="0"/>
        <w:adjustRightInd/>
        <w:snapToGrid/>
        <w:spacing w:afterAutospacing="0" w:line="560" w:lineRule="exact"/>
        <w:ind w:firstLine="640" w:firstLineChars="200"/>
        <w:jc w:val="left"/>
        <w:rPr>
          <w:rFonts w:hint="default" w:ascii="仿宋" w:hAnsi="仿宋" w:eastAsia="仿宋" w:cs="宋体"/>
          <w:color w:val="010101"/>
          <w:kern w:val="0"/>
          <w:sz w:val="32"/>
          <w:szCs w:val="32"/>
          <w:highlight w:val="none"/>
          <w:lang w:val="en-US" w:eastAsia="zh-CN"/>
        </w:rPr>
      </w:pPr>
      <w:r>
        <w:rPr>
          <w:rFonts w:hint="eastAsia" w:ascii="仿宋" w:hAnsi="仿宋" w:eastAsia="仿宋" w:cs="宋体"/>
          <w:color w:val="010101"/>
          <w:kern w:val="0"/>
          <w:sz w:val="32"/>
          <w:szCs w:val="32"/>
          <w:highlight w:val="none"/>
          <w:lang w:val="en-US" w:eastAsia="zh-CN"/>
        </w:rPr>
        <w:t>（5）</w:t>
      </w:r>
      <w:r>
        <w:rPr>
          <w:rFonts w:hint="default" w:ascii="仿宋" w:hAnsi="仿宋" w:eastAsia="仿宋" w:cs="宋体"/>
          <w:color w:val="010101"/>
          <w:kern w:val="0"/>
          <w:sz w:val="32"/>
          <w:szCs w:val="32"/>
          <w:highlight w:val="none"/>
          <w:lang w:val="en-US" w:eastAsia="zh-CN"/>
        </w:rPr>
        <w:t xml:space="preserve">加大农机安全生产力度；                                                      </w:t>
      </w:r>
    </w:p>
    <w:p>
      <w:pPr>
        <w:keepNext w:val="0"/>
        <w:keepLines w:val="0"/>
        <w:pageBreakBefore w:val="0"/>
        <w:widowControl/>
        <w:shd w:val="clear" w:color="auto"/>
        <w:kinsoku/>
        <w:wordWrap/>
        <w:overflowPunct/>
        <w:topLinePunct w:val="0"/>
        <w:autoSpaceDN/>
        <w:bidi w:val="0"/>
        <w:adjustRightInd/>
        <w:snapToGrid/>
        <w:spacing w:afterAutospacing="0" w:line="560" w:lineRule="exact"/>
        <w:ind w:firstLine="640" w:firstLineChars="200"/>
        <w:jc w:val="left"/>
        <w:rPr>
          <w:rFonts w:hint="default" w:ascii="楷体_GB2312" w:eastAsia="楷体_GB2312" w:cs="楷体_GB2312"/>
          <w:i w:val="0"/>
          <w:iCs w:val="0"/>
          <w:caps w:val="0"/>
          <w:color w:val="000000"/>
          <w:spacing w:val="0"/>
          <w:sz w:val="32"/>
          <w:szCs w:val="32"/>
          <w:shd w:val="clear" w:fill="FFFFFF"/>
        </w:rPr>
      </w:pPr>
      <w:r>
        <w:rPr>
          <w:rFonts w:hint="eastAsia" w:ascii="仿宋" w:hAnsi="仿宋" w:eastAsia="仿宋" w:cs="宋体"/>
          <w:color w:val="010101"/>
          <w:kern w:val="0"/>
          <w:sz w:val="32"/>
          <w:szCs w:val="32"/>
          <w:highlight w:val="none"/>
          <w:lang w:val="en-US" w:eastAsia="zh-CN"/>
        </w:rPr>
        <w:t>（6）</w:t>
      </w:r>
      <w:r>
        <w:rPr>
          <w:rFonts w:hint="default" w:ascii="仿宋" w:hAnsi="仿宋" w:eastAsia="仿宋" w:cs="宋体"/>
          <w:color w:val="010101"/>
          <w:kern w:val="0"/>
          <w:sz w:val="32"/>
          <w:szCs w:val="32"/>
          <w:highlight w:val="none"/>
          <w:lang w:val="en-US" w:eastAsia="zh-CN"/>
        </w:rPr>
        <w:t>油菜耕种收综合机械化水平提高。</w:t>
      </w:r>
    </w:p>
    <w:p>
      <w:pPr>
        <w:keepNext w:val="0"/>
        <w:keepLines w:val="0"/>
        <w:pageBreakBefore w:val="0"/>
        <w:numPr>
          <w:ilvl w:val="0"/>
          <w:numId w:val="0"/>
        </w:numPr>
        <w:shd w:val="clear"/>
        <w:kinsoku/>
        <w:wordWrap/>
        <w:overflowPunct/>
        <w:topLinePunct w:val="0"/>
        <w:autoSpaceDE/>
        <w:autoSpaceDN/>
        <w:bidi w:val="0"/>
        <w:adjustRightInd/>
        <w:snapToGrid w:val="0"/>
        <w:spacing w:line="520" w:lineRule="exact"/>
        <w:ind w:firstLine="0"/>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二、部门整体支出管理及使用情况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w:t>
      </w:r>
      <w:r>
        <w:rPr>
          <w:rFonts w:hint="eastAsia" w:ascii="楷体_GB2312" w:eastAsia="楷体_GB2312" w:cs="楷体_GB2312"/>
          <w:i w:val="0"/>
          <w:iCs w:val="0"/>
          <w:caps w:val="0"/>
          <w:color w:val="000000"/>
          <w:spacing w:val="0"/>
          <w:sz w:val="32"/>
          <w:szCs w:val="32"/>
          <w:shd w:val="clear" w:fill="FFFFFF"/>
        </w:rPr>
        <w:t>预算执行、使用、管理总体情况。</w:t>
      </w:r>
    </w:p>
    <w:p>
      <w:pPr>
        <w:keepNext w:val="0"/>
        <w:keepLines w:val="0"/>
        <w:pageBreakBefore w:val="0"/>
        <w:widowControl/>
        <w:numPr>
          <w:ilvl w:val="0"/>
          <w:numId w:val="0"/>
        </w:numPr>
        <w:shd w:val="clear" w:color="auto"/>
        <w:tabs>
          <w:tab w:val="left" w:pos="3450"/>
        </w:tabs>
        <w:kinsoku/>
        <w:wordWrap/>
        <w:overflowPunct/>
        <w:topLinePunct w:val="0"/>
        <w:autoSpaceDN/>
        <w:bidi w:val="0"/>
        <w:adjustRightInd/>
        <w:snapToGrid/>
        <w:spacing w:afterAutospacing="0" w:line="560" w:lineRule="exact"/>
        <w:ind w:firstLine="640" w:firstLineChars="200"/>
        <w:jc w:val="left"/>
        <w:rPr>
          <w:rFonts w:hint="default" w:ascii="楷体_GB2312" w:eastAsia="楷体_GB2312" w:cs="楷体_GB2312"/>
          <w:i w:val="0"/>
          <w:iCs w:val="0"/>
          <w:caps w:val="0"/>
          <w:color w:val="000000"/>
          <w:spacing w:val="0"/>
          <w:sz w:val="32"/>
          <w:szCs w:val="32"/>
          <w:shd w:val="clear" w:fill="FFFFFF"/>
        </w:rPr>
      </w:pPr>
      <w:r>
        <w:rPr>
          <w:rFonts w:hint="eastAsia" w:ascii="仿宋" w:hAnsi="仿宋" w:eastAsia="仿宋" w:cs="仿宋_GB2312"/>
          <w:kern w:val="0"/>
          <w:sz w:val="32"/>
          <w:szCs w:val="32"/>
          <w:highlight w:val="none"/>
          <w:lang w:val="en-US" w:eastAsia="zh-CN" w:bidi="ar-SA"/>
        </w:rPr>
        <w:t xml:space="preserve"> 2023年度部门整体支出320.55万元，其中:基本支出282.78万元,项目支出37万元。基本支出主要用于保障单位机构正常运转、完成日常工作任务而发生的人员经费和日常公用经费支出，涉及范围为机关在职及退休人员。项目支出主要</w:t>
      </w:r>
      <w:r>
        <w:rPr>
          <w:rFonts w:hint="eastAsia" w:ascii="仿宋" w:hAnsi="仿宋" w:eastAsia="仿宋" w:cs="仿宋"/>
          <w:sz w:val="32"/>
          <w:szCs w:val="40"/>
          <w:lang w:val="en-US" w:eastAsia="zh-CN"/>
        </w:rPr>
        <w:t>内容为我中心完成特定行政工作任务或事业发展目标，在基本</w:t>
      </w:r>
      <w:r>
        <w:rPr>
          <w:rFonts w:hint="eastAsia" w:ascii="仿宋" w:hAnsi="仿宋" w:eastAsia="仿宋" w:cs="仿宋"/>
          <w:sz w:val="32"/>
          <w:szCs w:val="32"/>
          <w:lang w:val="en-US" w:eastAsia="zh-CN"/>
        </w:rPr>
        <w:t>的预算支出以外，财政预算安排的专业业务费支出。</w:t>
      </w:r>
      <w:r>
        <w:rPr>
          <w:rFonts w:hint="eastAsia" w:ascii="仿宋" w:hAnsi="仿宋" w:eastAsia="仿宋" w:cs="宋体"/>
          <w:color w:val="010101"/>
          <w:kern w:val="0"/>
          <w:sz w:val="32"/>
          <w:szCs w:val="32"/>
          <w:highlight w:val="none"/>
          <w:lang w:val="en-US" w:eastAsia="zh-CN"/>
        </w:rPr>
        <w:t xml:space="preserve">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（二）部门预算执行情况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left="640" w:right="0" w:firstLine="0"/>
        <w:textAlignment w:val="auto"/>
        <w:rPr>
          <w:rFonts w:hint="default" w:ascii="仿宋_GB2312" w:eastAsia="仿宋_GB2312" w:cs="仿宋_GB2312"/>
          <w:i w:val="0"/>
          <w:iCs w:val="0"/>
          <w:caps w:val="0"/>
          <w:color w:val="000000"/>
          <w:spacing w:val="0"/>
          <w:sz w:val="32"/>
          <w:szCs w:val="32"/>
          <w:shd w:val="clear" w:fill="FFFFFF"/>
        </w:rPr>
      </w:pPr>
      <w:r>
        <w:rPr>
          <w:rFonts w:hint="default" w:ascii="仿宋_GB2312" w:eastAsia="仿宋_GB2312" w:cs="仿宋_GB2312"/>
          <w:i w:val="0"/>
          <w:iCs w:val="0"/>
          <w:caps w:val="0"/>
          <w:color w:val="000000"/>
          <w:spacing w:val="0"/>
          <w:sz w:val="32"/>
          <w:szCs w:val="32"/>
          <w:shd w:val="clear" w:fill="FFFFFF"/>
        </w:rPr>
        <w:t>1.基本支出情况</w:t>
      </w:r>
    </w:p>
    <w:p>
      <w:pPr>
        <w:keepNext w:val="0"/>
        <w:keepLines w:val="0"/>
        <w:pageBreakBefore w:val="0"/>
        <w:widowControl/>
        <w:shd w:val="clear" w:color="auto" w:fill="auto"/>
        <w:kinsoku/>
        <w:wordWrap/>
        <w:overflowPunct/>
        <w:topLinePunct w:val="0"/>
        <w:autoSpaceDN/>
        <w:bidi w:val="0"/>
        <w:adjustRightInd/>
        <w:snapToGrid/>
        <w:spacing w:afterAutospacing="0" w:line="560" w:lineRule="exact"/>
        <w:ind w:firstLine="640" w:firstLineChars="200"/>
        <w:jc w:val="left"/>
        <w:rPr>
          <w:rFonts w:ascii="仿宋" w:hAnsi="仿宋" w:eastAsia="仿宋" w:cs="宋体"/>
          <w:color w:val="010101"/>
          <w:kern w:val="0"/>
          <w:sz w:val="32"/>
          <w:szCs w:val="32"/>
          <w:highlight w:val="none"/>
        </w:rPr>
      </w:pPr>
      <w:r>
        <w:rPr>
          <w:rFonts w:hint="eastAsia" w:ascii="仿宋" w:hAnsi="仿宋" w:eastAsia="仿宋" w:cs="仿宋_GB2312"/>
          <w:kern w:val="0"/>
          <w:sz w:val="32"/>
          <w:szCs w:val="32"/>
          <w:highlight w:val="none"/>
        </w:rPr>
        <w:t>基本支出是指单位为保障机构正常运转和完成日常工作任务而发生的各项支出。在支出管理方面，</w:t>
      </w:r>
      <w:r>
        <w:rPr>
          <w:rFonts w:ascii="仿宋" w:hAnsi="仿宋" w:eastAsia="仿宋" w:cs="宋体"/>
          <w:color w:val="010101"/>
          <w:kern w:val="0"/>
          <w:sz w:val="32"/>
          <w:szCs w:val="32"/>
          <w:highlight w:val="none"/>
        </w:rPr>
        <w:t>我</w:t>
      </w:r>
      <w:r>
        <w:rPr>
          <w:rFonts w:hint="eastAsia" w:ascii="仿宋" w:hAnsi="仿宋" w:eastAsia="仿宋" w:cs="宋体"/>
          <w:color w:val="010101"/>
          <w:kern w:val="0"/>
          <w:sz w:val="32"/>
          <w:szCs w:val="32"/>
          <w:highlight w:val="none"/>
          <w:lang w:eastAsia="zh-CN"/>
        </w:rPr>
        <w:t>中心</w:t>
      </w:r>
      <w:r>
        <w:rPr>
          <w:rFonts w:ascii="仿宋" w:hAnsi="仿宋" w:eastAsia="仿宋" w:cs="宋体"/>
          <w:color w:val="010101"/>
          <w:kern w:val="0"/>
          <w:sz w:val="32"/>
          <w:szCs w:val="32"/>
          <w:highlight w:val="none"/>
        </w:rPr>
        <w:t>制定了</w:t>
      </w:r>
      <w:r>
        <w:rPr>
          <w:rFonts w:hint="eastAsia" w:ascii="仿宋" w:hAnsi="仿宋" w:eastAsia="仿宋" w:cs="宋体"/>
          <w:color w:val="010101"/>
          <w:kern w:val="0"/>
          <w:sz w:val="32"/>
          <w:szCs w:val="32"/>
          <w:highlight w:val="none"/>
          <w:lang w:val="en-US" w:eastAsia="zh-CN"/>
        </w:rPr>
        <w:t>各项</w:t>
      </w:r>
      <w:r>
        <w:rPr>
          <w:rFonts w:ascii="仿宋" w:hAnsi="仿宋" w:eastAsia="仿宋" w:cs="宋体"/>
          <w:color w:val="010101"/>
          <w:kern w:val="0"/>
          <w:sz w:val="32"/>
          <w:szCs w:val="32"/>
          <w:highlight w:val="none"/>
        </w:rPr>
        <w:t>财务管理制度相关制度</w:t>
      </w:r>
      <w:r>
        <w:rPr>
          <w:rFonts w:hint="eastAsia" w:ascii="仿宋" w:hAnsi="仿宋" w:eastAsia="仿宋" w:cs="宋体"/>
          <w:color w:val="010101"/>
          <w:kern w:val="0"/>
          <w:sz w:val="32"/>
          <w:szCs w:val="32"/>
          <w:highlight w:val="none"/>
          <w:lang w:eastAsia="zh-CN"/>
        </w:rPr>
        <w:t>，</w:t>
      </w:r>
      <w:r>
        <w:rPr>
          <w:rFonts w:ascii="仿宋" w:hAnsi="仿宋" w:eastAsia="仿宋" w:cs="宋体"/>
          <w:color w:val="010101"/>
          <w:kern w:val="0"/>
          <w:sz w:val="32"/>
          <w:szCs w:val="32"/>
          <w:highlight w:val="none"/>
        </w:rPr>
        <w:t>加强部门资金的使用管理，坚持勤俭节约，反对奢侈浪费，按制度办事，确保每一分钱都落到实处，每一环节按程序进行，部门财务管理工作做到细、严、实。</w:t>
      </w:r>
    </w:p>
    <w:p>
      <w:pPr>
        <w:keepNext w:val="0"/>
        <w:keepLines w:val="0"/>
        <w:pageBreakBefore w:val="0"/>
        <w:widowControl/>
        <w:shd w:val="clear" w:color="auto" w:fill="auto"/>
        <w:kinsoku/>
        <w:wordWrap/>
        <w:overflowPunct/>
        <w:topLinePunct w:val="0"/>
        <w:autoSpaceDN/>
        <w:bidi w:val="0"/>
        <w:adjustRightInd/>
        <w:snapToGrid/>
        <w:spacing w:afterAutospacing="0" w:line="560" w:lineRule="exact"/>
        <w:ind w:firstLine="640" w:firstLineChars="200"/>
        <w:jc w:val="left"/>
        <w:rPr>
          <w:rFonts w:hint="default" w:ascii="仿宋" w:hAnsi="仿宋" w:eastAsia="仿宋" w:cs="Times New Roman"/>
          <w:spacing w:val="-2"/>
          <w:kern w:val="2"/>
          <w:sz w:val="32"/>
          <w:szCs w:val="32"/>
          <w:highlight w:val="none"/>
          <w:lang w:val="en-US" w:eastAsia="zh-CN" w:bidi="ar-SA"/>
        </w:rPr>
      </w:pPr>
      <w:r>
        <w:rPr>
          <w:rFonts w:hint="eastAsia" w:ascii="仿宋" w:hAnsi="仿宋" w:eastAsia="仿宋" w:cs="仿宋_GB2312"/>
          <w:kern w:val="0"/>
          <w:sz w:val="32"/>
          <w:szCs w:val="32"/>
          <w:highlight w:val="none"/>
        </w:rPr>
        <w:t>202</w:t>
      </w:r>
      <w:r>
        <w:rPr>
          <w:rFonts w:hint="eastAsia" w:ascii="仿宋" w:hAnsi="仿宋" w:eastAsia="仿宋" w:cs="仿宋_GB2312"/>
          <w:kern w:val="0"/>
          <w:sz w:val="32"/>
          <w:szCs w:val="32"/>
          <w:highlight w:val="none"/>
          <w:lang w:val="en-US" w:eastAsia="zh-CN"/>
        </w:rPr>
        <w:t>3</w:t>
      </w:r>
      <w:r>
        <w:rPr>
          <w:rFonts w:hint="eastAsia" w:ascii="仿宋" w:hAnsi="仿宋" w:eastAsia="仿宋" w:cs="仿宋_GB2312"/>
          <w:kern w:val="0"/>
          <w:sz w:val="32"/>
          <w:szCs w:val="32"/>
          <w:highlight w:val="none"/>
        </w:rPr>
        <w:t>年度</w:t>
      </w:r>
      <w:r>
        <w:rPr>
          <w:rFonts w:hint="eastAsia" w:ascii="仿宋" w:hAnsi="仿宋" w:eastAsia="仿宋" w:cs="仿宋_GB2312"/>
          <w:kern w:val="0"/>
          <w:sz w:val="32"/>
          <w:szCs w:val="32"/>
          <w:highlight w:val="none"/>
          <w:lang w:val="en-US" w:eastAsia="zh-CN"/>
        </w:rPr>
        <w:t>基本</w:t>
      </w:r>
      <w:r>
        <w:rPr>
          <w:rFonts w:hint="eastAsia" w:ascii="仿宋" w:hAnsi="仿宋" w:eastAsia="仿宋" w:cs="仿宋_GB2312"/>
          <w:kern w:val="0"/>
          <w:sz w:val="32"/>
          <w:szCs w:val="32"/>
          <w:highlight w:val="none"/>
        </w:rPr>
        <w:t>支出为</w:t>
      </w:r>
      <w:r>
        <w:rPr>
          <w:rFonts w:hint="eastAsia" w:ascii="仿宋" w:hAnsi="仿宋" w:eastAsia="仿宋" w:cs="仿宋_GB2312"/>
          <w:kern w:val="0"/>
          <w:sz w:val="32"/>
          <w:szCs w:val="32"/>
          <w:highlight w:val="none"/>
          <w:lang w:val="en-US" w:eastAsia="zh-CN"/>
        </w:rPr>
        <w:t>282.78</w:t>
      </w:r>
      <w:r>
        <w:rPr>
          <w:rFonts w:hint="eastAsia" w:ascii="仿宋" w:hAnsi="仿宋" w:eastAsia="仿宋" w:cs="仿宋_GB2312"/>
          <w:kern w:val="0"/>
          <w:sz w:val="32"/>
          <w:szCs w:val="32"/>
          <w:highlight w:val="none"/>
        </w:rPr>
        <w:t>万元。其中：人员经费支出</w:t>
      </w:r>
      <w:r>
        <w:rPr>
          <w:rFonts w:hint="eastAsia" w:ascii="仿宋" w:hAnsi="仿宋" w:eastAsia="仿宋" w:cs="仿宋_GB2312"/>
          <w:kern w:val="0"/>
          <w:sz w:val="32"/>
          <w:szCs w:val="32"/>
          <w:highlight w:val="none"/>
          <w:lang w:val="en-US" w:eastAsia="zh-CN"/>
        </w:rPr>
        <w:t>255.8</w:t>
      </w:r>
      <w:r>
        <w:rPr>
          <w:rFonts w:hint="eastAsia" w:ascii="仿宋" w:hAnsi="仿宋" w:eastAsia="仿宋" w:cs="仿宋_GB2312"/>
          <w:kern w:val="0"/>
          <w:sz w:val="32"/>
          <w:szCs w:val="32"/>
          <w:highlight w:val="none"/>
        </w:rPr>
        <w:t>万元，公用经费支出</w:t>
      </w:r>
      <w:r>
        <w:rPr>
          <w:rFonts w:hint="eastAsia" w:ascii="仿宋" w:hAnsi="仿宋" w:eastAsia="仿宋" w:cs="仿宋_GB2312"/>
          <w:kern w:val="0"/>
          <w:sz w:val="32"/>
          <w:szCs w:val="32"/>
          <w:highlight w:val="none"/>
          <w:lang w:val="en-US" w:eastAsia="zh-CN"/>
        </w:rPr>
        <w:t>26.97</w:t>
      </w:r>
      <w:r>
        <w:rPr>
          <w:rFonts w:hint="eastAsia" w:ascii="仿宋" w:hAnsi="仿宋" w:eastAsia="仿宋" w:cs="仿宋_GB2312"/>
          <w:kern w:val="0"/>
          <w:sz w:val="32"/>
          <w:szCs w:val="32"/>
          <w:highlight w:val="none"/>
        </w:rPr>
        <w:t>万元。</w:t>
      </w:r>
      <w:r>
        <w:rPr>
          <w:rFonts w:hint="eastAsia" w:ascii="仿宋" w:hAnsi="仿宋" w:eastAsia="仿宋" w:cs="仿宋_GB2312"/>
          <w:kern w:val="0"/>
          <w:sz w:val="32"/>
          <w:szCs w:val="32"/>
          <w:highlight w:val="none"/>
          <w:lang w:val="en-US" w:eastAsia="zh-CN"/>
        </w:rPr>
        <w:t>人员经费包括工资和福利支出192.46万元，具体支出为：</w:t>
      </w:r>
      <w:r>
        <w:rPr>
          <w:rFonts w:hint="default" w:ascii="仿宋" w:hAnsi="仿宋" w:eastAsia="仿宋" w:cs="Times New Roman"/>
          <w:spacing w:val="-2"/>
          <w:kern w:val="2"/>
          <w:sz w:val="32"/>
          <w:szCs w:val="32"/>
          <w:highlight w:val="none"/>
          <w:lang w:val="en-US" w:eastAsia="zh-CN" w:bidi="ar-SA"/>
        </w:rPr>
        <w:t>基本工资、津贴补贴、奖金、机关事业单位基本养老保险缴费、</w:t>
      </w:r>
      <w:r>
        <w:rPr>
          <w:rFonts w:hint="eastAsia" w:ascii="仿宋" w:hAnsi="仿宋" w:eastAsia="仿宋" w:cs="Times New Roman"/>
          <w:spacing w:val="-2"/>
          <w:kern w:val="2"/>
          <w:sz w:val="32"/>
          <w:szCs w:val="32"/>
          <w:highlight w:val="none"/>
          <w:lang w:val="en-US" w:eastAsia="zh-CN" w:bidi="ar-SA"/>
        </w:rPr>
        <w:t>职工基本医疗保险缴费、</w:t>
      </w:r>
      <w:r>
        <w:rPr>
          <w:rFonts w:hint="default" w:ascii="仿宋" w:hAnsi="仿宋" w:eastAsia="仿宋" w:cs="Times New Roman"/>
          <w:spacing w:val="-2"/>
          <w:kern w:val="2"/>
          <w:sz w:val="32"/>
          <w:szCs w:val="32"/>
          <w:highlight w:val="none"/>
          <w:lang w:val="en-US" w:eastAsia="zh-CN" w:bidi="ar-SA"/>
        </w:rPr>
        <w:t>其他</w:t>
      </w:r>
      <w:r>
        <w:rPr>
          <w:rFonts w:hint="eastAsia" w:ascii="仿宋" w:hAnsi="仿宋" w:eastAsia="仿宋" w:cs="Times New Roman"/>
          <w:spacing w:val="-2"/>
          <w:kern w:val="2"/>
          <w:sz w:val="32"/>
          <w:szCs w:val="32"/>
          <w:highlight w:val="none"/>
          <w:lang w:val="en-US" w:eastAsia="zh-CN" w:bidi="ar-SA"/>
        </w:rPr>
        <w:t>社会保障缴费</w:t>
      </w:r>
      <w:r>
        <w:rPr>
          <w:rFonts w:hint="default" w:ascii="仿宋" w:hAnsi="仿宋" w:eastAsia="仿宋" w:cs="Times New Roman"/>
          <w:spacing w:val="-2"/>
          <w:kern w:val="2"/>
          <w:sz w:val="32"/>
          <w:szCs w:val="32"/>
          <w:highlight w:val="none"/>
          <w:lang w:val="en-US" w:eastAsia="zh-CN" w:bidi="ar-SA"/>
        </w:rPr>
        <w:t>、</w:t>
      </w:r>
      <w:r>
        <w:rPr>
          <w:rFonts w:hint="eastAsia" w:ascii="仿宋" w:hAnsi="仿宋" w:eastAsia="仿宋" w:cs="Times New Roman"/>
          <w:spacing w:val="-2"/>
          <w:kern w:val="2"/>
          <w:sz w:val="32"/>
          <w:szCs w:val="32"/>
          <w:highlight w:val="none"/>
          <w:lang w:val="en-US" w:eastAsia="zh-CN" w:bidi="ar-SA"/>
        </w:rPr>
        <w:t>其他工资福利支出；对个人和家庭的补助63.33万元，具体支出为：生活补助</w:t>
      </w:r>
      <w:r>
        <w:rPr>
          <w:rFonts w:hint="default" w:ascii="仿宋" w:hAnsi="仿宋" w:eastAsia="仿宋" w:cs="Times New Roman"/>
          <w:spacing w:val="-2"/>
          <w:kern w:val="2"/>
          <w:sz w:val="32"/>
          <w:szCs w:val="32"/>
          <w:highlight w:val="none"/>
          <w:lang w:val="en-US" w:eastAsia="zh-CN" w:bidi="ar-SA"/>
        </w:rPr>
        <w:t>、</w:t>
      </w:r>
      <w:r>
        <w:rPr>
          <w:rFonts w:hint="eastAsia" w:ascii="仿宋" w:hAnsi="仿宋" w:eastAsia="仿宋" w:cs="Times New Roman"/>
          <w:spacing w:val="-2"/>
          <w:kern w:val="2"/>
          <w:sz w:val="32"/>
          <w:szCs w:val="32"/>
          <w:highlight w:val="none"/>
          <w:lang w:val="en-US" w:eastAsia="zh-CN" w:bidi="ar-SA"/>
        </w:rPr>
        <w:t>奖励金、</w:t>
      </w:r>
      <w:r>
        <w:rPr>
          <w:rFonts w:hint="default" w:ascii="仿宋" w:hAnsi="仿宋" w:eastAsia="仿宋" w:cs="Times New Roman"/>
          <w:spacing w:val="-2"/>
          <w:kern w:val="2"/>
          <w:sz w:val="32"/>
          <w:szCs w:val="32"/>
          <w:highlight w:val="none"/>
          <w:lang w:val="en-US" w:eastAsia="zh-CN" w:bidi="ar-SA"/>
        </w:rPr>
        <w:t>其他对个人和家庭的补助</w:t>
      </w:r>
      <w:r>
        <w:rPr>
          <w:rFonts w:hint="eastAsia" w:ascii="仿宋" w:hAnsi="仿宋" w:eastAsia="仿宋" w:cs="Times New Roman"/>
          <w:spacing w:val="-2"/>
          <w:kern w:val="2"/>
          <w:sz w:val="32"/>
          <w:szCs w:val="32"/>
          <w:highlight w:val="none"/>
          <w:lang w:val="en-US" w:eastAsia="zh-CN" w:bidi="ar-SA"/>
        </w:rPr>
        <w:t>。</w:t>
      </w:r>
      <w:r>
        <w:rPr>
          <w:rFonts w:hint="eastAsia" w:ascii="仿宋" w:hAnsi="仿宋" w:eastAsia="仿宋" w:cs="仿宋_GB2312"/>
          <w:kern w:val="0"/>
          <w:sz w:val="32"/>
          <w:szCs w:val="32"/>
          <w:highlight w:val="none"/>
        </w:rPr>
        <w:t>公用经费</w:t>
      </w:r>
      <w:r>
        <w:rPr>
          <w:rFonts w:hint="eastAsia" w:ascii="仿宋" w:hAnsi="仿宋" w:eastAsia="仿宋" w:cs="仿宋_GB2312"/>
          <w:kern w:val="0"/>
          <w:sz w:val="32"/>
          <w:szCs w:val="32"/>
          <w:highlight w:val="none"/>
          <w:lang w:val="en-US" w:eastAsia="zh-CN"/>
        </w:rPr>
        <w:t>包括商品和服务支出26.97万元，具体支出为：办公费、咨询费、邮电费、差旅费、维修费、公务接待费、劳务费、工会经费、福利费、其他交通费用及其他商品服务支出等。基本支出较上年增加4.75%（12.82万元），主要为单位人员增加。</w:t>
      </w:r>
    </w:p>
    <w:p>
      <w:pPr>
        <w:pStyle w:val="4"/>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left="640" w:leftChars="0" w:right="0" w:rightChars="0"/>
        <w:textAlignment w:val="auto"/>
        <w:rPr>
          <w:rFonts w:hint="eastAsia" w:ascii="仿宋" w:hAnsi="仿宋" w:eastAsia="仿宋" w:cs="Times New Roman"/>
          <w:spacing w:val="-2"/>
          <w:sz w:val="32"/>
          <w:szCs w:val="32"/>
          <w:highlight w:val="none"/>
          <w:lang w:val="en-US" w:eastAsia="zh-CN"/>
        </w:rPr>
      </w:pPr>
      <w:r>
        <w:rPr>
          <w:rFonts w:hint="eastAsia" w:ascii="仿宋_GB2312" w:eastAsia="仿宋_GB2312" w:cs="仿宋_GB2312"/>
          <w:i w:val="0"/>
          <w:iCs w:val="0"/>
          <w:caps w:val="0"/>
          <w:color w:val="000000"/>
          <w:spacing w:val="0"/>
          <w:sz w:val="32"/>
          <w:szCs w:val="32"/>
          <w:shd w:val="clear" w:fill="FFFFFF"/>
          <w:lang w:val="en-US" w:eastAsia="zh-CN"/>
        </w:rPr>
        <w:t>2.</w:t>
      </w:r>
      <w:r>
        <w:rPr>
          <w:rFonts w:hint="default" w:ascii="仿宋_GB2312" w:eastAsia="仿宋_GB2312" w:cs="仿宋_GB2312"/>
          <w:i w:val="0"/>
          <w:iCs w:val="0"/>
          <w:caps w:val="0"/>
          <w:color w:val="000000"/>
          <w:spacing w:val="0"/>
          <w:sz w:val="32"/>
          <w:szCs w:val="32"/>
          <w:shd w:val="clear" w:fill="FFFFFF"/>
        </w:rPr>
        <w:t>项目支出情况</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rightChars="0" w:firstLine="632" w:firstLineChars="200"/>
        <w:textAlignment w:val="auto"/>
        <w:rPr>
          <w:rFonts w:hint="eastAsia" w:ascii="仿宋" w:hAnsi="仿宋" w:eastAsia="仿宋" w:cs="Times New Roman"/>
          <w:spacing w:val="-2"/>
          <w:sz w:val="32"/>
          <w:szCs w:val="32"/>
          <w:highlight w:val="none"/>
          <w:lang w:val="en-US" w:eastAsia="zh-CN"/>
        </w:rPr>
      </w:pPr>
      <w:r>
        <w:rPr>
          <w:rFonts w:hint="eastAsia" w:ascii="仿宋" w:hAnsi="仿宋" w:eastAsia="仿宋" w:cs="Times New Roman"/>
          <w:spacing w:val="-2"/>
          <w:sz w:val="32"/>
          <w:szCs w:val="32"/>
          <w:highlight w:val="none"/>
        </w:rPr>
        <w:t>202</w:t>
      </w:r>
      <w:r>
        <w:rPr>
          <w:rFonts w:hint="eastAsia" w:ascii="仿宋" w:hAnsi="仿宋" w:eastAsia="仿宋" w:cs="Times New Roman"/>
          <w:spacing w:val="-2"/>
          <w:sz w:val="32"/>
          <w:szCs w:val="32"/>
          <w:highlight w:val="none"/>
          <w:lang w:val="en-US" w:eastAsia="zh-CN"/>
        </w:rPr>
        <w:t>3</w:t>
      </w:r>
      <w:r>
        <w:rPr>
          <w:rFonts w:hint="eastAsia" w:ascii="仿宋" w:hAnsi="仿宋" w:eastAsia="仿宋" w:cs="Times New Roman"/>
          <w:spacing w:val="-2"/>
          <w:sz w:val="32"/>
          <w:szCs w:val="32"/>
          <w:highlight w:val="none"/>
        </w:rPr>
        <w:t>年</w:t>
      </w:r>
      <w:r>
        <w:rPr>
          <w:rFonts w:hint="eastAsia" w:ascii="仿宋" w:hAnsi="仿宋" w:eastAsia="仿宋" w:cs="Times New Roman"/>
          <w:spacing w:val="-2"/>
          <w:sz w:val="32"/>
          <w:szCs w:val="32"/>
          <w:highlight w:val="none"/>
          <w:lang w:val="en-US" w:eastAsia="zh-CN"/>
        </w:rPr>
        <w:t>我单位专项业务工作经费，</w:t>
      </w:r>
      <w:r>
        <w:rPr>
          <w:rFonts w:hint="eastAsia" w:ascii="仿宋" w:hAnsi="仿宋" w:eastAsia="仿宋" w:cs="Times New Roman"/>
          <w:spacing w:val="-2"/>
          <w:sz w:val="32"/>
          <w:szCs w:val="32"/>
          <w:highlight w:val="none"/>
        </w:rPr>
        <w:t>主要用于</w:t>
      </w:r>
      <w:r>
        <w:rPr>
          <w:rFonts w:hint="eastAsia" w:ascii="仿宋" w:hAnsi="仿宋" w:eastAsia="仿宋" w:cs="Times New Roman"/>
          <w:spacing w:val="-2"/>
          <w:sz w:val="32"/>
          <w:szCs w:val="32"/>
          <w:highlight w:val="none"/>
          <w:lang w:val="en-US" w:eastAsia="zh-CN"/>
        </w:rPr>
        <w:t>完成</w:t>
      </w:r>
      <w:r>
        <w:rPr>
          <w:rFonts w:hint="default" w:ascii="仿宋" w:hAnsi="仿宋" w:eastAsia="仿宋" w:cs="Times New Roman"/>
          <w:spacing w:val="-2"/>
          <w:sz w:val="32"/>
          <w:szCs w:val="32"/>
          <w:highlight w:val="none"/>
          <w:lang w:val="en-US" w:eastAsia="zh-CN"/>
        </w:rPr>
        <w:t>农机化各项工作</w:t>
      </w:r>
      <w:r>
        <w:rPr>
          <w:rFonts w:hint="eastAsia" w:ascii="仿宋" w:hAnsi="仿宋" w:eastAsia="仿宋" w:cs="Times New Roman"/>
          <w:spacing w:val="-2"/>
          <w:sz w:val="32"/>
          <w:szCs w:val="32"/>
          <w:highlight w:val="none"/>
          <w:lang w:val="en-US" w:eastAsia="zh-CN"/>
        </w:rPr>
        <w:t>目标发生的支出。</w:t>
      </w:r>
    </w:p>
    <w:p>
      <w:pPr>
        <w:widowControl/>
        <w:shd w:val="clear" w:color="auto" w:fill="auto"/>
        <w:spacing w:line="600" w:lineRule="atLeast"/>
        <w:ind w:firstLine="640"/>
        <w:rPr>
          <w:rFonts w:hint="default" w:ascii="仿宋_GB2312" w:eastAsia="仿宋_GB2312" w:cs="仿宋_GB2312"/>
          <w:i w:val="0"/>
          <w:iCs w:val="0"/>
          <w:caps w:val="0"/>
          <w:color w:val="000000"/>
          <w:spacing w:val="0"/>
          <w:sz w:val="32"/>
          <w:szCs w:val="32"/>
          <w:shd w:val="clear" w:fill="FFFFFF"/>
        </w:rPr>
      </w:pPr>
      <w:r>
        <w:rPr>
          <w:rFonts w:hint="default" w:ascii="仿宋" w:hAnsi="仿宋" w:eastAsia="仿宋" w:cs="Times New Roman"/>
          <w:spacing w:val="-2"/>
          <w:sz w:val="32"/>
          <w:szCs w:val="32"/>
          <w:highlight w:val="none"/>
          <w:lang w:val="en-US" w:eastAsia="zh-CN"/>
        </w:rPr>
        <w:t>202</w:t>
      </w:r>
      <w:r>
        <w:rPr>
          <w:rFonts w:hint="eastAsia" w:ascii="仿宋" w:hAnsi="仿宋" w:eastAsia="仿宋" w:cs="Times New Roman"/>
          <w:spacing w:val="-2"/>
          <w:sz w:val="32"/>
          <w:szCs w:val="32"/>
          <w:highlight w:val="none"/>
          <w:lang w:val="en-US" w:eastAsia="zh-CN"/>
        </w:rPr>
        <w:t>3</w:t>
      </w:r>
      <w:r>
        <w:rPr>
          <w:rFonts w:hint="default" w:ascii="仿宋" w:hAnsi="仿宋" w:eastAsia="仿宋" w:cs="Times New Roman"/>
          <w:spacing w:val="-2"/>
          <w:sz w:val="32"/>
          <w:szCs w:val="32"/>
          <w:highlight w:val="none"/>
          <w:lang w:val="en-US" w:eastAsia="zh-CN"/>
        </w:rPr>
        <w:t>年年初预算数为</w:t>
      </w:r>
      <w:r>
        <w:rPr>
          <w:rFonts w:hint="eastAsia" w:ascii="仿宋" w:hAnsi="仿宋" w:eastAsia="仿宋" w:cs="Times New Roman"/>
          <w:spacing w:val="-2"/>
          <w:sz w:val="32"/>
          <w:szCs w:val="32"/>
          <w:highlight w:val="none"/>
          <w:lang w:val="en-US" w:eastAsia="zh-CN"/>
        </w:rPr>
        <w:t>23</w:t>
      </w:r>
      <w:r>
        <w:rPr>
          <w:rFonts w:hint="default" w:ascii="仿宋" w:hAnsi="仿宋" w:eastAsia="仿宋" w:cs="Times New Roman"/>
          <w:spacing w:val="-2"/>
          <w:sz w:val="32"/>
          <w:szCs w:val="32"/>
          <w:highlight w:val="none"/>
          <w:lang w:val="en-US" w:eastAsia="zh-CN"/>
        </w:rPr>
        <w:t>万元</w:t>
      </w:r>
      <w:r>
        <w:rPr>
          <w:rFonts w:hint="eastAsia" w:ascii="仿宋" w:hAnsi="仿宋" w:eastAsia="仿宋" w:cs="Times New Roman"/>
          <w:spacing w:val="-2"/>
          <w:sz w:val="32"/>
          <w:szCs w:val="32"/>
          <w:highlight w:val="none"/>
        </w:rPr>
        <w:t>，</w:t>
      </w:r>
      <w:r>
        <w:rPr>
          <w:rFonts w:hint="eastAsia" w:ascii="仿宋" w:hAnsi="仿宋" w:eastAsia="仿宋" w:cs="Times New Roman"/>
          <w:spacing w:val="-2"/>
          <w:sz w:val="32"/>
          <w:szCs w:val="32"/>
          <w:highlight w:val="none"/>
          <w:lang w:val="en-US" w:eastAsia="zh-CN"/>
        </w:rPr>
        <w:t>其中:农机购置补贴工作经费10.5万元，执法监管工作经费5万元，农机推广工作经费5万元，智慧智能农机工作经费2.5万元。本年度市财政安排专项业务工作经费共38万元，预算资金全部拨付到位。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（三）</w:t>
      </w:r>
      <w:r>
        <w:rPr>
          <w:rFonts w:hint="eastAsia" w:ascii="楷体_GB2312" w:eastAsia="楷体_GB2312" w:cs="楷体_GB2312"/>
          <w:i w:val="0"/>
          <w:iCs w:val="0"/>
          <w:caps w:val="0"/>
          <w:color w:val="000000"/>
          <w:spacing w:val="0"/>
          <w:sz w:val="32"/>
          <w:szCs w:val="32"/>
          <w:shd w:val="clear" w:fill="FFFFFF"/>
          <w:lang w:eastAsia="zh-CN"/>
        </w:rPr>
        <w:t>“</w:t>
      </w:r>
      <w:r>
        <w:rPr>
          <w:rFonts w:hint="default" w:ascii="楷体_GB2312" w:eastAsia="楷体_GB2312" w:cs="楷体_GB2312"/>
          <w:i w:val="0"/>
          <w:iCs w:val="0"/>
          <w:caps w:val="0"/>
          <w:color w:val="000000"/>
          <w:spacing w:val="0"/>
          <w:sz w:val="32"/>
          <w:szCs w:val="32"/>
          <w:shd w:val="clear" w:fill="FFFFFF"/>
        </w:rPr>
        <w:t>三公</w:t>
      </w:r>
      <w:r>
        <w:rPr>
          <w:rFonts w:hint="eastAsia" w:ascii="楷体_GB2312" w:eastAsia="楷体_GB2312" w:cs="楷体_GB2312"/>
          <w:i w:val="0"/>
          <w:iCs w:val="0"/>
          <w:caps w:val="0"/>
          <w:color w:val="000000"/>
          <w:spacing w:val="0"/>
          <w:sz w:val="32"/>
          <w:szCs w:val="32"/>
          <w:shd w:val="clear" w:fill="FFFFFF"/>
          <w:lang w:eastAsia="zh-CN"/>
        </w:rPr>
        <w:t>”</w:t>
      </w:r>
      <w:r>
        <w:rPr>
          <w:rFonts w:hint="default" w:ascii="楷体_GB2312" w:eastAsia="楷体_GB2312" w:cs="楷体_GB2312"/>
          <w:i w:val="0"/>
          <w:iCs w:val="0"/>
          <w:caps w:val="0"/>
          <w:color w:val="000000"/>
          <w:spacing w:val="0"/>
          <w:sz w:val="32"/>
          <w:szCs w:val="32"/>
          <w:shd w:val="clear" w:fill="FFFFFF"/>
        </w:rPr>
        <w:t>经费使用和管理情况</w:t>
      </w:r>
    </w:p>
    <w:p>
      <w:pPr>
        <w:widowControl/>
        <w:shd w:val="clear" w:color="auto" w:fill="auto"/>
        <w:spacing w:line="600" w:lineRule="atLeast"/>
        <w:ind w:firstLine="643"/>
        <w:rPr>
          <w:rFonts w:hint="default" w:ascii="楷体_GB2312" w:eastAsia="楷体_GB2312" w:cs="楷体_GB2312"/>
          <w:i w:val="0"/>
          <w:iCs w:val="0"/>
          <w:caps w:val="0"/>
          <w:color w:val="000000"/>
          <w:spacing w:val="0"/>
          <w:sz w:val="32"/>
          <w:szCs w:val="32"/>
          <w:shd w:val="clear" w:fill="FFFFFF"/>
        </w:rPr>
      </w:pPr>
      <w:r>
        <w:rPr>
          <w:rFonts w:hint="eastAsia" w:ascii="仿宋" w:hAnsi="仿宋" w:eastAsia="仿宋" w:cs="宋体"/>
          <w:color w:val="010101"/>
          <w:kern w:val="0"/>
          <w:sz w:val="32"/>
          <w:szCs w:val="32"/>
          <w:highlight w:val="none"/>
          <w:lang w:val="en-US" w:eastAsia="zh-CN"/>
        </w:rPr>
        <w:t>2023年度</w:t>
      </w:r>
      <w:r>
        <w:rPr>
          <w:rFonts w:ascii="仿宋" w:hAnsi="仿宋" w:eastAsia="仿宋" w:cs="宋体"/>
          <w:color w:val="010101"/>
          <w:kern w:val="0"/>
          <w:sz w:val="32"/>
          <w:szCs w:val="32"/>
          <w:highlight w:val="none"/>
        </w:rPr>
        <w:t>“三公</w:t>
      </w:r>
      <w:r>
        <w:rPr>
          <w:rFonts w:hint="eastAsia" w:ascii="仿宋" w:hAnsi="仿宋" w:eastAsia="仿宋" w:cs="宋体"/>
          <w:color w:val="010101"/>
          <w:kern w:val="0"/>
          <w:sz w:val="32"/>
          <w:szCs w:val="32"/>
          <w:highlight w:val="none"/>
          <w:lang w:eastAsia="zh-CN"/>
        </w:rPr>
        <w:t>”</w:t>
      </w:r>
      <w:r>
        <w:rPr>
          <w:rFonts w:ascii="仿宋" w:hAnsi="仿宋" w:eastAsia="仿宋" w:cs="宋体"/>
          <w:color w:val="010101"/>
          <w:kern w:val="0"/>
          <w:sz w:val="32"/>
          <w:szCs w:val="32"/>
          <w:highlight w:val="none"/>
        </w:rPr>
        <w:t>经费</w:t>
      </w:r>
      <w:r>
        <w:rPr>
          <w:rFonts w:hint="eastAsia" w:ascii="仿宋" w:hAnsi="仿宋" w:eastAsia="仿宋" w:cs="宋体"/>
          <w:color w:val="010101"/>
          <w:kern w:val="0"/>
          <w:sz w:val="32"/>
          <w:szCs w:val="32"/>
          <w:highlight w:val="none"/>
          <w:lang w:val="en-US" w:eastAsia="zh-CN"/>
        </w:rPr>
        <w:t>预算控制数为5.1万元，</w:t>
      </w:r>
      <w:r>
        <w:rPr>
          <w:rFonts w:ascii="仿宋" w:hAnsi="仿宋" w:eastAsia="仿宋" w:cs="宋体"/>
          <w:color w:val="010101"/>
          <w:kern w:val="0"/>
          <w:sz w:val="32"/>
          <w:szCs w:val="32"/>
          <w:highlight w:val="none"/>
        </w:rPr>
        <w:t>其中</w:t>
      </w:r>
      <w:r>
        <w:rPr>
          <w:rFonts w:hint="eastAsia" w:ascii="仿宋" w:hAnsi="仿宋" w:eastAsia="仿宋" w:cs="宋体"/>
          <w:color w:val="010101"/>
          <w:kern w:val="0"/>
          <w:sz w:val="32"/>
          <w:szCs w:val="32"/>
          <w:highlight w:val="none"/>
        </w:rPr>
        <w:t>：</w:t>
      </w:r>
      <w:r>
        <w:rPr>
          <w:rFonts w:ascii="仿宋" w:hAnsi="仿宋" w:eastAsia="仿宋" w:cs="宋体"/>
          <w:color w:val="010101"/>
          <w:kern w:val="0"/>
          <w:sz w:val="32"/>
          <w:szCs w:val="32"/>
          <w:highlight w:val="none"/>
        </w:rPr>
        <w:t>因公出国0万元</w:t>
      </w:r>
      <w:r>
        <w:rPr>
          <w:rFonts w:hint="eastAsia" w:ascii="仿宋" w:hAnsi="仿宋" w:eastAsia="仿宋" w:cs="宋体"/>
          <w:color w:val="010101"/>
          <w:kern w:val="0"/>
          <w:sz w:val="32"/>
          <w:szCs w:val="32"/>
          <w:highlight w:val="none"/>
        </w:rPr>
        <w:t>，</w:t>
      </w:r>
      <w:r>
        <w:rPr>
          <w:rFonts w:ascii="仿宋" w:hAnsi="仿宋" w:eastAsia="仿宋" w:cs="宋体"/>
          <w:color w:val="010101"/>
          <w:kern w:val="0"/>
          <w:sz w:val="32"/>
          <w:szCs w:val="32"/>
          <w:highlight w:val="none"/>
        </w:rPr>
        <w:t>公务接待费</w:t>
      </w:r>
      <w:r>
        <w:rPr>
          <w:rFonts w:hint="eastAsia" w:ascii="仿宋" w:hAnsi="仿宋" w:eastAsia="仿宋" w:cs="宋体"/>
          <w:color w:val="010101"/>
          <w:kern w:val="0"/>
          <w:sz w:val="32"/>
          <w:szCs w:val="32"/>
          <w:highlight w:val="none"/>
          <w:lang w:val="en-US" w:eastAsia="zh-CN"/>
        </w:rPr>
        <w:t>1.4</w:t>
      </w:r>
      <w:r>
        <w:rPr>
          <w:rFonts w:ascii="仿宋" w:hAnsi="仿宋" w:eastAsia="仿宋" w:cs="宋体"/>
          <w:color w:val="010101"/>
          <w:kern w:val="0"/>
          <w:sz w:val="32"/>
          <w:szCs w:val="32"/>
          <w:highlight w:val="none"/>
        </w:rPr>
        <w:t>万元</w:t>
      </w:r>
      <w:r>
        <w:rPr>
          <w:rFonts w:hint="eastAsia" w:ascii="仿宋" w:hAnsi="仿宋" w:eastAsia="仿宋" w:cs="宋体"/>
          <w:color w:val="010101"/>
          <w:kern w:val="0"/>
          <w:sz w:val="32"/>
          <w:szCs w:val="32"/>
          <w:highlight w:val="none"/>
        </w:rPr>
        <w:t>，</w:t>
      </w:r>
      <w:r>
        <w:rPr>
          <w:rFonts w:ascii="仿宋" w:hAnsi="仿宋" w:eastAsia="仿宋" w:cs="宋体"/>
          <w:color w:val="010101"/>
          <w:kern w:val="0"/>
          <w:sz w:val="32"/>
          <w:szCs w:val="32"/>
          <w:highlight w:val="none"/>
        </w:rPr>
        <w:t>公务用车</w:t>
      </w:r>
      <w:r>
        <w:rPr>
          <w:rFonts w:hint="eastAsia" w:ascii="仿宋" w:hAnsi="仿宋" w:eastAsia="仿宋" w:cs="宋体"/>
          <w:color w:val="010101"/>
          <w:kern w:val="0"/>
          <w:sz w:val="32"/>
          <w:szCs w:val="32"/>
          <w:highlight w:val="none"/>
          <w:lang w:val="en-US" w:eastAsia="zh-CN"/>
        </w:rPr>
        <w:t>运行维护</w:t>
      </w:r>
      <w:r>
        <w:rPr>
          <w:rFonts w:ascii="仿宋" w:hAnsi="仿宋" w:eastAsia="仿宋" w:cs="宋体"/>
          <w:color w:val="010101"/>
          <w:kern w:val="0"/>
          <w:sz w:val="32"/>
          <w:szCs w:val="32"/>
          <w:highlight w:val="none"/>
        </w:rPr>
        <w:t>费</w:t>
      </w:r>
      <w:r>
        <w:rPr>
          <w:rFonts w:hint="eastAsia" w:ascii="仿宋" w:hAnsi="仿宋" w:eastAsia="仿宋" w:cs="宋体"/>
          <w:color w:val="010101"/>
          <w:kern w:val="0"/>
          <w:sz w:val="32"/>
          <w:szCs w:val="32"/>
          <w:highlight w:val="none"/>
          <w:lang w:val="en-US" w:eastAsia="zh-CN"/>
        </w:rPr>
        <w:t>3.7</w:t>
      </w:r>
      <w:r>
        <w:rPr>
          <w:rFonts w:ascii="仿宋" w:hAnsi="仿宋" w:eastAsia="仿宋" w:cs="宋体"/>
          <w:color w:val="010101"/>
          <w:kern w:val="0"/>
          <w:sz w:val="32"/>
          <w:szCs w:val="32"/>
          <w:highlight w:val="none"/>
        </w:rPr>
        <w:t>万元。</w:t>
      </w:r>
      <w:r>
        <w:rPr>
          <w:rFonts w:hint="eastAsia" w:ascii="仿宋" w:hAnsi="仿宋" w:eastAsia="仿宋" w:cs="宋体"/>
          <w:color w:val="010101"/>
          <w:kern w:val="0"/>
          <w:sz w:val="32"/>
          <w:szCs w:val="32"/>
          <w:highlight w:val="none"/>
          <w:lang w:val="en-US" w:eastAsia="zh-CN"/>
        </w:rPr>
        <w:t>本年度共</w:t>
      </w:r>
      <w:r>
        <w:rPr>
          <w:rFonts w:ascii="仿宋" w:hAnsi="仿宋" w:eastAsia="仿宋" w:cs="宋体"/>
          <w:color w:val="010101"/>
          <w:kern w:val="0"/>
          <w:sz w:val="32"/>
          <w:szCs w:val="32"/>
          <w:highlight w:val="none"/>
        </w:rPr>
        <w:t>开支</w:t>
      </w:r>
      <w:r>
        <w:rPr>
          <w:rFonts w:hint="eastAsia" w:ascii="仿宋" w:hAnsi="仿宋" w:eastAsia="仿宋" w:cs="宋体"/>
          <w:color w:val="010101"/>
          <w:kern w:val="0"/>
          <w:sz w:val="32"/>
          <w:szCs w:val="32"/>
          <w:highlight w:val="none"/>
          <w:lang w:val="en-US" w:eastAsia="zh-CN"/>
        </w:rPr>
        <w:t>4.98</w:t>
      </w:r>
      <w:r>
        <w:rPr>
          <w:rFonts w:ascii="仿宋" w:hAnsi="仿宋" w:eastAsia="仿宋" w:cs="宋体"/>
          <w:color w:val="010101"/>
          <w:kern w:val="0"/>
          <w:sz w:val="32"/>
          <w:szCs w:val="32"/>
          <w:highlight w:val="none"/>
        </w:rPr>
        <w:t>万元，其中</w:t>
      </w:r>
      <w:r>
        <w:rPr>
          <w:rFonts w:hint="eastAsia" w:ascii="仿宋" w:hAnsi="仿宋" w:eastAsia="仿宋" w:cs="宋体"/>
          <w:color w:val="010101"/>
          <w:kern w:val="0"/>
          <w:sz w:val="32"/>
          <w:szCs w:val="32"/>
          <w:highlight w:val="none"/>
        </w:rPr>
        <w:t>：</w:t>
      </w:r>
      <w:r>
        <w:rPr>
          <w:rFonts w:ascii="仿宋" w:hAnsi="仿宋" w:eastAsia="仿宋" w:cs="宋体"/>
          <w:color w:val="010101"/>
          <w:kern w:val="0"/>
          <w:sz w:val="32"/>
          <w:szCs w:val="32"/>
          <w:highlight w:val="none"/>
        </w:rPr>
        <w:t>因公出国0万元</w:t>
      </w:r>
      <w:r>
        <w:rPr>
          <w:rFonts w:hint="eastAsia" w:ascii="仿宋" w:hAnsi="仿宋" w:eastAsia="仿宋" w:cs="宋体"/>
          <w:color w:val="010101"/>
          <w:kern w:val="0"/>
          <w:sz w:val="32"/>
          <w:szCs w:val="32"/>
          <w:highlight w:val="none"/>
        </w:rPr>
        <w:t>，</w:t>
      </w:r>
      <w:r>
        <w:rPr>
          <w:rFonts w:ascii="仿宋" w:hAnsi="仿宋" w:eastAsia="仿宋" w:cs="宋体"/>
          <w:color w:val="010101"/>
          <w:kern w:val="0"/>
          <w:sz w:val="32"/>
          <w:szCs w:val="32"/>
          <w:highlight w:val="none"/>
        </w:rPr>
        <w:t>公务接待费</w:t>
      </w:r>
      <w:r>
        <w:rPr>
          <w:rFonts w:hint="eastAsia" w:ascii="仿宋" w:hAnsi="仿宋" w:eastAsia="仿宋" w:cs="宋体"/>
          <w:color w:val="010101"/>
          <w:kern w:val="0"/>
          <w:sz w:val="32"/>
          <w:szCs w:val="32"/>
          <w:highlight w:val="none"/>
          <w:lang w:val="en-US" w:eastAsia="zh-CN"/>
        </w:rPr>
        <w:t>1.28</w:t>
      </w:r>
      <w:r>
        <w:rPr>
          <w:rFonts w:ascii="仿宋" w:hAnsi="仿宋" w:eastAsia="仿宋" w:cs="宋体"/>
          <w:color w:val="010101"/>
          <w:kern w:val="0"/>
          <w:sz w:val="32"/>
          <w:szCs w:val="32"/>
          <w:highlight w:val="none"/>
        </w:rPr>
        <w:t>万元</w:t>
      </w:r>
      <w:r>
        <w:rPr>
          <w:rFonts w:hint="eastAsia" w:ascii="仿宋" w:hAnsi="仿宋" w:eastAsia="仿宋" w:cs="宋体"/>
          <w:color w:val="010101"/>
          <w:kern w:val="0"/>
          <w:sz w:val="32"/>
          <w:szCs w:val="32"/>
          <w:highlight w:val="none"/>
        </w:rPr>
        <w:t>，</w:t>
      </w:r>
      <w:r>
        <w:rPr>
          <w:rFonts w:ascii="仿宋" w:hAnsi="仿宋" w:eastAsia="仿宋" w:cs="宋体"/>
          <w:color w:val="010101"/>
          <w:kern w:val="0"/>
          <w:sz w:val="32"/>
          <w:szCs w:val="32"/>
          <w:highlight w:val="none"/>
        </w:rPr>
        <w:t>公务用车</w:t>
      </w:r>
      <w:r>
        <w:rPr>
          <w:rFonts w:hint="eastAsia" w:ascii="仿宋" w:hAnsi="仿宋" w:eastAsia="仿宋" w:cs="宋体"/>
          <w:color w:val="010101"/>
          <w:kern w:val="0"/>
          <w:sz w:val="32"/>
          <w:szCs w:val="32"/>
          <w:highlight w:val="none"/>
          <w:lang w:val="en-US" w:eastAsia="zh-CN"/>
        </w:rPr>
        <w:t>运行维护</w:t>
      </w:r>
      <w:r>
        <w:rPr>
          <w:rFonts w:ascii="仿宋" w:hAnsi="仿宋" w:eastAsia="仿宋" w:cs="宋体"/>
          <w:color w:val="010101"/>
          <w:kern w:val="0"/>
          <w:sz w:val="32"/>
          <w:szCs w:val="32"/>
          <w:highlight w:val="none"/>
        </w:rPr>
        <w:t>费</w:t>
      </w:r>
      <w:r>
        <w:rPr>
          <w:rFonts w:hint="eastAsia" w:ascii="仿宋" w:hAnsi="仿宋" w:eastAsia="仿宋" w:cs="宋体"/>
          <w:color w:val="010101"/>
          <w:kern w:val="0"/>
          <w:sz w:val="32"/>
          <w:szCs w:val="32"/>
          <w:highlight w:val="none"/>
          <w:lang w:val="en-US" w:eastAsia="zh-CN"/>
        </w:rPr>
        <w:t>3.7</w:t>
      </w:r>
      <w:r>
        <w:rPr>
          <w:rFonts w:ascii="仿宋" w:hAnsi="仿宋" w:eastAsia="仿宋" w:cs="宋体"/>
          <w:color w:val="010101"/>
          <w:kern w:val="0"/>
          <w:sz w:val="32"/>
          <w:szCs w:val="32"/>
          <w:highlight w:val="none"/>
        </w:rPr>
        <w:t>万元。“三公经费”开支严格控制在年初预算范围内</w:t>
      </w:r>
      <w:r>
        <w:rPr>
          <w:rFonts w:hint="eastAsia" w:ascii="仿宋" w:hAnsi="仿宋" w:eastAsia="仿宋" w:cs="宋体"/>
          <w:color w:val="010101"/>
          <w:kern w:val="0"/>
          <w:sz w:val="32"/>
          <w:szCs w:val="32"/>
          <w:highlight w:val="none"/>
        </w:rPr>
        <w:t>。</w:t>
      </w:r>
      <w:r>
        <w:rPr>
          <w:rFonts w:hint="eastAsia" w:ascii="仿宋" w:hAnsi="仿宋" w:eastAsia="仿宋" w:cs="Times New Roman"/>
          <w:spacing w:val="-2"/>
          <w:kern w:val="2"/>
          <w:sz w:val="32"/>
          <w:szCs w:val="32"/>
          <w:highlight w:val="none"/>
          <w:lang w:val="en-US" w:eastAsia="zh-CN" w:bidi="ar-SA"/>
        </w:rPr>
        <w:t>“三公”经费总支出较上年4.06万元增加0.92万元，增加22.66%。主要是我中心公务用车使用时间较长管理维护增加，</w:t>
      </w:r>
      <w:r>
        <w:rPr>
          <w:rFonts w:ascii="仿宋" w:hAnsi="仿宋" w:eastAsia="仿宋" w:cs="宋体"/>
          <w:color w:val="010101"/>
          <w:kern w:val="0"/>
          <w:sz w:val="32"/>
          <w:szCs w:val="32"/>
          <w:highlight w:val="none"/>
        </w:rPr>
        <w:t>公务用车</w:t>
      </w:r>
      <w:r>
        <w:rPr>
          <w:rFonts w:hint="eastAsia" w:ascii="仿宋" w:hAnsi="仿宋" w:eastAsia="仿宋" w:cs="宋体"/>
          <w:color w:val="010101"/>
          <w:kern w:val="0"/>
          <w:sz w:val="32"/>
          <w:szCs w:val="32"/>
          <w:highlight w:val="none"/>
          <w:lang w:val="en-US" w:eastAsia="zh-CN"/>
        </w:rPr>
        <w:t>运行维护</w:t>
      </w:r>
      <w:r>
        <w:rPr>
          <w:rFonts w:ascii="仿宋" w:hAnsi="仿宋" w:eastAsia="仿宋" w:cs="宋体"/>
          <w:color w:val="010101"/>
          <w:kern w:val="0"/>
          <w:sz w:val="32"/>
          <w:szCs w:val="32"/>
          <w:highlight w:val="none"/>
        </w:rPr>
        <w:t>费</w:t>
      </w:r>
      <w:r>
        <w:rPr>
          <w:rFonts w:hint="eastAsia" w:ascii="仿宋" w:hAnsi="仿宋" w:eastAsia="仿宋" w:cs="宋体"/>
          <w:color w:val="010101"/>
          <w:kern w:val="0"/>
          <w:sz w:val="32"/>
          <w:szCs w:val="32"/>
          <w:highlight w:val="none"/>
          <w:lang w:val="en-US" w:eastAsia="zh-CN"/>
        </w:rPr>
        <w:t>和</w:t>
      </w:r>
      <w:r>
        <w:rPr>
          <w:rFonts w:hint="eastAsia" w:ascii="仿宋" w:hAnsi="仿宋" w:eastAsia="仿宋" w:cs="Times New Roman"/>
          <w:spacing w:val="-2"/>
          <w:kern w:val="2"/>
          <w:sz w:val="32"/>
          <w:szCs w:val="32"/>
          <w:highlight w:val="none"/>
          <w:lang w:val="en-US" w:eastAsia="zh-CN" w:bidi="ar-SA"/>
        </w:rPr>
        <w:t>公务接待费同比增加。</w:t>
      </w:r>
    </w:p>
    <w:p>
      <w:pPr>
        <w:pStyle w:val="4"/>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政府性基金预算支出情况</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leftChars="0" w:right="0" w:rightChars="0"/>
        <w:textAlignment w:val="auto"/>
        <w:rPr>
          <w:rFonts w:hint="eastAsia" w:ascii="仿宋" w:hAnsi="仿宋" w:eastAsia="仿宋" w:cs="仿宋"/>
          <w:b w:val="0"/>
          <w:bCs w:val="0"/>
          <w:i w:val="0"/>
          <w:iCs w:val="0"/>
          <w:caps w:val="0"/>
          <w:color w:val="000000"/>
          <w:spacing w:val="0"/>
          <w:sz w:val="32"/>
          <w:szCs w:val="32"/>
          <w:shd w:val="clear" w:fill="FFFFFF"/>
          <w:lang w:val="en-US" w:eastAsia="zh-CN"/>
        </w:rPr>
      </w:pPr>
      <w:r>
        <w:rPr>
          <w:rFonts w:hint="eastAsia" w:ascii="仿宋" w:hAnsi="仿宋" w:eastAsia="仿宋" w:cs="仿宋"/>
          <w:b w:val="0"/>
          <w:bCs w:val="0"/>
          <w:i w:val="0"/>
          <w:iCs w:val="0"/>
          <w:caps w:val="0"/>
          <w:color w:val="000000"/>
          <w:spacing w:val="0"/>
          <w:sz w:val="32"/>
          <w:szCs w:val="32"/>
          <w:shd w:val="clear" w:fill="FFFFFF"/>
          <w:lang w:eastAsia="zh-CN"/>
        </w:rPr>
        <w:t>本单位</w:t>
      </w:r>
      <w:r>
        <w:rPr>
          <w:rFonts w:hint="eastAsia" w:ascii="仿宋" w:hAnsi="仿宋" w:eastAsia="仿宋" w:cs="仿宋"/>
          <w:b w:val="0"/>
          <w:bCs w:val="0"/>
          <w:i w:val="0"/>
          <w:iCs w:val="0"/>
          <w:caps w:val="0"/>
          <w:color w:val="000000"/>
          <w:spacing w:val="0"/>
          <w:sz w:val="32"/>
          <w:szCs w:val="32"/>
          <w:shd w:val="clear" w:fill="FFFFFF"/>
          <w:lang w:val="en-US" w:eastAsia="zh-CN"/>
        </w:rPr>
        <w:t>2023年度无政府性基金预算支出。</w:t>
      </w:r>
    </w:p>
    <w:p>
      <w:pPr>
        <w:pStyle w:val="4"/>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left="0" w:leftChars="0" w:right="0" w:firstLine="0" w:firstLineChars="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国有资本经营预算支出情况</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leftChars="0" w:right="0" w:rightChars="0"/>
        <w:textAlignment w:val="auto"/>
        <w:rPr>
          <w:rFonts w:hint="eastAsia" w:ascii="仿宋" w:hAnsi="仿宋" w:eastAsia="仿宋" w:cs="仿宋"/>
          <w:b w:val="0"/>
          <w:bCs w:val="0"/>
          <w:i w:val="0"/>
          <w:iCs w:val="0"/>
          <w:caps w:val="0"/>
          <w:color w:val="000000"/>
          <w:spacing w:val="0"/>
          <w:sz w:val="32"/>
          <w:szCs w:val="32"/>
          <w:shd w:val="clear" w:fill="FFFFFF"/>
          <w:lang w:val="en-US" w:eastAsia="zh-CN"/>
        </w:rPr>
      </w:pPr>
      <w:r>
        <w:rPr>
          <w:rFonts w:hint="eastAsia" w:ascii="仿宋" w:hAnsi="仿宋" w:eastAsia="仿宋" w:cs="仿宋"/>
          <w:b w:val="0"/>
          <w:bCs w:val="0"/>
          <w:i w:val="0"/>
          <w:iCs w:val="0"/>
          <w:caps w:val="0"/>
          <w:color w:val="000000"/>
          <w:spacing w:val="0"/>
          <w:sz w:val="32"/>
          <w:szCs w:val="32"/>
          <w:shd w:val="clear" w:fill="FFFFFF"/>
          <w:lang w:eastAsia="zh-CN"/>
        </w:rPr>
        <w:t>本单位</w:t>
      </w:r>
      <w:r>
        <w:rPr>
          <w:rFonts w:hint="eastAsia" w:ascii="仿宋" w:hAnsi="仿宋" w:eastAsia="仿宋" w:cs="仿宋"/>
          <w:b w:val="0"/>
          <w:bCs w:val="0"/>
          <w:i w:val="0"/>
          <w:iCs w:val="0"/>
          <w:caps w:val="0"/>
          <w:color w:val="000000"/>
          <w:spacing w:val="0"/>
          <w:sz w:val="32"/>
          <w:szCs w:val="32"/>
          <w:shd w:val="clear" w:fill="FFFFFF"/>
          <w:lang w:val="en-US" w:eastAsia="zh-CN"/>
        </w:rPr>
        <w:t>2023年无国有资本经营预算支出</w:t>
      </w:r>
    </w:p>
    <w:p>
      <w:pPr>
        <w:pStyle w:val="4"/>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left="0" w:leftChars="0" w:right="0" w:firstLine="0" w:firstLineChars="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社会保险基金预算支出情况</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leftChars="0" w:right="0" w:rightChars="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eastAsia="zh-CN"/>
        </w:rPr>
        <w:t>本单位</w:t>
      </w:r>
      <w:r>
        <w:rPr>
          <w:rFonts w:hint="eastAsia" w:ascii="仿宋" w:hAnsi="仿宋" w:eastAsia="仿宋" w:cs="仿宋"/>
          <w:i w:val="0"/>
          <w:iCs w:val="0"/>
          <w:caps w:val="0"/>
          <w:color w:val="000000"/>
          <w:spacing w:val="0"/>
          <w:sz w:val="32"/>
          <w:szCs w:val="32"/>
          <w:shd w:val="clear" w:fill="FFFFFF"/>
          <w:lang w:val="en-US" w:eastAsia="zh-CN"/>
        </w:rPr>
        <w:t xml:space="preserve">2023年度无社会保险基金预算支出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六、部门整体支出绩效情况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仿宋_GB2312" w:eastAsia="仿宋_GB2312" w:cs="仿宋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（一）综合评价结论。</w:t>
      </w:r>
      <w:r>
        <w:rPr>
          <w:rFonts w:hint="default" w:ascii="仿宋_GB2312" w:eastAsia="仿宋_GB2312" w:cs="仿宋_GB2312"/>
          <w:i w:val="0"/>
          <w:iCs w:val="0"/>
          <w:caps w:val="0"/>
          <w:color w:val="000000"/>
          <w:spacing w:val="0"/>
          <w:sz w:val="32"/>
          <w:szCs w:val="32"/>
          <w:shd w:val="clear" w:fill="FFFFFF"/>
        </w:rPr>
        <w:t>反映自评得分及评价等级。</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_GB2312"/>
          <w:kern w:val="0"/>
          <w:sz w:val="32"/>
          <w:szCs w:val="32"/>
          <w:highlight w:val="none"/>
          <w:lang w:val="en-US" w:eastAsia="zh-CN" w:bidi="ar-SA"/>
        </w:rPr>
      </w:pPr>
      <w:r>
        <w:rPr>
          <w:rFonts w:hint="eastAsia" w:ascii="仿宋" w:hAnsi="仿宋" w:eastAsia="仿宋" w:cs="仿宋_GB2312"/>
          <w:kern w:val="0"/>
          <w:sz w:val="32"/>
          <w:szCs w:val="32"/>
          <w:highlight w:val="none"/>
          <w:lang w:val="en-US" w:eastAsia="zh-CN" w:bidi="ar-SA"/>
        </w:rPr>
        <w:t>2023年度我中心严格按照绩效目标要求对本单位进行绩效评价，较好地完成了年度计划，自评得分96分，等级优。</w:t>
      </w:r>
    </w:p>
    <w:p>
      <w:pPr>
        <w:pStyle w:val="4"/>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仿宋_GB2312" w:eastAsia="仿宋_GB2312" w:cs="仿宋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评价指标分析（或综合评价情况）。</w:t>
      </w:r>
      <w:bookmarkStart w:id="0" w:name="_GoBack"/>
      <w:bookmarkEnd w:id="0"/>
    </w:p>
    <w:p>
      <w:pPr>
        <w:widowControl/>
        <w:numPr>
          <w:ilvl w:val="0"/>
          <w:numId w:val="0"/>
        </w:numPr>
        <w:shd w:val="clear" w:color="auto" w:fill="auto"/>
        <w:spacing w:line="600" w:lineRule="atLeast"/>
        <w:ind w:firstLine="632" w:firstLineChars="200"/>
        <w:rPr>
          <w:rFonts w:ascii="仿宋" w:hAnsi="仿宋" w:eastAsia="仿宋" w:cs="Times New Roman"/>
          <w:spacing w:val="-2"/>
          <w:sz w:val="32"/>
          <w:szCs w:val="32"/>
          <w:highlight w:val="none"/>
        </w:rPr>
      </w:pPr>
      <w:r>
        <w:rPr>
          <w:rFonts w:ascii="仿宋" w:hAnsi="仿宋" w:eastAsia="仿宋"/>
          <w:spacing w:val="-2"/>
          <w:sz w:val="32"/>
          <w:szCs w:val="32"/>
          <w:highlight w:val="none"/>
        </w:rPr>
        <w:t>经济性</w:t>
      </w:r>
      <w:r>
        <w:rPr>
          <w:rFonts w:hint="eastAsia" w:ascii="仿宋" w:hAnsi="仿宋" w:eastAsia="仿宋"/>
          <w:spacing w:val="-2"/>
          <w:sz w:val="32"/>
          <w:szCs w:val="32"/>
          <w:highlight w:val="none"/>
          <w:lang w:val="en-US" w:eastAsia="zh-CN"/>
        </w:rPr>
        <w:t>分析：</w:t>
      </w:r>
    </w:p>
    <w:p>
      <w:pPr>
        <w:widowControl/>
        <w:shd w:val="clear" w:color="auto" w:fill="auto"/>
        <w:spacing w:line="600" w:lineRule="atLeast"/>
        <w:ind w:firstLine="640"/>
        <w:rPr>
          <w:rFonts w:hint="eastAsia" w:ascii="仿宋" w:hAnsi="仿宋" w:eastAsia="仿宋" w:cs="Times New Roman"/>
          <w:spacing w:val="-2"/>
          <w:sz w:val="32"/>
          <w:szCs w:val="32"/>
          <w:highlight w:val="none"/>
          <w:lang w:val="en-US" w:eastAsia="zh-CN"/>
        </w:rPr>
      </w:pPr>
      <w:r>
        <w:rPr>
          <w:rFonts w:ascii="仿宋" w:hAnsi="仿宋" w:eastAsia="仿宋" w:cs="Times New Roman"/>
          <w:spacing w:val="-2"/>
          <w:sz w:val="32"/>
          <w:szCs w:val="32"/>
          <w:highlight w:val="none"/>
        </w:rPr>
        <w:t>1.</w:t>
      </w:r>
      <w:r>
        <w:rPr>
          <w:rFonts w:hint="eastAsia" w:ascii="仿宋" w:hAnsi="仿宋" w:eastAsia="仿宋" w:cs="Times New Roman"/>
          <w:spacing w:val="-2"/>
          <w:sz w:val="32"/>
          <w:szCs w:val="32"/>
          <w:highlight w:val="none"/>
          <w:lang w:val="en-US" w:eastAsia="zh-CN"/>
        </w:rPr>
        <w:t>人员</w:t>
      </w:r>
      <w:r>
        <w:rPr>
          <w:rFonts w:ascii="仿宋" w:hAnsi="仿宋" w:eastAsia="仿宋" w:cs="Times New Roman"/>
          <w:spacing w:val="-2"/>
          <w:sz w:val="32"/>
          <w:szCs w:val="32"/>
          <w:highlight w:val="none"/>
        </w:rPr>
        <w:t>配置控制较好。财政供养人员控制在预算编制以内，编制内在职人员控制率</w:t>
      </w:r>
      <w:r>
        <w:rPr>
          <w:rFonts w:hint="eastAsia" w:ascii="仿宋" w:hAnsi="仿宋" w:eastAsia="仿宋" w:cs="Times New Roman"/>
          <w:spacing w:val="-2"/>
          <w:sz w:val="32"/>
          <w:szCs w:val="32"/>
          <w:highlight w:val="none"/>
          <w:lang w:val="en-US" w:eastAsia="zh-CN"/>
        </w:rPr>
        <w:t>94.12%</w:t>
      </w:r>
      <w:r>
        <w:rPr>
          <w:rFonts w:ascii="仿宋" w:hAnsi="仿宋" w:eastAsia="仿宋" w:cs="Times New Roman"/>
          <w:spacing w:val="-2"/>
          <w:sz w:val="32"/>
          <w:szCs w:val="32"/>
          <w:highlight w:val="none"/>
        </w:rPr>
        <w:t>，未超过控制标准</w:t>
      </w:r>
      <w:r>
        <w:rPr>
          <w:rFonts w:hint="eastAsia" w:ascii="仿宋" w:hAnsi="仿宋" w:eastAsia="仿宋" w:cs="Times New Roman"/>
          <w:spacing w:val="-2"/>
          <w:sz w:val="32"/>
          <w:szCs w:val="32"/>
          <w:highlight w:val="none"/>
          <w:lang w:eastAsia="zh-CN"/>
        </w:rPr>
        <w:t>。</w:t>
      </w:r>
    </w:p>
    <w:p>
      <w:pPr>
        <w:widowControl/>
        <w:numPr>
          <w:ilvl w:val="0"/>
          <w:numId w:val="0"/>
        </w:numPr>
        <w:shd w:val="clear" w:color="auto" w:fill="auto"/>
        <w:spacing w:line="600" w:lineRule="atLeast"/>
        <w:ind w:firstLine="632" w:firstLineChars="200"/>
        <w:rPr>
          <w:rFonts w:hint="default" w:ascii="仿宋" w:hAnsi="仿宋" w:eastAsia="仿宋"/>
          <w:spacing w:val="-2"/>
          <w:sz w:val="32"/>
          <w:szCs w:val="32"/>
          <w:highlight w:val="none"/>
          <w:lang w:val="en-US" w:eastAsia="zh-CN"/>
        </w:rPr>
      </w:pPr>
      <w:r>
        <w:rPr>
          <w:rFonts w:hint="eastAsia" w:ascii="仿宋" w:hAnsi="仿宋" w:eastAsia="仿宋"/>
          <w:spacing w:val="-2"/>
          <w:sz w:val="32"/>
          <w:szCs w:val="32"/>
          <w:highlight w:val="none"/>
          <w:lang w:val="en-US" w:eastAsia="zh-CN"/>
        </w:rPr>
        <w:t>2.预算完成率较好。2023年年末结转结余0万元，预算完成率100%，预算完成好。</w:t>
      </w:r>
    </w:p>
    <w:p>
      <w:pPr>
        <w:widowControl/>
        <w:numPr>
          <w:ilvl w:val="0"/>
          <w:numId w:val="0"/>
        </w:numPr>
        <w:shd w:val="clear" w:color="auto" w:fill="auto"/>
        <w:spacing w:line="600" w:lineRule="atLeast"/>
        <w:ind w:firstLine="624"/>
        <w:rPr>
          <w:rFonts w:hint="eastAsia" w:ascii="仿宋" w:hAnsi="仿宋" w:eastAsia="仿宋"/>
          <w:spacing w:val="-2"/>
          <w:sz w:val="32"/>
          <w:szCs w:val="32"/>
          <w:highlight w:val="none"/>
          <w:lang w:val="en-US" w:eastAsia="zh-CN"/>
        </w:rPr>
      </w:pPr>
      <w:r>
        <w:rPr>
          <w:rFonts w:hint="eastAsia" w:ascii="仿宋" w:hAnsi="仿宋" w:eastAsia="仿宋"/>
          <w:spacing w:val="-2"/>
          <w:sz w:val="32"/>
          <w:szCs w:val="32"/>
          <w:highlight w:val="none"/>
          <w:lang w:val="en-US" w:eastAsia="zh-CN"/>
        </w:rPr>
        <w:t>3.公用经费总体在控制内。2023年实际支出公用经费总额26.99万元，预算安排公用经费总额32.5万元，减少5.51万元，未超预算。</w:t>
      </w:r>
    </w:p>
    <w:p>
      <w:pPr>
        <w:widowControl/>
        <w:numPr>
          <w:ilvl w:val="0"/>
          <w:numId w:val="0"/>
        </w:numPr>
        <w:shd w:val="clear" w:color="auto" w:fill="auto"/>
        <w:spacing w:line="600" w:lineRule="atLeast"/>
        <w:ind w:firstLine="624"/>
        <w:rPr>
          <w:rFonts w:hint="default" w:ascii="仿宋" w:hAnsi="仿宋" w:eastAsia="仿宋"/>
          <w:spacing w:val="-2"/>
          <w:sz w:val="32"/>
          <w:szCs w:val="32"/>
          <w:highlight w:val="none"/>
          <w:lang w:val="en-US"/>
        </w:rPr>
      </w:pPr>
      <w:r>
        <w:rPr>
          <w:rFonts w:hint="eastAsia" w:ascii="仿宋" w:hAnsi="仿宋" w:eastAsia="仿宋"/>
          <w:spacing w:val="-2"/>
          <w:sz w:val="32"/>
          <w:szCs w:val="32"/>
          <w:highlight w:val="none"/>
          <w:lang w:val="en-US" w:eastAsia="zh-CN"/>
        </w:rPr>
        <w:t>4.“三公”经费控制较好。2023年“三公”经费实际支出数为4.98万元，预算安排5.1万元，“三公”经费控制率为97.65%，“三公”经费未超预算。</w:t>
      </w:r>
    </w:p>
    <w:p>
      <w:pPr>
        <w:widowControl/>
        <w:numPr>
          <w:ilvl w:val="0"/>
          <w:numId w:val="0"/>
        </w:numPr>
        <w:shd w:val="clear" w:color="auto" w:fill="auto"/>
        <w:spacing w:line="600" w:lineRule="atLeast"/>
        <w:ind w:firstLine="632" w:firstLineChars="200"/>
        <w:rPr>
          <w:rFonts w:hint="eastAsia" w:ascii="仿宋" w:hAnsi="仿宋" w:eastAsia="仿宋"/>
          <w:spacing w:val="-2"/>
          <w:sz w:val="32"/>
          <w:szCs w:val="32"/>
          <w:highlight w:val="none"/>
          <w:lang w:val="en-US" w:eastAsia="zh-CN"/>
        </w:rPr>
      </w:pPr>
      <w:r>
        <w:rPr>
          <w:rFonts w:ascii="仿宋" w:hAnsi="仿宋" w:eastAsia="仿宋"/>
          <w:spacing w:val="-2"/>
          <w:sz w:val="32"/>
          <w:szCs w:val="32"/>
          <w:highlight w:val="none"/>
        </w:rPr>
        <w:t>效率性</w:t>
      </w:r>
      <w:r>
        <w:rPr>
          <w:rFonts w:hint="eastAsia" w:ascii="仿宋" w:hAnsi="仿宋" w:eastAsia="仿宋"/>
          <w:spacing w:val="-2"/>
          <w:sz w:val="32"/>
          <w:szCs w:val="32"/>
          <w:highlight w:val="none"/>
          <w:lang w:val="en-US" w:eastAsia="zh-CN"/>
        </w:rPr>
        <w:t>和有效性分析：</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1.稻油全程机械化生产不断提升。2023年我市水稻播种面积 319.25 万亩，水稻机耕面积305.85 万亩，水稻机插面积155.74万亩，水稻机收面积241.8 万亩；水稻耕种收综合机械化率75.68%，较上年增长3%，其中机插机抛率48.78%，增长4.28%。油菜播种面积202.35万亩，机耕面积181.1万亩、机耕率89.5%，机播面积56.8万亩、机播率28.07%，机收面积109.9万亩、机收率54.82%，油菜耕种收综合机械化水平达60.67%，较上年54.93%增长5.74%。</w:t>
      </w:r>
    </w:p>
    <w:p>
      <w:pPr>
        <w:pStyle w:val="4"/>
        <w:keepNext w:val="0"/>
        <w:keepLines w:val="0"/>
        <w:pageBreakBefore w:val="0"/>
        <w:widowControl/>
        <w:numPr>
          <w:ilvl w:val="0"/>
          <w:numId w:val="0"/>
        </w:numPr>
        <w:suppressLineNumbers w:val="0"/>
        <w:shd w:val="clear" w:color="auto"/>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outlineLvl w:val="9"/>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2.农机购置补贴与应用补贴政策规范实施。发挥农机购置补贴政策的引导作用，积极争取建立地方累加奖补制度，重点攻破机插、机抛、机烘、机植保等薄弱环节，确保粮油生产主要农作物全程机械化水平稳步提升。今年分配我市农机购置补贴6445万元，截止目前共使用补贴资金为3774万元( 中央补贴资金3676万元，省级补贴资金97.5万元)，同比增长1.35%；补贴机具3.6万台，受益农户 3.35万户，拉动农机投入近1.4亿元。</w:t>
      </w:r>
    </w:p>
    <w:p>
      <w:pPr>
        <w:keepNext w:val="0"/>
        <w:keepLines w:val="0"/>
        <w:pageBreakBefore w:val="0"/>
        <w:shd w:val="clear"/>
        <w:kinsoku/>
        <w:wordWrap/>
        <w:overflowPunct/>
        <w:topLinePunct w:val="0"/>
        <w:autoSpaceDE/>
        <w:autoSpaceDN/>
        <w:bidi w:val="0"/>
        <w:adjustRightInd/>
        <w:snapToGrid/>
        <w:spacing w:line="560" w:lineRule="exact"/>
        <w:ind w:firstLine="640" w:firstLineChars="200"/>
        <w:jc w:val="both"/>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3.农机社会化服务水平持续提升。认真做好水稻机插（抛）育秧技术推广、油菜机械化栽植、农机春耕备耕及秋收等重点技术、重要时间节点农机服务工作。一是夯实落细生产服务保障。积极开展“送政策、送农机、送技术”下乡服务活动，组织农机技术骨干及各乡镇农机站成员到田间开展农机具检修保养和育秧技术实时培训等。二是全力保障物资储备供应。积极组织协调农机具、零配件和柴油的调度供应及售后服务工作，保障春耕备耕等重要农时农业生产机具供给。三是积极争取项目支持。争取到靖州、沅陵、溆浦、洪江市、辰溪、麻阳、会同、芷江等8个“全省水稻机插机抛社会化服务”项目县，共9.5万亩。四是强化农机实用技术培训。积极开展水稻机插机抛、无人机实操等方面培训活动。全市农机专业合作社技术骨干和农机大户参训达700余人次，有效提升农机手植保无人机操作、油菜移栽、农机保养与维修等方面技术水平。</w:t>
      </w:r>
    </w:p>
    <w:p>
      <w:pPr>
        <w:keepNext w:val="0"/>
        <w:keepLines w:val="0"/>
        <w:pageBreakBefore w:val="0"/>
        <w:widowControl/>
        <w:kinsoku/>
        <w:wordWrap/>
        <w:overflowPunct/>
        <w:topLinePunct w:val="0"/>
        <w:autoSpaceDE/>
        <w:autoSpaceDN/>
        <w:bidi w:val="0"/>
        <w:adjustRightInd/>
        <w:snapToGrid/>
        <w:spacing w:line="560" w:lineRule="exact"/>
        <w:ind w:right="301" w:firstLine="480" w:firstLineChars="150"/>
        <w:jc w:val="both"/>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4.农机新机具新技术推广成效明显。坚持农机装备总量稳步增长与结构优化并举，大规模作业推广高性能、复式作业机械，丘陵山区推广适应的轻便耐用机械，全域提升农机装备数量。集中力量推广稻油机育插、机抛、机收、机烘、机植保等先进机械；积极开展农机“三减量”行动，充分挖掘农业机械化对绿色农业发展的巨大潜力；鼓励和引导农业机械以旧换新和升级换代，加快淘汰能耗高、污染重、性能低的老旧机械，全面提升农机节能、环保、安全水平。截止目前全市拥有无人植保飞机200余架，大马力植保机具250余台套，烘干机保有量达到350余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5.扎实开展农机业务培训。坚持“实际、实效、实用”原则，围绕农机使用、操作、维修、保养、经营、管理等内容，通过大力开展机插机抛秧现场演示会，农机新机具、新技术培训会、现场演示会、安全生产培训会，重点对插、抛秧机安全操作进行培训。截止目前，全市共举办各类农机化教育培500余次，共培训培训农机手、种粮大户等近1.6余人。其中举办机械化育秧、机插机抛技术培训80余次。</w:t>
      </w:r>
    </w:p>
    <w:p>
      <w:pPr>
        <w:keepNext w:val="0"/>
        <w:keepLines w:val="0"/>
        <w:pageBreakBefore w:val="0"/>
        <w:widowControl/>
        <w:kinsoku/>
        <w:wordWrap/>
        <w:overflowPunct/>
        <w:topLinePunct w:val="0"/>
        <w:autoSpaceDE/>
        <w:autoSpaceDN/>
        <w:bidi w:val="0"/>
        <w:adjustRightInd/>
        <w:snapToGrid/>
        <w:spacing w:line="560" w:lineRule="exact"/>
        <w:ind w:right="301" w:firstLine="480" w:firstLineChars="150"/>
        <w:jc w:val="both"/>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6.农机安全生产监理工作持续稳定。狠抓农机源头管理，深入推进“拖拉机安全顽瘴痼疾专项整治”行动，扎实推进“平安农机”创建活动，强化宣传教育，有效预防和减少农机事故发生，我市连续15年不发生较大以上农机安全生产事故。</w:t>
      </w:r>
    </w:p>
    <w:p>
      <w:pPr>
        <w:pStyle w:val="7"/>
        <w:keepNext w:val="0"/>
        <w:keepLines w:val="0"/>
        <w:pageBreakBefore w:val="0"/>
        <w:kinsoku/>
        <w:wordWrap/>
        <w:overflowPunct/>
        <w:topLinePunct w:val="0"/>
        <w:autoSpaceDE/>
        <w:autoSpaceDN/>
        <w:bidi w:val="0"/>
        <w:adjustRightInd/>
        <w:snapToGrid/>
        <w:spacing w:line="560" w:lineRule="exact"/>
        <w:jc w:val="both"/>
        <w:rPr>
          <w:rFonts w:hint="default" w:ascii="仿宋_GB2312" w:eastAsia="仿宋_GB2312" w:cs="仿宋_GB2312"/>
          <w:i w:val="0"/>
          <w:iCs w:val="0"/>
          <w:caps w:val="0"/>
          <w:color w:val="000000"/>
          <w:spacing w:val="0"/>
          <w:sz w:val="32"/>
          <w:szCs w:val="32"/>
          <w:shd w:val="clear" w:fill="FFFFFF"/>
        </w:rPr>
      </w:pPr>
      <w:r>
        <w:rPr>
          <w:rFonts w:hint="eastAsia" w:ascii="仿宋" w:hAnsi="仿宋" w:eastAsia="仿宋" w:cs="仿宋"/>
          <w:i w:val="0"/>
          <w:iCs w:val="0"/>
          <w:caps w:val="0"/>
          <w:color w:val="000000"/>
          <w:spacing w:val="0"/>
          <w:kern w:val="0"/>
          <w:sz w:val="32"/>
          <w:szCs w:val="32"/>
          <w:shd w:val="clear" w:fill="FFFFFF"/>
          <w:lang w:val="en-US" w:eastAsia="zh-CN" w:bidi="ar"/>
        </w:rPr>
        <w:t>7.加强农机宣传引导，营造农机化发展氛围。市县积极通过广播、电视、报刊等传统媒体和短信、微信、网络等新媒介，采取多种形式，广泛宣传了农机化在保供给、保增收等农业农村纵向工作的好作法、新成效，深入宣传农机购置补贴、现代农机合作社建设等方面强农惠农政策，大力宣传推广农机化新产品、新技术，及时总结工作经验，树立农机示范典型，积极营造了农机化发展浓厚氛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七、存在的问题及原因分析</w:t>
      </w:r>
    </w:p>
    <w:p>
      <w:pPr>
        <w:widowControl/>
        <w:numPr>
          <w:ilvl w:val="0"/>
          <w:numId w:val="0"/>
        </w:numPr>
        <w:shd w:val="clear" w:color="auto" w:fill="auto"/>
        <w:spacing w:line="600" w:lineRule="exact"/>
        <w:ind w:firstLine="640" w:firstLineChars="200"/>
        <w:jc w:val="left"/>
        <w:rPr>
          <w:rFonts w:hint="default" w:ascii="仿宋_GB2312" w:eastAsia="仿宋_GB2312" w:cs="仿宋_GB2312"/>
          <w:i w:val="0"/>
          <w:iCs w:val="0"/>
          <w:caps w:val="0"/>
          <w:color w:val="000000"/>
          <w:spacing w:val="0"/>
          <w:sz w:val="32"/>
          <w:szCs w:val="32"/>
          <w:shd w:val="clear" w:fill="FFFFFF"/>
        </w:rPr>
      </w:pPr>
      <w:r>
        <w:rPr>
          <w:rFonts w:ascii="仿宋" w:hAnsi="仿宋" w:eastAsia="仿宋" w:cs="仿宋_GB2312"/>
          <w:kern w:val="0"/>
          <w:sz w:val="32"/>
          <w:szCs w:val="32"/>
          <w:highlight w:val="none"/>
        </w:rPr>
        <w:t>预算资金紧张，行政负担重，日常公用经费不足，特别是必要的人员支出社保费</w:t>
      </w:r>
      <w:r>
        <w:rPr>
          <w:rFonts w:hint="eastAsia" w:ascii="仿宋" w:hAnsi="仿宋" w:eastAsia="仿宋" w:cs="仿宋_GB2312"/>
          <w:kern w:val="0"/>
          <w:sz w:val="32"/>
          <w:szCs w:val="32"/>
          <w:highlight w:val="none"/>
          <w:lang w:val="en-US" w:eastAsia="zh-CN"/>
        </w:rPr>
        <w:t>如</w:t>
      </w:r>
      <w:r>
        <w:rPr>
          <w:rFonts w:ascii="仿宋" w:hAnsi="仿宋" w:eastAsia="仿宋" w:cs="仿宋_GB2312"/>
          <w:kern w:val="0"/>
          <w:sz w:val="32"/>
          <w:szCs w:val="32"/>
          <w:highlight w:val="none"/>
        </w:rPr>
        <w:t>生育保险、大病互助、工伤保险、残保金、</w:t>
      </w:r>
      <w:r>
        <w:rPr>
          <w:rFonts w:hint="eastAsia" w:ascii="仿宋" w:hAnsi="仿宋" w:eastAsia="仿宋" w:cs="仿宋_GB2312"/>
          <w:kern w:val="0"/>
          <w:sz w:val="32"/>
          <w:szCs w:val="32"/>
          <w:highlight w:val="none"/>
          <w:lang w:val="en-US" w:eastAsia="zh-CN"/>
        </w:rPr>
        <w:t>退休人员经费</w:t>
      </w:r>
      <w:r>
        <w:rPr>
          <w:rFonts w:ascii="仿宋" w:hAnsi="仿宋" w:eastAsia="仿宋" w:cs="仿宋_GB2312"/>
          <w:kern w:val="0"/>
          <w:sz w:val="32"/>
          <w:szCs w:val="32"/>
          <w:highlight w:val="none"/>
        </w:rPr>
        <w:t>等均由单位保障，挤占</w:t>
      </w:r>
      <w:r>
        <w:rPr>
          <w:rFonts w:hint="eastAsia" w:ascii="仿宋" w:hAnsi="仿宋" w:eastAsia="仿宋" w:cs="仿宋_GB2312"/>
          <w:kern w:val="0"/>
          <w:sz w:val="32"/>
          <w:szCs w:val="32"/>
          <w:highlight w:val="none"/>
          <w:lang w:eastAsia="zh-CN"/>
        </w:rPr>
        <w:t>行政</w:t>
      </w:r>
      <w:r>
        <w:rPr>
          <w:rFonts w:ascii="仿宋" w:hAnsi="仿宋" w:eastAsia="仿宋" w:cs="仿宋_GB2312"/>
          <w:kern w:val="0"/>
          <w:sz w:val="32"/>
          <w:szCs w:val="32"/>
          <w:highlight w:val="none"/>
        </w:rPr>
        <w:t>经费</w:t>
      </w:r>
      <w:r>
        <w:rPr>
          <w:rFonts w:hint="eastAsia" w:ascii="仿宋" w:hAnsi="仿宋" w:eastAsia="仿宋" w:cs="仿宋_GB2312"/>
          <w:kern w:val="0"/>
          <w:sz w:val="32"/>
          <w:szCs w:val="32"/>
          <w:highlight w:val="none"/>
          <w:lang w:eastAsia="zh-CN"/>
        </w:rPr>
        <w:t>；</w:t>
      </w:r>
      <w:r>
        <w:rPr>
          <w:rFonts w:ascii="仿宋" w:hAnsi="仿宋" w:eastAsia="仿宋" w:cs="仿宋_GB2312"/>
          <w:kern w:val="0"/>
          <w:sz w:val="32"/>
          <w:szCs w:val="32"/>
          <w:highlight w:val="none"/>
        </w:rPr>
        <w:t>在部门整体支出的资金安排和使用上有不可预见性，在科学设置预算绩效指标上还需进一步加强，使之更加贴合</w:t>
      </w:r>
      <w:r>
        <w:rPr>
          <w:rFonts w:hint="eastAsia" w:ascii="仿宋" w:hAnsi="仿宋" w:eastAsia="仿宋" w:cs="仿宋_GB2312"/>
          <w:kern w:val="0"/>
          <w:sz w:val="32"/>
          <w:szCs w:val="32"/>
          <w:highlight w:val="none"/>
        </w:rPr>
        <w:t>农机</w:t>
      </w:r>
      <w:r>
        <w:rPr>
          <w:rFonts w:ascii="仿宋" w:hAnsi="仿宋" w:eastAsia="仿宋" w:cs="仿宋_GB2312"/>
          <w:kern w:val="0"/>
          <w:sz w:val="32"/>
          <w:szCs w:val="32"/>
          <w:highlight w:val="none"/>
        </w:rPr>
        <w:t>工作的实</w:t>
      </w:r>
      <w:r>
        <w:rPr>
          <w:rFonts w:hint="eastAsia" w:ascii="仿宋" w:hAnsi="仿宋" w:eastAsia="仿宋" w:cs="仿宋_GB2312"/>
          <w:kern w:val="0"/>
          <w:sz w:val="32"/>
          <w:szCs w:val="32"/>
          <w:highlight w:val="none"/>
        </w:rPr>
        <w:t>际。</w:t>
      </w:r>
    </w:p>
    <w:p>
      <w:pPr>
        <w:pStyle w:val="4"/>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下一步改进措施</w:t>
      </w:r>
    </w:p>
    <w:p>
      <w:pPr>
        <w:keepNext w:val="0"/>
        <w:keepLines w:val="0"/>
        <w:pageBreakBefore w:val="0"/>
        <w:widowControl/>
        <w:shd w:val="clear" w:color="auto" w:fill="auto"/>
        <w:kinsoku/>
        <w:wordWrap/>
        <w:overflowPunct/>
        <w:topLinePunct w:val="0"/>
        <w:autoSpaceDN/>
        <w:bidi w:val="0"/>
        <w:adjustRightInd/>
        <w:snapToGrid/>
        <w:spacing w:afterAutospacing="0" w:line="560" w:lineRule="exact"/>
        <w:ind w:firstLine="640" w:firstLineChars="200"/>
        <w:jc w:val="left"/>
        <w:rPr>
          <w:rFonts w:hint="eastAsia" w:ascii="黑体" w:hAnsi="黑体" w:eastAsia="黑体" w:cs="黑体"/>
          <w:i w:val="0"/>
          <w:iCs w:val="0"/>
          <w:caps w:val="0"/>
          <w:color w:val="000000"/>
          <w:spacing w:val="0"/>
          <w:sz w:val="32"/>
          <w:szCs w:val="32"/>
          <w:shd w:val="clear" w:fill="FFFFFF"/>
        </w:rPr>
      </w:pPr>
      <w:r>
        <w:rPr>
          <w:rFonts w:ascii="仿宋" w:hAnsi="仿宋" w:eastAsia="仿宋" w:cs="仿宋_GB2312"/>
          <w:kern w:val="0"/>
          <w:sz w:val="32"/>
          <w:szCs w:val="32"/>
          <w:highlight w:val="none"/>
        </w:rPr>
        <w:t>部门整体绩效评价工作是一项长期性的工作，专业性强，工作量大，建议财政有关部门进一步加强</w:t>
      </w:r>
      <w:r>
        <w:rPr>
          <w:rFonts w:hint="eastAsia" w:ascii="仿宋" w:hAnsi="仿宋" w:eastAsia="仿宋" w:cs="仿宋_GB2312"/>
          <w:kern w:val="0"/>
          <w:sz w:val="32"/>
          <w:szCs w:val="32"/>
          <w:highlight w:val="none"/>
          <w:lang w:eastAsia="zh-CN"/>
        </w:rPr>
        <w:t>对各单位资金规范管理和使用的指导，更多地</w:t>
      </w:r>
      <w:r>
        <w:rPr>
          <w:rFonts w:ascii="仿宋" w:hAnsi="仿宋" w:eastAsia="仿宋" w:cs="仿宋_GB2312"/>
          <w:kern w:val="0"/>
          <w:sz w:val="32"/>
          <w:szCs w:val="32"/>
          <w:highlight w:val="none"/>
        </w:rPr>
        <w:t>开展相关的业务工作培训，组织开展部门之间、单位之间的经验交流，切实推进绩效评价工作的开展。</w:t>
      </w:r>
    </w:p>
    <w:p>
      <w:pPr>
        <w:pStyle w:val="4"/>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left="0" w:leftChars="0" w:right="0" w:firstLine="0" w:firstLineChars="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其他需要说明的情况</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leftChars="0" w:right="0" w:rightChars="0"/>
        <w:textAlignment w:val="auto"/>
        <w:rPr>
          <w:rFonts w:hint="eastAsia" w:ascii="仿宋" w:hAnsi="仿宋" w:eastAsia="仿宋" w:cs="仿宋_GB2312"/>
          <w:kern w:val="0"/>
          <w:sz w:val="32"/>
          <w:szCs w:val="32"/>
          <w:highlight w:val="none"/>
          <w:lang w:val="en-US" w:eastAsia="zh-CN" w:bidi="ar-SA"/>
        </w:rPr>
      </w:pPr>
      <w:r>
        <w:rPr>
          <w:rFonts w:hint="eastAsia" w:ascii="仿宋" w:hAnsi="仿宋" w:eastAsia="仿宋" w:cs="仿宋_GB2312"/>
          <w:kern w:val="0"/>
          <w:sz w:val="32"/>
          <w:szCs w:val="32"/>
          <w:highlight w:val="none"/>
          <w:lang w:val="en-US" w:eastAsia="zh-CN" w:bidi="ar-SA"/>
        </w:rPr>
        <w:t>无</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leftChars="0" w:right="0" w:rightChars="0"/>
        <w:textAlignment w:val="auto"/>
        <w:rPr>
          <w:rFonts w:hint="eastAsia" w:ascii="黑体" w:hAnsi="黑体" w:eastAsia="黑体" w:cs="黑体"/>
          <w:i w:val="0"/>
          <w:iCs w:val="0"/>
          <w:caps w:val="0"/>
          <w:color w:val="000000"/>
          <w:spacing w:val="0"/>
          <w:sz w:val="32"/>
          <w:szCs w:val="32"/>
          <w:shd w:val="clear" w:fill="FFFFFF"/>
          <w:lang w:val="en-US" w:eastAsia="zh-CN"/>
        </w:rPr>
      </w:pP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leftChars="0" w:right="0" w:rightChars="0"/>
        <w:textAlignment w:val="auto"/>
        <w:rPr>
          <w:rFonts w:hint="eastAsia" w:ascii="黑体" w:hAnsi="黑体" w:eastAsia="黑体" w:cs="黑体"/>
          <w:i w:val="0"/>
          <w:iCs w:val="0"/>
          <w:caps w:val="0"/>
          <w:color w:val="000000"/>
          <w:spacing w:val="0"/>
          <w:sz w:val="32"/>
          <w:szCs w:val="32"/>
          <w:shd w:val="clear" w:fill="FFFFFF"/>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 xml:space="preserve">附件1-1 </w:t>
      </w:r>
    </w:p>
    <w:p>
      <w:pPr>
        <w:keepNext w:val="0"/>
        <w:keepLines w:val="0"/>
        <w:pageBreakBefore w:val="0"/>
        <w:widowControl/>
        <w:shd w:val="clear"/>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部门整体支出绩效评价基础数据表</w:t>
      </w:r>
    </w:p>
    <w:p>
      <w:pPr>
        <w:widowControl/>
        <w:shd w:val="clear"/>
        <w:tabs>
          <w:tab w:val="left" w:pos="3611"/>
          <w:tab w:val="left" w:pos="4791"/>
          <w:tab w:val="left" w:pos="5951"/>
          <w:tab w:val="left" w:pos="7071"/>
          <w:tab w:val="left" w:pos="8191"/>
          <w:tab w:val="left" w:pos="9311"/>
        </w:tabs>
        <w:ind w:left="91"/>
        <w:jc w:val="left"/>
        <w:rPr>
          <w:rFonts w:hint="default" w:eastAsia="仿宋_GB2312"/>
          <w:kern w:val="0"/>
          <w:sz w:val="24"/>
          <w:lang w:val="en-US" w:eastAsia="zh-CN"/>
        </w:rPr>
      </w:pPr>
      <w:r>
        <w:rPr>
          <w:rFonts w:hint="eastAsia" w:eastAsia="仿宋_GB2312"/>
          <w:kern w:val="0"/>
          <w:sz w:val="24"/>
          <w:lang w:val="en-US" w:eastAsia="zh-CN"/>
        </w:rPr>
        <w:t>填报单位：</w:t>
      </w:r>
      <w:r>
        <w:rPr>
          <w:rFonts w:hint="eastAsia" w:ascii="仿宋" w:hAnsi="仿宋" w:eastAsia="仿宋" w:cs="仿宋"/>
          <w:kern w:val="0"/>
          <w:sz w:val="24"/>
          <w:lang w:val="en-US" w:eastAsia="zh-CN"/>
        </w:rPr>
        <w:t>怀化市农机事务中心</w:t>
      </w:r>
      <w:r>
        <w:rPr>
          <w:rFonts w:hint="eastAsia" w:eastAsia="仿宋_GB2312"/>
          <w:kern w:val="0"/>
          <w:sz w:val="24"/>
          <w:lang w:val="en-US" w:eastAsia="zh-CN"/>
        </w:rPr>
        <w:t xml:space="preserve">                                        </w:t>
      </w:r>
    </w:p>
    <w:tbl>
      <w:tblPr>
        <w:tblStyle w:val="5"/>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noWrap w:val="0"/>
            <w:vAlign w:val="center"/>
          </w:tcPr>
          <w:p>
            <w:pPr>
              <w:widowControl/>
              <w:shd w:val="clear"/>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财政供养人员情况</w:t>
            </w:r>
          </w:p>
        </w:tc>
        <w:tc>
          <w:tcPr>
            <w:tcW w:w="2038" w:type="dxa"/>
            <w:gridSpan w:val="2"/>
            <w:noWrap w:val="0"/>
            <w:vAlign w:val="center"/>
          </w:tcPr>
          <w:p>
            <w:pPr>
              <w:widowControl/>
              <w:shd w:val="clear"/>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编制数</w:t>
            </w:r>
          </w:p>
        </w:tc>
        <w:tc>
          <w:tcPr>
            <w:tcW w:w="2240" w:type="dxa"/>
            <w:gridSpan w:val="2"/>
            <w:noWrap w:val="0"/>
            <w:vAlign w:val="center"/>
          </w:tcPr>
          <w:p>
            <w:pPr>
              <w:widowControl/>
              <w:shd w:val="clear"/>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年实际在职人数</w:t>
            </w:r>
          </w:p>
        </w:tc>
        <w:tc>
          <w:tcPr>
            <w:tcW w:w="1832" w:type="dxa"/>
            <w:gridSpan w:val="2"/>
            <w:noWrap w:val="0"/>
            <w:vAlign w:val="center"/>
          </w:tcPr>
          <w:p>
            <w:pPr>
              <w:widowControl/>
              <w:shd w:val="clear"/>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控制率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noWrap w:val="0"/>
            <w:vAlign w:val="center"/>
          </w:tcPr>
          <w:p>
            <w:pPr>
              <w:widowControl/>
              <w:shd w:val="clear"/>
              <w:jc w:val="left"/>
              <w:rPr>
                <w:rFonts w:hint="eastAsia" w:ascii="仿宋" w:hAnsi="仿宋" w:eastAsia="仿宋" w:cs="仿宋"/>
                <w:b w:val="0"/>
                <w:bCs w:val="0"/>
                <w:kern w:val="0"/>
                <w:sz w:val="20"/>
                <w:szCs w:val="20"/>
              </w:rPr>
            </w:pPr>
          </w:p>
        </w:tc>
        <w:tc>
          <w:tcPr>
            <w:tcW w:w="2038" w:type="dxa"/>
            <w:gridSpan w:val="2"/>
            <w:noWrap w:val="0"/>
            <w:vAlign w:val="center"/>
          </w:tcPr>
          <w:p>
            <w:pPr>
              <w:widowControl/>
              <w:shd w:val="clear"/>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17</w:t>
            </w:r>
            <w:r>
              <w:rPr>
                <w:rFonts w:hint="eastAsia" w:ascii="仿宋" w:hAnsi="仿宋" w:eastAsia="仿宋" w:cs="仿宋"/>
                <w:b w:val="0"/>
                <w:bCs w:val="0"/>
                <w:kern w:val="0"/>
                <w:sz w:val="20"/>
                <w:szCs w:val="20"/>
              </w:rPr>
              <w:t>　</w:t>
            </w:r>
          </w:p>
        </w:tc>
        <w:tc>
          <w:tcPr>
            <w:tcW w:w="2240" w:type="dxa"/>
            <w:gridSpan w:val="2"/>
            <w:noWrap w:val="0"/>
            <w:vAlign w:val="center"/>
          </w:tcPr>
          <w:p>
            <w:pPr>
              <w:widowControl/>
              <w:shd w:val="clear"/>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16</w:t>
            </w:r>
          </w:p>
        </w:tc>
        <w:tc>
          <w:tcPr>
            <w:tcW w:w="1832" w:type="dxa"/>
            <w:gridSpan w:val="2"/>
            <w:noWrap w:val="0"/>
            <w:vAlign w:val="center"/>
          </w:tcPr>
          <w:p>
            <w:pPr>
              <w:widowControl/>
              <w:shd w:val="clear"/>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94.12%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shd w:val="clear"/>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经费控制情况</w:t>
            </w:r>
          </w:p>
        </w:tc>
        <w:tc>
          <w:tcPr>
            <w:tcW w:w="2038" w:type="dxa"/>
            <w:gridSpan w:val="2"/>
            <w:noWrap w:val="0"/>
            <w:vAlign w:val="center"/>
          </w:tcPr>
          <w:p>
            <w:pPr>
              <w:widowControl/>
              <w:shd w:val="clear"/>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22</w:t>
            </w:r>
            <w:r>
              <w:rPr>
                <w:rFonts w:hint="eastAsia" w:ascii="仿宋" w:hAnsi="仿宋" w:eastAsia="仿宋" w:cs="仿宋"/>
                <w:b w:val="0"/>
                <w:bCs w:val="0"/>
                <w:kern w:val="0"/>
                <w:sz w:val="20"/>
                <w:szCs w:val="20"/>
              </w:rPr>
              <w:t>年决算数</w:t>
            </w:r>
          </w:p>
        </w:tc>
        <w:tc>
          <w:tcPr>
            <w:tcW w:w="2240" w:type="dxa"/>
            <w:gridSpan w:val="2"/>
            <w:noWrap w:val="0"/>
            <w:vAlign w:val="center"/>
          </w:tcPr>
          <w:p>
            <w:pPr>
              <w:widowControl/>
              <w:shd w:val="clear"/>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年预算数</w:t>
            </w:r>
          </w:p>
        </w:tc>
        <w:tc>
          <w:tcPr>
            <w:tcW w:w="1832" w:type="dxa"/>
            <w:gridSpan w:val="2"/>
            <w:noWrap w:val="0"/>
            <w:vAlign w:val="center"/>
          </w:tcPr>
          <w:p>
            <w:pPr>
              <w:widowControl/>
              <w:shd w:val="clear"/>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年决算数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3354" w:type="dxa"/>
            <w:noWrap w:val="0"/>
            <w:vAlign w:val="center"/>
          </w:tcPr>
          <w:p>
            <w:pPr>
              <w:widowControl/>
              <w:shd w:val="clear"/>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三公经费</w:t>
            </w:r>
          </w:p>
        </w:tc>
        <w:tc>
          <w:tcPr>
            <w:tcW w:w="2038" w:type="dxa"/>
            <w:gridSpan w:val="2"/>
            <w:noWrap w:val="0"/>
            <w:vAlign w:val="center"/>
          </w:tcPr>
          <w:p>
            <w:pPr>
              <w:pStyle w:val="3"/>
              <w:shd w:val="clear"/>
              <w:bidi w:val="0"/>
              <w:rPr>
                <w:rFonts w:hint="default" w:eastAsia="楷体_GB2312"/>
                <w:sz w:val="21"/>
                <w:szCs w:val="21"/>
                <w:lang w:val="en-US" w:eastAsia="zh-CN"/>
              </w:rPr>
            </w:pPr>
            <w:r>
              <w:rPr>
                <w:rFonts w:hint="eastAsia"/>
                <w:sz w:val="21"/>
                <w:szCs w:val="21"/>
              </w:rPr>
              <w:t>　</w:t>
            </w:r>
            <w:r>
              <w:rPr>
                <w:rFonts w:hint="eastAsia"/>
                <w:sz w:val="21"/>
                <w:szCs w:val="21"/>
                <w:lang w:val="en-US" w:eastAsia="zh-CN"/>
              </w:rPr>
              <w:t>4.06</w:t>
            </w:r>
          </w:p>
        </w:tc>
        <w:tc>
          <w:tcPr>
            <w:tcW w:w="2240" w:type="dxa"/>
            <w:gridSpan w:val="2"/>
            <w:noWrap w:val="0"/>
            <w:vAlign w:val="center"/>
          </w:tcPr>
          <w:p>
            <w:pPr>
              <w:widowControl/>
              <w:shd w:val="clear"/>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5.1</w:t>
            </w:r>
            <w:r>
              <w:rPr>
                <w:rFonts w:hint="eastAsia" w:ascii="仿宋" w:hAnsi="仿宋" w:eastAsia="仿宋" w:cs="仿宋"/>
                <w:b w:val="0"/>
                <w:bCs w:val="0"/>
                <w:kern w:val="0"/>
                <w:sz w:val="20"/>
                <w:szCs w:val="20"/>
              </w:rPr>
              <w:t>　</w:t>
            </w:r>
          </w:p>
        </w:tc>
        <w:tc>
          <w:tcPr>
            <w:tcW w:w="1832" w:type="dxa"/>
            <w:gridSpan w:val="2"/>
            <w:noWrap w:val="0"/>
            <w:vAlign w:val="center"/>
          </w:tcPr>
          <w:p>
            <w:pPr>
              <w:widowControl/>
              <w:shd w:val="clear"/>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4.98</w:t>
            </w: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shd w:val="clear"/>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1、公务用车购置和维护经费</w:t>
            </w:r>
          </w:p>
        </w:tc>
        <w:tc>
          <w:tcPr>
            <w:tcW w:w="2038" w:type="dxa"/>
            <w:gridSpan w:val="2"/>
            <w:noWrap w:val="0"/>
            <w:vAlign w:val="center"/>
          </w:tcPr>
          <w:p>
            <w:pPr>
              <w:widowControl/>
              <w:shd w:val="clear"/>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2.93</w:t>
            </w:r>
            <w:r>
              <w:rPr>
                <w:rFonts w:hint="eastAsia" w:ascii="仿宋" w:hAnsi="仿宋" w:eastAsia="仿宋" w:cs="仿宋"/>
                <w:b w:val="0"/>
                <w:bCs w:val="0"/>
                <w:kern w:val="0"/>
                <w:sz w:val="20"/>
                <w:szCs w:val="20"/>
              </w:rPr>
              <w:t>　</w:t>
            </w:r>
          </w:p>
        </w:tc>
        <w:tc>
          <w:tcPr>
            <w:tcW w:w="2240" w:type="dxa"/>
            <w:gridSpan w:val="2"/>
            <w:noWrap w:val="0"/>
            <w:vAlign w:val="center"/>
          </w:tcPr>
          <w:p>
            <w:pPr>
              <w:widowControl/>
              <w:shd w:val="clear"/>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pPr>
              <w:widowControl/>
              <w:shd w:val="clear"/>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3.7</w:t>
            </w: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shd w:val="clear"/>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其中：公车购置</w:t>
            </w:r>
          </w:p>
        </w:tc>
        <w:tc>
          <w:tcPr>
            <w:tcW w:w="2038" w:type="dxa"/>
            <w:gridSpan w:val="2"/>
            <w:noWrap w:val="0"/>
            <w:vAlign w:val="center"/>
          </w:tcPr>
          <w:p>
            <w:pPr>
              <w:widowControl/>
              <w:shd w:val="clear"/>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pPr>
              <w:widowControl/>
              <w:shd w:val="clear"/>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pPr>
              <w:widowControl/>
              <w:shd w:val="clear"/>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shd w:val="clear"/>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公车运行维护</w:t>
            </w:r>
          </w:p>
        </w:tc>
        <w:tc>
          <w:tcPr>
            <w:tcW w:w="2038" w:type="dxa"/>
            <w:gridSpan w:val="2"/>
            <w:noWrap w:val="0"/>
            <w:vAlign w:val="center"/>
          </w:tcPr>
          <w:p>
            <w:pPr>
              <w:widowControl/>
              <w:shd w:val="clear"/>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2.93</w:t>
            </w:r>
          </w:p>
        </w:tc>
        <w:tc>
          <w:tcPr>
            <w:tcW w:w="2240" w:type="dxa"/>
            <w:gridSpan w:val="2"/>
            <w:noWrap w:val="0"/>
            <w:vAlign w:val="center"/>
          </w:tcPr>
          <w:p>
            <w:pPr>
              <w:widowControl/>
              <w:shd w:val="clear"/>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3.7</w:t>
            </w:r>
            <w:r>
              <w:rPr>
                <w:rFonts w:hint="eastAsia" w:ascii="仿宋" w:hAnsi="仿宋" w:eastAsia="仿宋" w:cs="仿宋"/>
                <w:b w:val="0"/>
                <w:bCs w:val="0"/>
                <w:kern w:val="0"/>
                <w:sz w:val="20"/>
                <w:szCs w:val="20"/>
              </w:rPr>
              <w:t>　</w:t>
            </w:r>
          </w:p>
        </w:tc>
        <w:tc>
          <w:tcPr>
            <w:tcW w:w="1832" w:type="dxa"/>
            <w:gridSpan w:val="2"/>
            <w:noWrap w:val="0"/>
            <w:vAlign w:val="center"/>
          </w:tcPr>
          <w:p>
            <w:pPr>
              <w:widowControl/>
              <w:shd w:val="clear"/>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3.7</w:t>
            </w: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shd w:val="clear"/>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2、出国经费</w:t>
            </w:r>
          </w:p>
        </w:tc>
        <w:tc>
          <w:tcPr>
            <w:tcW w:w="2038" w:type="dxa"/>
            <w:gridSpan w:val="2"/>
            <w:noWrap w:val="0"/>
            <w:vAlign w:val="center"/>
          </w:tcPr>
          <w:p>
            <w:pPr>
              <w:widowControl/>
              <w:shd w:val="clear"/>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pPr>
              <w:widowControl/>
              <w:shd w:val="clear"/>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pPr>
              <w:widowControl/>
              <w:shd w:val="clear"/>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shd w:val="clear"/>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3、公务接待</w:t>
            </w:r>
          </w:p>
        </w:tc>
        <w:tc>
          <w:tcPr>
            <w:tcW w:w="2038" w:type="dxa"/>
            <w:gridSpan w:val="2"/>
            <w:noWrap w:val="0"/>
            <w:vAlign w:val="center"/>
          </w:tcPr>
          <w:p>
            <w:pPr>
              <w:widowControl/>
              <w:shd w:val="clear"/>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1.13</w:t>
            </w:r>
            <w:r>
              <w:rPr>
                <w:rFonts w:hint="eastAsia" w:ascii="仿宋" w:hAnsi="仿宋" w:eastAsia="仿宋" w:cs="仿宋"/>
                <w:b w:val="0"/>
                <w:bCs w:val="0"/>
                <w:kern w:val="0"/>
                <w:sz w:val="20"/>
                <w:szCs w:val="20"/>
              </w:rPr>
              <w:t>　</w:t>
            </w:r>
          </w:p>
        </w:tc>
        <w:tc>
          <w:tcPr>
            <w:tcW w:w="2240" w:type="dxa"/>
            <w:gridSpan w:val="2"/>
            <w:noWrap w:val="0"/>
            <w:vAlign w:val="center"/>
          </w:tcPr>
          <w:p>
            <w:pPr>
              <w:widowControl/>
              <w:shd w:val="clear"/>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1.4</w:t>
            </w:r>
            <w:r>
              <w:rPr>
                <w:rFonts w:hint="eastAsia" w:ascii="仿宋" w:hAnsi="仿宋" w:eastAsia="仿宋" w:cs="仿宋"/>
                <w:b w:val="0"/>
                <w:bCs w:val="0"/>
                <w:kern w:val="0"/>
                <w:sz w:val="20"/>
                <w:szCs w:val="20"/>
              </w:rPr>
              <w:t>　</w:t>
            </w:r>
          </w:p>
        </w:tc>
        <w:tc>
          <w:tcPr>
            <w:tcW w:w="1832" w:type="dxa"/>
            <w:gridSpan w:val="2"/>
            <w:noWrap w:val="0"/>
            <w:vAlign w:val="center"/>
          </w:tcPr>
          <w:p>
            <w:pPr>
              <w:widowControl/>
              <w:shd w:val="clear"/>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1.28</w:t>
            </w: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shd w:val="clear"/>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项目支出：</w:t>
            </w:r>
          </w:p>
        </w:tc>
        <w:tc>
          <w:tcPr>
            <w:tcW w:w="2038" w:type="dxa"/>
            <w:gridSpan w:val="2"/>
            <w:noWrap w:val="0"/>
            <w:vAlign w:val="center"/>
          </w:tcPr>
          <w:p>
            <w:pPr>
              <w:widowControl/>
              <w:shd w:val="clear"/>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24.47</w:t>
            </w:r>
            <w:r>
              <w:rPr>
                <w:rFonts w:hint="eastAsia" w:ascii="仿宋" w:hAnsi="仿宋" w:eastAsia="仿宋" w:cs="仿宋"/>
                <w:b w:val="0"/>
                <w:bCs w:val="0"/>
                <w:kern w:val="0"/>
                <w:sz w:val="20"/>
                <w:szCs w:val="20"/>
              </w:rPr>
              <w:t>　</w:t>
            </w:r>
          </w:p>
        </w:tc>
        <w:tc>
          <w:tcPr>
            <w:tcW w:w="2240" w:type="dxa"/>
            <w:gridSpan w:val="2"/>
            <w:noWrap w:val="0"/>
            <w:vAlign w:val="center"/>
          </w:tcPr>
          <w:p>
            <w:pPr>
              <w:widowControl/>
              <w:shd w:val="clear"/>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23</w:t>
            </w:r>
          </w:p>
        </w:tc>
        <w:tc>
          <w:tcPr>
            <w:tcW w:w="1832" w:type="dxa"/>
            <w:gridSpan w:val="2"/>
            <w:noWrap w:val="0"/>
            <w:vAlign w:val="center"/>
          </w:tcPr>
          <w:p>
            <w:pPr>
              <w:widowControl/>
              <w:shd w:val="clear"/>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37.77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shd w:val="clear"/>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1、业务工作经费</w:t>
            </w:r>
          </w:p>
        </w:tc>
        <w:tc>
          <w:tcPr>
            <w:tcW w:w="2038" w:type="dxa"/>
            <w:gridSpan w:val="2"/>
            <w:noWrap w:val="0"/>
            <w:vAlign w:val="center"/>
          </w:tcPr>
          <w:p>
            <w:pPr>
              <w:widowControl/>
              <w:shd w:val="clear"/>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24.47</w:t>
            </w:r>
            <w:r>
              <w:rPr>
                <w:rFonts w:hint="eastAsia" w:ascii="仿宋" w:hAnsi="仿宋" w:eastAsia="仿宋" w:cs="仿宋"/>
                <w:b w:val="0"/>
                <w:bCs w:val="0"/>
                <w:kern w:val="0"/>
                <w:sz w:val="20"/>
                <w:szCs w:val="20"/>
              </w:rPr>
              <w:t>　</w:t>
            </w:r>
          </w:p>
        </w:tc>
        <w:tc>
          <w:tcPr>
            <w:tcW w:w="2240" w:type="dxa"/>
            <w:gridSpan w:val="2"/>
            <w:noWrap w:val="0"/>
            <w:vAlign w:val="center"/>
          </w:tcPr>
          <w:p>
            <w:pPr>
              <w:widowControl/>
              <w:shd w:val="clear"/>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23</w:t>
            </w:r>
          </w:p>
        </w:tc>
        <w:tc>
          <w:tcPr>
            <w:tcW w:w="1832" w:type="dxa"/>
            <w:gridSpan w:val="2"/>
            <w:noWrap w:val="0"/>
            <w:vAlign w:val="center"/>
          </w:tcPr>
          <w:p>
            <w:pPr>
              <w:widowControl/>
              <w:shd w:val="clear"/>
              <w:jc w:val="center"/>
              <w:rPr>
                <w:rFonts w:hint="default" w:ascii="仿宋" w:hAnsi="仿宋" w:eastAsia="仿宋" w:cs="仿宋"/>
                <w:b w:val="0"/>
                <w:bCs w:val="0"/>
                <w:kern w:val="0"/>
                <w:sz w:val="20"/>
                <w:szCs w:val="20"/>
                <w:lang w:val="en-US"/>
              </w:rPr>
            </w:pPr>
            <w:r>
              <w:rPr>
                <w:rFonts w:hint="eastAsia" w:ascii="仿宋" w:hAnsi="仿宋" w:eastAsia="仿宋" w:cs="仿宋"/>
                <w:b w:val="0"/>
                <w:bCs w:val="0"/>
                <w:kern w:val="0"/>
                <w:sz w:val="20"/>
                <w:szCs w:val="20"/>
                <w:lang w:val="en-US" w:eastAsia="zh-CN"/>
              </w:rPr>
              <w:t>37.77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shd w:val="clear"/>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2、运行维护经费</w:t>
            </w:r>
          </w:p>
        </w:tc>
        <w:tc>
          <w:tcPr>
            <w:tcW w:w="2038" w:type="dxa"/>
            <w:gridSpan w:val="2"/>
            <w:noWrap w:val="0"/>
            <w:vAlign w:val="center"/>
          </w:tcPr>
          <w:p>
            <w:pPr>
              <w:widowControl/>
              <w:shd w:val="clear"/>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pPr>
              <w:widowControl/>
              <w:shd w:val="clear"/>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pPr>
              <w:widowControl/>
              <w:shd w:val="clear"/>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3354" w:type="dxa"/>
            <w:noWrap w:val="0"/>
            <w:vAlign w:val="center"/>
          </w:tcPr>
          <w:p>
            <w:pPr>
              <w:widowControl/>
              <w:shd w:val="clear"/>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w:t>
            </w:r>
            <w:r>
              <w:rPr>
                <w:rFonts w:hint="eastAsia" w:ascii="仿宋" w:hAnsi="仿宋" w:eastAsia="仿宋" w:cs="仿宋"/>
                <w:b w:val="0"/>
                <w:bCs w:val="0"/>
                <w:kern w:val="0"/>
                <w:sz w:val="20"/>
                <w:szCs w:val="20"/>
                <w:lang w:val="en-US" w:eastAsia="zh-CN"/>
              </w:rPr>
              <w:t>市级</w:t>
            </w:r>
            <w:r>
              <w:rPr>
                <w:rFonts w:hint="eastAsia" w:ascii="仿宋" w:hAnsi="仿宋" w:eastAsia="仿宋" w:cs="仿宋"/>
                <w:b w:val="0"/>
                <w:bCs w:val="0"/>
                <w:kern w:val="0"/>
                <w:sz w:val="20"/>
                <w:szCs w:val="20"/>
              </w:rPr>
              <w:t>专项资金</w:t>
            </w:r>
          </w:p>
          <w:p>
            <w:pPr>
              <w:widowControl/>
              <w:shd w:val="clear"/>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（一个专项一行）</w:t>
            </w:r>
          </w:p>
        </w:tc>
        <w:tc>
          <w:tcPr>
            <w:tcW w:w="2038" w:type="dxa"/>
            <w:gridSpan w:val="2"/>
            <w:noWrap w:val="0"/>
            <w:vAlign w:val="center"/>
          </w:tcPr>
          <w:p>
            <w:pPr>
              <w:widowControl/>
              <w:shd w:val="clear"/>
              <w:jc w:val="center"/>
              <w:rPr>
                <w:rFonts w:hint="eastAsia" w:ascii="仿宋" w:hAnsi="仿宋" w:eastAsia="仿宋" w:cs="仿宋"/>
                <w:b w:val="0"/>
                <w:bCs w:val="0"/>
                <w:kern w:val="0"/>
                <w:sz w:val="20"/>
                <w:szCs w:val="20"/>
              </w:rPr>
            </w:pPr>
          </w:p>
        </w:tc>
        <w:tc>
          <w:tcPr>
            <w:tcW w:w="2240" w:type="dxa"/>
            <w:gridSpan w:val="2"/>
            <w:noWrap w:val="0"/>
            <w:vAlign w:val="center"/>
          </w:tcPr>
          <w:p>
            <w:pPr>
              <w:widowControl/>
              <w:shd w:val="clear"/>
              <w:jc w:val="center"/>
              <w:rPr>
                <w:rFonts w:hint="eastAsia" w:ascii="仿宋" w:hAnsi="仿宋" w:eastAsia="仿宋" w:cs="仿宋"/>
                <w:b w:val="0"/>
                <w:bCs w:val="0"/>
                <w:kern w:val="0"/>
                <w:sz w:val="20"/>
                <w:szCs w:val="20"/>
              </w:rPr>
            </w:pPr>
          </w:p>
        </w:tc>
        <w:tc>
          <w:tcPr>
            <w:tcW w:w="1832" w:type="dxa"/>
            <w:gridSpan w:val="2"/>
            <w:noWrap w:val="0"/>
            <w:vAlign w:val="center"/>
          </w:tcPr>
          <w:p>
            <w:pPr>
              <w:widowControl/>
              <w:shd w:val="clear"/>
              <w:jc w:val="center"/>
              <w:rPr>
                <w:rFonts w:hint="eastAsia" w:ascii="仿宋" w:hAnsi="仿宋" w:eastAsia="仿宋" w:cs="仿宋"/>
                <w:b w:val="0"/>
                <w:bCs w:val="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shd w:val="clear"/>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4、其他事业类发展资金</w:t>
            </w:r>
          </w:p>
        </w:tc>
        <w:tc>
          <w:tcPr>
            <w:tcW w:w="2038" w:type="dxa"/>
            <w:gridSpan w:val="2"/>
            <w:noWrap w:val="0"/>
            <w:vAlign w:val="center"/>
          </w:tcPr>
          <w:p>
            <w:pPr>
              <w:widowControl/>
              <w:shd w:val="clear"/>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pPr>
              <w:widowControl/>
              <w:shd w:val="clear"/>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pPr>
              <w:widowControl/>
              <w:shd w:val="clear"/>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shd w:val="clear"/>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公用经费</w:t>
            </w:r>
          </w:p>
        </w:tc>
        <w:tc>
          <w:tcPr>
            <w:tcW w:w="2038" w:type="dxa"/>
            <w:gridSpan w:val="2"/>
            <w:noWrap w:val="0"/>
            <w:vAlign w:val="center"/>
          </w:tcPr>
          <w:p>
            <w:pPr>
              <w:widowControl/>
              <w:shd w:val="clear"/>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30.04</w:t>
            </w:r>
            <w:r>
              <w:rPr>
                <w:rFonts w:hint="eastAsia" w:ascii="仿宋" w:hAnsi="仿宋" w:eastAsia="仿宋" w:cs="仿宋"/>
                <w:b w:val="0"/>
                <w:bCs w:val="0"/>
                <w:kern w:val="0"/>
                <w:sz w:val="20"/>
                <w:szCs w:val="20"/>
              </w:rPr>
              <w:t>　</w:t>
            </w:r>
          </w:p>
        </w:tc>
        <w:tc>
          <w:tcPr>
            <w:tcW w:w="2240" w:type="dxa"/>
            <w:gridSpan w:val="2"/>
            <w:noWrap w:val="0"/>
            <w:vAlign w:val="center"/>
          </w:tcPr>
          <w:p>
            <w:pPr>
              <w:widowControl/>
              <w:shd w:val="clear"/>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32.5</w:t>
            </w:r>
          </w:p>
        </w:tc>
        <w:tc>
          <w:tcPr>
            <w:tcW w:w="1832" w:type="dxa"/>
            <w:gridSpan w:val="2"/>
            <w:noWrap w:val="0"/>
            <w:vAlign w:val="center"/>
          </w:tcPr>
          <w:p>
            <w:pPr>
              <w:widowControl/>
              <w:shd w:val="clear"/>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26.99</w:t>
            </w: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shd w:val="clear"/>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其中：办公费</w:t>
            </w:r>
          </w:p>
        </w:tc>
        <w:tc>
          <w:tcPr>
            <w:tcW w:w="2038" w:type="dxa"/>
            <w:gridSpan w:val="2"/>
            <w:noWrap w:val="0"/>
            <w:vAlign w:val="center"/>
          </w:tcPr>
          <w:p>
            <w:pPr>
              <w:widowControl/>
              <w:shd w:val="clear"/>
              <w:jc w:val="center"/>
              <w:rPr>
                <w:rFonts w:hint="default" w:ascii="仿宋" w:hAnsi="仿宋" w:eastAsia="仿宋" w:cs="仿宋"/>
                <w:b w:val="0"/>
                <w:bCs w:val="0"/>
                <w:color w:val="FF0000"/>
                <w:kern w:val="0"/>
                <w:sz w:val="20"/>
                <w:szCs w:val="20"/>
                <w:lang w:val="en-US" w:eastAsia="zh-CN"/>
              </w:rPr>
            </w:pPr>
            <w:r>
              <w:rPr>
                <w:rFonts w:hint="eastAsia" w:ascii="仿宋" w:hAnsi="仿宋" w:eastAsia="仿宋" w:cs="仿宋"/>
                <w:b w:val="0"/>
                <w:bCs w:val="0"/>
                <w:color w:val="FF0000"/>
                <w:kern w:val="0"/>
                <w:sz w:val="20"/>
                <w:szCs w:val="20"/>
              </w:rPr>
              <w:t>　</w:t>
            </w:r>
            <w:r>
              <w:rPr>
                <w:rFonts w:hint="eastAsia" w:ascii="仿宋" w:hAnsi="仿宋" w:eastAsia="仿宋" w:cs="仿宋"/>
                <w:b w:val="0"/>
                <w:bCs w:val="0"/>
                <w:color w:val="FF0000"/>
                <w:kern w:val="0"/>
                <w:sz w:val="20"/>
                <w:szCs w:val="20"/>
                <w:lang w:val="en-US" w:eastAsia="zh-CN"/>
              </w:rPr>
              <w:t>2.64</w:t>
            </w:r>
          </w:p>
        </w:tc>
        <w:tc>
          <w:tcPr>
            <w:tcW w:w="2240" w:type="dxa"/>
            <w:gridSpan w:val="2"/>
            <w:noWrap w:val="0"/>
            <w:vAlign w:val="center"/>
          </w:tcPr>
          <w:p>
            <w:pPr>
              <w:widowControl/>
              <w:shd w:val="clear"/>
              <w:jc w:val="center"/>
              <w:rPr>
                <w:rFonts w:hint="eastAsia" w:ascii="仿宋" w:hAnsi="仿宋" w:eastAsia="仿宋" w:cs="仿宋"/>
                <w:b w:val="0"/>
                <w:bCs w:val="0"/>
                <w:color w:val="FF0000"/>
                <w:kern w:val="0"/>
                <w:sz w:val="20"/>
                <w:szCs w:val="20"/>
                <w:lang w:val="en-US" w:eastAsia="zh-CN"/>
              </w:rPr>
            </w:pPr>
            <w:r>
              <w:rPr>
                <w:rFonts w:hint="eastAsia" w:ascii="仿宋" w:hAnsi="仿宋" w:eastAsia="仿宋" w:cs="仿宋"/>
                <w:b w:val="0"/>
                <w:bCs w:val="0"/>
                <w:color w:val="FF0000"/>
                <w:kern w:val="0"/>
                <w:sz w:val="20"/>
                <w:szCs w:val="20"/>
              </w:rPr>
              <w:t>　</w:t>
            </w:r>
            <w:r>
              <w:rPr>
                <w:rFonts w:hint="eastAsia" w:ascii="仿宋" w:hAnsi="仿宋" w:eastAsia="仿宋" w:cs="仿宋"/>
                <w:b w:val="0"/>
                <w:bCs w:val="0"/>
                <w:color w:val="FF0000"/>
                <w:kern w:val="0"/>
                <w:sz w:val="20"/>
                <w:szCs w:val="20"/>
                <w:lang w:val="en-US" w:eastAsia="zh-CN"/>
              </w:rPr>
              <w:t>0</w:t>
            </w:r>
          </w:p>
        </w:tc>
        <w:tc>
          <w:tcPr>
            <w:tcW w:w="1832" w:type="dxa"/>
            <w:gridSpan w:val="2"/>
            <w:noWrap w:val="0"/>
            <w:vAlign w:val="center"/>
          </w:tcPr>
          <w:p>
            <w:pPr>
              <w:widowControl/>
              <w:shd w:val="clear"/>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lang w:val="en-US" w:eastAsia="zh-CN"/>
              </w:rPr>
              <w:t>0.21</w:t>
            </w:r>
            <w:r>
              <w:rPr>
                <w:rFonts w:hint="eastAsia" w:ascii="仿宋" w:hAnsi="仿宋" w:eastAsia="仿宋" w:cs="仿宋"/>
                <w:b w:val="0"/>
                <w:bCs w:val="0"/>
                <w:color w:val="FF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shd w:val="clear"/>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水费、电费、差旅费</w:t>
            </w:r>
          </w:p>
        </w:tc>
        <w:tc>
          <w:tcPr>
            <w:tcW w:w="2038" w:type="dxa"/>
            <w:gridSpan w:val="2"/>
            <w:noWrap w:val="0"/>
            <w:vAlign w:val="center"/>
          </w:tcPr>
          <w:p>
            <w:pPr>
              <w:widowControl/>
              <w:shd w:val="clear"/>
              <w:jc w:val="center"/>
              <w:rPr>
                <w:rFonts w:hint="default" w:ascii="仿宋" w:hAnsi="仿宋" w:eastAsia="仿宋" w:cs="仿宋"/>
                <w:b w:val="0"/>
                <w:bCs w:val="0"/>
                <w:color w:val="FF0000"/>
                <w:kern w:val="0"/>
                <w:sz w:val="20"/>
                <w:szCs w:val="20"/>
                <w:lang w:val="en-US" w:eastAsia="zh-CN"/>
              </w:rPr>
            </w:pPr>
            <w:r>
              <w:rPr>
                <w:rFonts w:hint="eastAsia" w:ascii="仿宋" w:hAnsi="仿宋" w:eastAsia="仿宋" w:cs="仿宋"/>
                <w:b w:val="0"/>
                <w:bCs w:val="0"/>
                <w:color w:val="FF0000"/>
                <w:kern w:val="0"/>
                <w:sz w:val="20"/>
                <w:szCs w:val="20"/>
              </w:rPr>
              <w:t>　</w:t>
            </w:r>
            <w:r>
              <w:rPr>
                <w:rFonts w:hint="eastAsia" w:ascii="仿宋" w:hAnsi="仿宋" w:eastAsia="仿宋" w:cs="仿宋"/>
                <w:b w:val="0"/>
                <w:bCs w:val="0"/>
                <w:color w:val="FF0000"/>
                <w:kern w:val="0"/>
                <w:sz w:val="20"/>
                <w:szCs w:val="20"/>
                <w:lang w:val="en-US" w:eastAsia="zh-CN"/>
              </w:rPr>
              <w:t>0.63</w:t>
            </w:r>
          </w:p>
        </w:tc>
        <w:tc>
          <w:tcPr>
            <w:tcW w:w="2240" w:type="dxa"/>
            <w:gridSpan w:val="2"/>
            <w:noWrap w:val="0"/>
            <w:vAlign w:val="center"/>
          </w:tcPr>
          <w:p>
            <w:pPr>
              <w:widowControl/>
              <w:shd w:val="clear"/>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lang w:val="en-US" w:eastAsia="zh-CN"/>
              </w:rPr>
              <w:t>2.4</w:t>
            </w:r>
            <w:r>
              <w:rPr>
                <w:rFonts w:hint="eastAsia" w:ascii="仿宋" w:hAnsi="仿宋" w:eastAsia="仿宋" w:cs="仿宋"/>
                <w:b w:val="0"/>
                <w:bCs w:val="0"/>
                <w:color w:val="FF0000"/>
                <w:kern w:val="0"/>
                <w:sz w:val="20"/>
                <w:szCs w:val="20"/>
              </w:rPr>
              <w:t>　</w:t>
            </w:r>
          </w:p>
        </w:tc>
        <w:tc>
          <w:tcPr>
            <w:tcW w:w="1832" w:type="dxa"/>
            <w:gridSpan w:val="2"/>
            <w:noWrap w:val="0"/>
            <w:vAlign w:val="center"/>
          </w:tcPr>
          <w:p>
            <w:pPr>
              <w:widowControl/>
              <w:shd w:val="clear"/>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lang w:val="en-US" w:eastAsia="zh-CN"/>
              </w:rPr>
              <w:t>0.41</w:t>
            </w:r>
            <w:r>
              <w:rPr>
                <w:rFonts w:hint="eastAsia" w:ascii="仿宋" w:hAnsi="仿宋" w:eastAsia="仿宋" w:cs="仿宋"/>
                <w:b w:val="0"/>
                <w:bCs w:val="0"/>
                <w:color w:val="FF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noWrap w:val="0"/>
            <w:vAlign w:val="center"/>
          </w:tcPr>
          <w:p>
            <w:pPr>
              <w:widowControl/>
              <w:shd w:val="clear"/>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会议费、培训费</w:t>
            </w:r>
          </w:p>
        </w:tc>
        <w:tc>
          <w:tcPr>
            <w:tcW w:w="2038" w:type="dxa"/>
            <w:gridSpan w:val="2"/>
            <w:noWrap w:val="0"/>
            <w:vAlign w:val="center"/>
          </w:tcPr>
          <w:p>
            <w:pPr>
              <w:widowControl/>
              <w:shd w:val="clear"/>
              <w:jc w:val="center"/>
              <w:rPr>
                <w:rFonts w:hint="eastAsia" w:ascii="仿宋" w:hAnsi="仿宋" w:eastAsia="仿宋" w:cs="仿宋"/>
                <w:b w:val="0"/>
                <w:bCs w:val="0"/>
                <w:color w:val="FF0000"/>
                <w:kern w:val="0"/>
                <w:sz w:val="20"/>
                <w:szCs w:val="20"/>
                <w:lang w:val="en-US" w:eastAsia="zh-CN"/>
              </w:rPr>
            </w:pPr>
            <w:r>
              <w:rPr>
                <w:rFonts w:hint="eastAsia" w:ascii="仿宋" w:hAnsi="仿宋" w:eastAsia="仿宋" w:cs="仿宋"/>
                <w:b w:val="0"/>
                <w:bCs w:val="0"/>
                <w:color w:val="FF0000"/>
                <w:kern w:val="0"/>
                <w:sz w:val="20"/>
                <w:szCs w:val="20"/>
              </w:rPr>
              <w:t>　</w:t>
            </w:r>
            <w:r>
              <w:rPr>
                <w:rFonts w:hint="eastAsia" w:ascii="仿宋" w:hAnsi="仿宋" w:eastAsia="仿宋" w:cs="仿宋"/>
                <w:b w:val="0"/>
                <w:bCs w:val="0"/>
                <w:color w:val="FF0000"/>
                <w:kern w:val="0"/>
                <w:sz w:val="20"/>
                <w:szCs w:val="20"/>
                <w:lang w:val="en-US" w:eastAsia="zh-CN"/>
              </w:rPr>
              <w:t>0</w:t>
            </w:r>
          </w:p>
        </w:tc>
        <w:tc>
          <w:tcPr>
            <w:tcW w:w="2240" w:type="dxa"/>
            <w:gridSpan w:val="2"/>
            <w:noWrap w:val="0"/>
            <w:vAlign w:val="center"/>
          </w:tcPr>
          <w:p>
            <w:pPr>
              <w:widowControl/>
              <w:shd w:val="clear"/>
              <w:jc w:val="center"/>
              <w:rPr>
                <w:rFonts w:hint="eastAsia" w:ascii="仿宋" w:hAnsi="仿宋" w:eastAsia="仿宋" w:cs="仿宋"/>
                <w:b w:val="0"/>
                <w:bCs w:val="0"/>
                <w:color w:val="FF0000"/>
                <w:kern w:val="0"/>
                <w:sz w:val="20"/>
                <w:szCs w:val="20"/>
                <w:lang w:val="en-US" w:eastAsia="zh-CN"/>
              </w:rPr>
            </w:pPr>
            <w:r>
              <w:rPr>
                <w:rFonts w:hint="eastAsia" w:ascii="仿宋" w:hAnsi="仿宋" w:eastAsia="仿宋" w:cs="仿宋"/>
                <w:b w:val="0"/>
                <w:bCs w:val="0"/>
                <w:color w:val="FF0000"/>
                <w:kern w:val="0"/>
                <w:sz w:val="20"/>
                <w:szCs w:val="20"/>
              </w:rPr>
              <w:t>　</w:t>
            </w:r>
            <w:r>
              <w:rPr>
                <w:rFonts w:hint="eastAsia" w:ascii="仿宋" w:hAnsi="仿宋" w:eastAsia="仿宋" w:cs="仿宋"/>
                <w:b w:val="0"/>
                <w:bCs w:val="0"/>
                <w:color w:val="FF0000"/>
                <w:kern w:val="0"/>
                <w:sz w:val="20"/>
                <w:szCs w:val="20"/>
                <w:lang w:val="en-US" w:eastAsia="zh-CN"/>
              </w:rPr>
              <w:t>0</w:t>
            </w:r>
          </w:p>
        </w:tc>
        <w:tc>
          <w:tcPr>
            <w:tcW w:w="1832" w:type="dxa"/>
            <w:gridSpan w:val="2"/>
            <w:noWrap w:val="0"/>
            <w:vAlign w:val="center"/>
          </w:tcPr>
          <w:p>
            <w:pPr>
              <w:widowControl/>
              <w:shd w:val="clear"/>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lang w:val="en-US" w:eastAsia="zh-CN"/>
              </w:rPr>
              <w:t>0.04</w:t>
            </w:r>
            <w:r>
              <w:rPr>
                <w:rFonts w:hint="eastAsia" w:ascii="仿宋" w:hAnsi="仿宋" w:eastAsia="仿宋" w:cs="仿宋"/>
                <w:b w:val="0"/>
                <w:bCs w:val="0"/>
                <w:color w:val="FF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shd w:val="clear"/>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政府采购金额</w:t>
            </w:r>
          </w:p>
        </w:tc>
        <w:tc>
          <w:tcPr>
            <w:tcW w:w="2038" w:type="dxa"/>
            <w:gridSpan w:val="2"/>
            <w:noWrap w:val="0"/>
            <w:vAlign w:val="center"/>
          </w:tcPr>
          <w:p>
            <w:pPr>
              <w:widowControl/>
              <w:shd w:val="clear"/>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pPr>
              <w:widowControl/>
              <w:shd w:val="clear"/>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1832" w:type="dxa"/>
            <w:gridSpan w:val="2"/>
            <w:noWrap w:val="0"/>
            <w:vAlign w:val="center"/>
          </w:tcPr>
          <w:p>
            <w:pPr>
              <w:widowControl/>
              <w:shd w:val="clear"/>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8.11</w:t>
            </w: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pPr>
              <w:widowControl/>
              <w:shd w:val="clear"/>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部门基本支出预算调整 </w:t>
            </w:r>
          </w:p>
        </w:tc>
        <w:tc>
          <w:tcPr>
            <w:tcW w:w="2038" w:type="dxa"/>
            <w:gridSpan w:val="2"/>
            <w:noWrap w:val="0"/>
            <w:vAlign w:val="center"/>
          </w:tcPr>
          <w:p>
            <w:pPr>
              <w:widowControl/>
              <w:shd w:val="clear"/>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pPr>
              <w:widowControl/>
              <w:shd w:val="clear"/>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270.87</w:t>
            </w:r>
          </w:p>
        </w:tc>
        <w:tc>
          <w:tcPr>
            <w:tcW w:w="1832" w:type="dxa"/>
            <w:gridSpan w:val="2"/>
            <w:noWrap w:val="0"/>
            <w:vAlign w:val="center"/>
          </w:tcPr>
          <w:p>
            <w:pPr>
              <w:widowControl/>
              <w:shd w:val="clear"/>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282.78</w:t>
            </w:r>
            <w:r>
              <w:rPr>
                <w:rFonts w:hint="eastAsia" w:ascii="仿宋" w:hAnsi="仿宋" w:eastAsia="仿宋" w:cs="仿宋"/>
                <w:b w:val="0"/>
                <w:bCs w:val="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noWrap w:val="0"/>
            <w:vAlign w:val="center"/>
          </w:tcPr>
          <w:p>
            <w:pPr>
              <w:widowControl/>
              <w:shd w:val="clear"/>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楼堂馆所控制情况</w:t>
            </w:r>
            <w:r>
              <w:rPr>
                <w:rFonts w:hint="eastAsia" w:ascii="仿宋" w:hAnsi="仿宋" w:eastAsia="仿宋" w:cs="仿宋"/>
                <w:b w:val="0"/>
                <w:bCs w:val="0"/>
                <w:kern w:val="0"/>
                <w:sz w:val="20"/>
                <w:szCs w:val="20"/>
              </w:rPr>
              <w:br w:type="textWrapping"/>
            </w:r>
          </w:p>
        </w:tc>
        <w:tc>
          <w:tcPr>
            <w:tcW w:w="1189" w:type="dxa"/>
            <w:noWrap w:val="0"/>
            <w:vAlign w:val="center"/>
          </w:tcPr>
          <w:p>
            <w:pPr>
              <w:widowControl/>
              <w:shd w:val="clear"/>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批复规模</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rPr>
              <w:t>（㎡）</w:t>
            </w:r>
          </w:p>
        </w:tc>
        <w:tc>
          <w:tcPr>
            <w:tcW w:w="849" w:type="dxa"/>
            <w:noWrap w:val="0"/>
            <w:vAlign w:val="center"/>
          </w:tcPr>
          <w:p>
            <w:pPr>
              <w:widowControl/>
              <w:shd w:val="clear"/>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实际规模（㎡）</w:t>
            </w:r>
          </w:p>
        </w:tc>
        <w:tc>
          <w:tcPr>
            <w:tcW w:w="1129" w:type="dxa"/>
            <w:noWrap w:val="0"/>
            <w:vAlign w:val="center"/>
          </w:tcPr>
          <w:p>
            <w:pPr>
              <w:widowControl/>
              <w:shd w:val="clear"/>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规模控制率</w:t>
            </w:r>
          </w:p>
        </w:tc>
        <w:tc>
          <w:tcPr>
            <w:tcW w:w="1111" w:type="dxa"/>
            <w:noWrap w:val="0"/>
            <w:vAlign w:val="center"/>
          </w:tcPr>
          <w:p>
            <w:pPr>
              <w:widowControl/>
              <w:shd w:val="clear"/>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预算投资（万元）</w:t>
            </w:r>
          </w:p>
        </w:tc>
        <w:tc>
          <w:tcPr>
            <w:tcW w:w="969" w:type="dxa"/>
            <w:noWrap w:val="0"/>
            <w:vAlign w:val="center"/>
          </w:tcPr>
          <w:p>
            <w:pPr>
              <w:widowControl/>
              <w:shd w:val="clear"/>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实际投资（万元）</w:t>
            </w:r>
          </w:p>
        </w:tc>
        <w:tc>
          <w:tcPr>
            <w:tcW w:w="863" w:type="dxa"/>
            <w:noWrap w:val="0"/>
            <w:vAlign w:val="center"/>
          </w:tcPr>
          <w:p>
            <w:pPr>
              <w:widowControl/>
              <w:shd w:val="clear"/>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投资概算控制率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noWrap w:val="0"/>
            <w:vAlign w:val="center"/>
          </w:tcPr>
          <w:p>
            <w:pPr>
              <w:widowControl/>
              <w:shd w:val="clear"/>
              <w:jc w:val="left"/>
              <w:rPr>
                <w:rFonts w:hint="eastAsia" w:ascii="仿宋" w:hAnsi="仿宋" w:eastAsia="仿宋" w:cs="仿宋"/>
                <w:b w:val="0"/>
                <w:bCs w:val="0"/>
                <w:kern w:val="0"/>
                <w:sz w:val="20"/>
                <w:szCs w:val="20"/>
              </w:rPr>
            </w:pPr>
          </w:p>
        </w:tc>
        <w:tc>
          <w:tcPr>
            <w:tcW w:w="1189" w:type="dxa"/>
            <w:noWrap w:val="0"/>
            <w:vAlign w:val="center"/>
          </w:tcPr>
          <w:p>
            <w:pPr>
              <w:widowControl/>
              <w:shd w:val="clear"/>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849" w:type="dxa"/>
            <w:noWrap w:val="0"/>
            <w:vAlign w:val="center"/>
          </w:tcPr>
          <w:p>
            <w:pPr>
              <w:widowControl/>
              <w:shd w:val="clear"/>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1129" w:type="dxa"/>
            <w:noWrap w:val="0"/>
            <w:vAlign w:val="center"/>
          </w:tcPr>
          <w:p>
            <w:pPr>
              <w:widowControl/>
              <w:shd w:val="clear"/>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1111" w:type="dxa"/>
            <w:noWrap w:val="0"/>
            <w:vAlign w:val="center"/>
          </w:tcPr>
          <w:p>
            <w:pPr>
              <w:widowControl/>
              <w:shd w:val="clear"/>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969" w:type="dxa"/>
            <w:noWrap w:val="0"/>
            <w:vAlign w:val="center"/>
          </w:tcPr>
          <w:p>
            <w:pPr>
              <w:widowControl/>
              <w:shd w:val="clear"/>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863" w:type="dxa"/>
            <w:noWrap w:val="0"/>
            <w:vAlign w:val="center"/>
          </w:tcPr>
          <w:p>
            <w:pPr>
              <w:widowControl/>
              <w:shd w:val="clear"/>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noWrap w:val="0"/>
            <w:vAlign w:val="center"/>
          </w:tcPr>
          <w:p>
            <w:pPr>
              <w:widowControl/>
              <w:shd w:val="clear"/>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厉行节约保障措施</w:t>
            </w:r>
          </w:p>
        </w:tc>
        <w:tc>
          <w:tcPr>
            <w:tcW w:w="6110" w:type="dxa"/>
            <w:gridSpan w:val="6"/>
            <w:noWrap w:val="0"/>
            <w:vAlign w:val="center"/>
          </w:tcPr>
          <w:p>
            <w:pPr>
              <w:widowControl/>
              <w:shd w:val="clear"/>
              <w:jc w:val="center"/>
              <w:rPr>
                <w:rFonts w:hint="eastAsia" w:ascii="仿宋" w:hAnsi="仿宋" w:eastAsia="仿宋" w:cs="仿宋"/>
                <w:b w:val="0"/>
                <w:bCs w:val="0"/>
                <w:kern w:val="0"/>
                <w:sz w:val="20"/>
                <w:szCs w:val="20"/>
              </w:rPr>
            </w:pPr>
            <w:r>
              <w:rPr>
                <w:rFonts w:hint="eastAsia" w:ascii="Times New Roman" w:hAnsi="Times New Roman" w:eastAsia="仿宋_GB2312" w:cs="Times New Roman"/>
                <w:sz w:val="20"/>
                <w:szCs w:val="20"/>
                <w:highlight w:val="none"/>
                <w:lang w:val="en-US" w:eastAsia="zh-CN"/>
              </w:rPr>
              <w:t>厉行节约，预算压减公用经费和专项业务工作经费。</w:t>
            </w:r>
            <w:r>
              <w:rPr>
                <w:rFonts w:hint="eastAsia" w:ascii="仿宋" w:hAnsi="仿宋" w:eastAsia="仿宋" w:cs="仿宋"/>
                <w:b w:val="0"/>
                <w:bCs w:val="0"/>
                <w:kern w:val="0"/>
                <w:sz w:val="20"/>
                <w:szCs w:val="20"/>
              </w:rPr>
              <w:t>　</w:t>
            </w:r>
          </w:p>
        </w:tc>
      </w:tr>
    </w:tbl>
    <w:p>
      <w:pPr>
        <w:pStyle w:val="8"/>
        <w:keepNext/>
        <w:keepLines/>
        <w:pageBreakBefore w:val="0"/>
        <w:widowControl w:val="0"/>
        <w:shd w:val="clear"/>
        <w:kinsoku/>
        <w:wordWrap/>
        <w:overflowPunct/>
        <w:topLinePunct w:val="0"/>
        <w:autoSpaceDE/>
        <w:autoSpaceDN/>
        <w:bidi w:val="0"/>
        <w:adjustRightInd/>
        <w:snapToGrid/>
        <w:spacing w:line="280" w:lineRule="exact"/>
        <w:ind w:left="0" w:leftChars="0" w:firstLine="0" w:firstLineChars="0"/>
        <w:textAlignment w:val="auto"/>
        <w:rPr>
          <w:rFonts w:hint="eastAsia"/>
          <w:lang w:val="en-US" w:eastAsia="zh-CN"/>
        </w:rPr>
      </w:pPr>
      <w:r>
        <w:rPr>
          <w:rFonts w:eastAsia="仿宋_GB2312"/>
          <w:kern w:val="0"/>
          <w:sz w:val="22"/>
        </w:rPr>
        <w:t>说明：“项目支出”需要填报基本支出以外的所有项目支出情况，“公用经费”填报基本支出中的一般商品和服务支出。</w:t>
      </w:r>
    </w:p>
    <w:p>
      <w:pPr>
        <w:widowControl w:val="0"/>
        <w:shd w:val="clear"/>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林沸颖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：2024.06.27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z w:val="22"/>
        </w:rPr>
        <w:t>22</w:t>
      </w:r>
      <w:r>
        <w:rPr>
          <w:rFonts w:hint="eastAsia" w:ascii="Times New Roman" w:hAnsi="Times New Roman" w:eastAsia="仿宋_GB2312" w:cs="Times New Roman"/>
          <w:sz w:val="22"/>
          <w:lang w:val="en-US" w:eastAsia="zh-CN"/>
        </w:rPr>
        <w:t>58592</w:t>
      </w:r>
      <w:r>
        <w:rPr>
          <w:rFonts w:hint="eastAsia" w:ascii="Times New Roman" w:hAnsi="Times New Roman" w:eastAsia="仿宋_GB2312" w:cs="Times New Roman"/>
          <w:snapToGrid/>
          <w:color w:val="000000"/>
          <w:kern w:val="0"/>
          <w:sz w:val="24"/>
          <w:szCs w:val="24"/>
          <w:lang w:val="en-US" w:eastAsia="zh-CN" w:bidi="ar-SA"/>
        </w:rPr>
        <w:t xml:space="preserve">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t>附件1-2</w:t>
      </w:r>
    </w:p>
    <w:p>
      <w:pPr>
        <w:keepNext w:val="0"/>
        <w:keepLines w:val="0"/>
        <w:pageBreakBefore w:val="0"/>
        <w:widowControl/>
        <w:shd w:val="clear"/>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整体支出绩效自评表</w:t>
      </w:r>
    </w:p>
    <w:tbl>
      <w:tblPr>
        <w:tblStyle w:val="5"/>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0"/>
        <w:gridCol w:w="1128"/>
        <w:gridCol w:w="1067"/>
        <w:gridCol w:w="982"/>
        <w:gridCol w:w="89"/>
        <w:gridCol w:w="1216"/>
        <w:gridCol w:w="1216"/>
        <w:gridCol w:w="692"/>
        <w:gridCol w:w="626"/>
        <w:gridCol w:w="1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145"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w:t>
            </w:r>
            <w:r>
              <w:rPr>
                <w:rFonts w:hint="eastAsia" w:ascii="仿宋" w:hAnsi="仿宋" w:eastAsia="仿宋" w:cs="仿宋"/>
                <w:color w:val="000000"/>
                <w:kern w:val="0"/>
                <w:sz w:val="20"/>
                <w:szCs w:val="20"/>
                <w:lang w:val="en-US" w:eastAsia="zh-CN"/>
              </w:rPr>
              <w:t>单位</w:t>
            </w:r>
            <w:r>
              <w:rPr>
                <w:rFonts w:hint="eastAsia" w:ascii="仿宋" w:hAnsi="仿宋" w:eastAsia="仿宋" w:cs="仿宋"/>
                <w:color w:val="000000"/>
                <w:kern w:val="0"/>
                <w:sz w:val="20"/>
                <w:szCs w:val="20"/>
              </w:rPr>
              <w:t>名称</w:t>
            </w:r>
          </w:p>
        </w:tc>
        <w:tc>
          <w:tcPr>
            <w:tcW w:w="8117" w:type="dxa"/>
            <w:gridSpan w:val="9"/>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怀化市农机事务中心</w:t>
            </w: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45" w:type="dxa"/>
            <w:vMerge w:val="restart"/>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算申请</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252"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990"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年初</w:t>
            </w:r>
          </w:p>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预算数</w:t>
            </w:r>
          </w:p>
        </w:tc>
        <w:tc>
          <w:tcPr>
            <w:tcW w:w="127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全年预算数</w:t>
            </w:r>
          </w:p>
        </w:tc>
        <w:tc>
          <w:tcPr>
            <w:tcW w:w="1121"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701"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616"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161"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2252"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color w:val="000000"/>
                <w:kern w:val="0"/>
                <w:sz w:val="20"/>
                <w:szCs w:val="20"/>
              </w:rPr>
              <w:t>年度资金总额</w:t>
            </w:r>
          </w:p>
        </w:tc>
        <w:tc>
          <w:tcPr>
            <w:tcW w:w="990"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293.87</w:t>
            </w:r>
          </w:p>
        </w:tc>
        <w:tc>
          <w:tcPr>
            <w:tcW w:w="127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320.55</w:t>
            </w:r>
          </w:p>
        </w:tc>
        <w:tc>
          <w:tcPr>
            <w:tcW w:w="1121"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320.55</w:t>
            </w:r>
          </w:p>
        </w:tc>
        <w:tc>
          <w:tcPr>
            <w:tcW w:w="701"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10</w:t>
            </w:r>
          </w:p>
        </w:tc>
        <w:tc>
          <w:tcPr>
            <w:tcW w:w="616"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100%</w:t>
            </w:r>
          </w:p>
        </w:tc>
        <w:tc>
          <w:tcPr>
            <w:tcW w:w="1161"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8" w:type="dxa"/>
            <w:gridSpan w:val="5"/>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按收入性质分：</w:t>
            </w:r>
          </w:p>
        </w:tc>
        <w:tc>
          <w:tcPr>
            <w:tcW w:w="3599" w:type="dxa"/>
            <w:gridSpan w:val="4"/>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按支出性质分：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8" w:type="dxa"/>
            <w:gridSpan w:val="5"/>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xml:space="preserve">  其中：  一般公共预算：</w:t>
            </w:r>
            <w:r>
              <w:rPr>
                <w:rFonts w:hint="eastAsia" w:ascii="仿宋" w:hAnsi="仿宋" w:eastAsia="仿宋" w:cs="仿宋"/>
                <w:color w:val="000000"/>
                <w:kern w:val="0"/>
                <w:sz w:val="20"/>
                <w:szCs w:val="20"/>
                <w:lang w:val="en-US" w:eastAsia="zh-CN"/>
              </w:rPr>
              <w:t>300.26</w:t>
            </w:r>
          </w:p>
        </w:tc>
        <w:tc>
          <w:tcPr>
            <w:tcW w:w="3599" w:type="dxa"/>
            <w:gridSpan w:val="4"/>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其中：基本支出：</w:t>
            </w:r>
            <w:r>
              <w:rPr>
                <w:rFonts w:hint="eastAsia" w:ascii="仿宋" w:hAnsi="仿宋" w:eastAsia="仿宋" w:cs="仿宋"/>
                <w:color w:val="000000"/>
                <w:kern w:val="0"/>
                <w:sz w:val="20"/>
                <w:szCs w:val="20"/>
                <w:lang w:val="en-US" w:eastAsia="zh-CN"/>
              </w:rPr>
              <w:t>282.78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1145" w:type="dxa"/>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8" w:type="dxa"/>
            <w:gridSpan w:val="5"/>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ind w:firstLine="800" w:firstLineChars="4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政府性基金拨款：</w:t>
            </w:r>
          </w:p>
        </w:tc>
        <w:tc>
          <w:tcPr>
            <w:tcW w:w="3599" w:type="dxa"/>
            <w:gridSpan w:val="4"/>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ind w:firstLine="600" w:firstLineChars="3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项目支出：</w:t>
            </w:r>
            <w:r>
              <w:rPr>
                <w:rFonts w:hint="eastAsia" w:ascii="仿宋" w:hAnsi="仿宋" w:eastAsia="仿宋" w:cs="仿宋"/>
                <w:color w:val="000000"/>
                <w:kern w:val="0"/>
                <w:sz w:val="20"/>
                <w:szCs w:val="20"/>
                <w:lang w:val="en-US" w:eastAsia="zh-CN"/>
              </w:rPr>
              <w:t>37.77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145" w:type="dxa"/>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8" w:type="dxa"/>
            <w:gridSpan w:val="5"/>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纳入专户管理的非税收入拨款：</w:t>
            </w:r>
          </w:p>
        </w:tc>
        <w:tc>
          <w:tcPr>
            <w:tcW w:w="3599" w:type="dxa"/>
            <w:gridSpan w:val="4"/>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jc w:val="center"/>
        </w:trPr>
        <w:tc>
          <w:tcPr>
            <w:tcW w:w="1145" w:type="dxa"/>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8" w:type="dxa"/>
            <w:gridSpan w:val="5"/>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ind w:firstLine="1400" w:firstLineChars="7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其他资金：</w:t>
            </w:r>
            <w:r>
              <w:rPr>
                <w:rFonts w:hint="eastAsia" w:ascii="仿宋" w:hAnsi="仿宋" w:eastAsia="仿宋" w:cs="仿宋"/>
                <w:color w:val="000000"/>
                <w:kern w:val="0"/>
                <w:sz w:val="20"/>
                <w:szCs w:val="20"/>
                <w:lang w:val="en-US" w:eastAsia="zh-CN"/>
              </w:rPr>
              <w:t>20.29</w:t>
            </w:r>
          </w:p>
        </w:tc>
        <w:tc>
          <w:tcPr>
            <w:tcW w:w="3599" w:type="dxa"/>
            <w:gridSpan w:val="4"/>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145" w:type="dxa"/>
            <w:vMerge w:val="restart"/>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5"/>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599" w:type="dxa"/>
            <w:gridSpan w:val="4"/>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145" w:type="dxa"/>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518" w:type="dxa"/>
            <w:gridSpan w:val="5"/>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搞好补贴资金的统筹协调，按需测算补贴资金缺口，及时向省厅提交补贴资金缺口申请；促进农机打假与监管工作经常化、规范化，保障农机市场秩序：及时处理农机产品质量投诉，切实维护农民的合法权益；加强组织领导，精心组织农机春耕备耕工作。抓好水稻机插机抛工作，加大农机新机具、新技术的推广力度；及时发现农机问题并研究制定改进措施，助推农机安全生产监管水平。　　</w:t>
            </w:r>
          </w:p>
        </w:tc>
        <w:tc>
          <w:tcPr>
            <w:tcW w:w="3599" w:type="dxa"/>
            <w:gridSpan w:val="4"/>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稻油全程机械化生产不断提升</w:t>
            </w:r>
          </w:p>
          <w:p>
            <w:pPr>
              <w:keepNext w:val="0"/>
              <w:keepLines w:val="0"/>
              <w:pageBreakBefore w:val="0"/>
              <w:widowControl/>
              <w:shd w:val="clear"/>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农机购置补贴</w:t>
            </w:r>
            <w:r>
              <w:rPr>
                <w:rFonts w:hint="eastAsia" w:ascii="仿宋" w:hAnsi="仿宋" w:eastAsia="仿宋" w:cs="仿宋"/>
                <w:color w:val="000000"/>
                <w:kern w:val="0"/>
                <w:sz w:val="20"/>
                <w:szCs w:val="20"/>
                <w:lang w:val="en-US" w:eastAsia="zh-CN"/>
              </w:rPr>
              <w:t>与应用补贴</w:t>
            </w:r>
            <w:r>
              <w:rPr>
                <w:rFonts w:hint="default" w:ascii="仿宋" w:hAnsi="仿宋" w:eastAsia="仿宋" w:cs="仿宋"/>
                <w:color w:val="000000"/>
                <w:kern w:val="0"/>
                <w:sz w:val="20"/>
                <w:szCs w:val="20"/>
                <w:lang w:val="en-US" w:eastAsia="zh-CN"/>
              </w:rPr>
              <w:t>政策</w:t>
            </w:r>
            <w:r>
              <w:rPr>
                <w:rFonts w:hint="eastAsia" w:ascii="仿宋" w:hAnsi="仿宋" w:eastAsia="仿宋" w:cs="仿宋"/>
                <w:color w:val="000000"/>
                <w:kern w:val="0"/>
                <w:sz w:val="20"/>
                <w:szCs w:val="20"/>
                <w:lang w:val="en-US" w:eastAsia="zh-CN"/>
              </w:rPr>
              <w:t>规范实施</w:t>
            </w:r>
          </w:p>
          <w:p>
            <w:pPr>
              <w:keepNext w:val="0"/>
              <w:keepLines w:val="0"/>
              <w:pageBreakBefore w:val="0"/>
              <w:widowControl/>
              <w:shd w:val="clear"/>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农机社会化服务水平持续提升</w:t>
            </w:r>
          </w:p>
          <w:p>
            <w:pPr>
              <w:keepNext w:val="0"/>
              <w:keepLines w:val="0"/>
              <w:pageBreakBefore w:val="0"/>
              <w:widowControl/>
              <w:shd w:val="clear"/>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农机新机具新技术推广成效明显</w:t>
            </w:r>
          </w:p>
          <w:p>
            <w:pPr>
              <w:keepNext w:val="0"/>
              <w:keepLines w:val="0"/>
              <w:pageBreakBefore w:val="0"/>
              <w:widowControl/>
              <w:shd w:val="clear"/>
              <w:kinsoku/>
              <w:wordWrap/>
              <w:overflowPunct/>
              <w:topLinePunct w:val="0"/>
              <w:autoSpaceDE/>
              <w:autoSpaceDN/>
              <w:bidi w:val="0"/>
              <w:adjustRightInd/>
              <w:snapToGrid/>
              <w:spacing w:line="240" w:lineRule="exact"/>
              <w:jc w:val="both"/>
              <w:textAlignment w:val="auto"/>
              <w:rPr>
                <w:rFonts w:hint="eastAsia"/>
                <w:lang w:eastAsia="zh-CN"/>
              </w:rPr>
            </w:pPr>
            <w:r>
              <w:rPr>
                <w:rFonts w:hint="eastAsia" w:ascii="Times New Roman" w:hAnsi="Times New Roman" w:eastAsia="楷体" w:cs="Times New Roman"/>
                <w:b w:val="0"/>
                <w:bCs w:val="0"/>
                <w:sz w:val="20"/>
                <w:szCs w:val="20"/>
                <w:lang w:val="en-US" w:eastAsia="zh-CN"/>
              </w:rPr>
              <w:t>农机安全生产监理工作持续稳定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145" w:type="dxa"/>
            <w:vMerge w:val="restart"/>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153"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99"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083"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183"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21"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701"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616"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161" w:type="dxa"/>
            <w:noWrap w:val="0"/>
            <w:vAlign w:val="top"/>
          </w:tcPr>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3" w:type="dxa"/>
            <w:vMerge w:val="restart"/>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50分)</w:t>
            </w:r>
          </w:p>
        </w:tc>
        <w:tc>
          <w:tcPr>
            <w:tcW w:w="1099"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w:t>
            </w:r>
          </w:p>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83"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重点工作完成数</w:t>
            </w:r>
          </w:p>
        </w:tc>
        <w:tc>
          <w:tcPr>
            <w:tcW w:w="1183"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4次</w:t>
            </w:r>
          </w:p>
        </w:tc>
        <w:tc>
          <w:tcPr>
            <w:tcW w:w="1121"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4次</w:t>
            </w:r>
          </w:p>
        </w:tc>
        <w:tc>
          <w:tcPr>
            <w:tcW w:w="701"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616"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61"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145" w:type="dxa"/>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3" w:type="dxa"/>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9"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w:t>
            </w:r>
          </w:p>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83"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达标完成率</w:t>
            </w:r>
          </w:p>
        </w:tc>
        <w:tc>
          <w:tcPr>
            <w:tcW w:w="1183"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21"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701"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616"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61"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3" w:type="dxa"/>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9"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w:t>
            </w:r>
          </w:p>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83"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及时完成情况</w:t>
            </w:r>
          </w:p>
        </w:tc>
        <w:tc>
          <w:tcPr>
            <w:tcW w:w="1183"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2023.12.31</w:t>
            </w:r>
          </w:p>
        </w:tc>
        <w:tc>
          <w:tcPr>
            <w:tcW w:w="1121"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2023.12.31</w:t>
            </w:r>
          </w:p>
        </w:tc>
        <w:tc>
          <w:tcPr>
            <w:tcW w:w="701"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616"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61"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3" w:type="dxa"/>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9"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w:t>
            </w:r>
          </w:p>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83"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成本控制</w:t>
            </w:r>
          </w:p>
        </w:tc>
        <w:tc>
          <w:tcPr>
            <w:tcW w:w="1183"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293.87万元</w:t>
            </w:r>
          </w:p>
        </w:tc>
        <w:tc>
          <w:tcPr>
            <w:tcW w:w="1121"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320.55万元</w:t>
            </w:r>
          </w:p>
        </w:tc>
        <w:tc>
          <w:tcPr>
            <w:tcW w:w="701"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616"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16</w:t>
            </w:r>
          </w:p>
        </w:tc>
        <w:tc>
          <w:tcPr>
            <w:tcW w:w="1161"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人员增加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3" w:type="dxa"/>
            <w:vMerge w:val="restart"/>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w:t>
            </w:r>
            <w:r>
              <w:rPr>
                <w:rFonts w:hint="eastAsia" w:ascii="仿宋" w:hAnsi="仿宋" w:eastAsia="仿宋" w:cs="仿宋"/>
                <w:color w:val="000000"/>
                <w:kern w:val="0"/>
                <w:sz w:val="20"/>
                <w:szCs w:val="20"/>
                <w:lang w:val="en-US" w:eastAsia="zh-CN"/>
              </w:rPr>
              <w:t>0</w:t>
            </w:r>
            <w:r>
              <w:rPr>
                <w:rFonts w:hint="eastAsia" w:ascii="仿宋" w:hAnsi="仿宋" w:eastAsia="仿宋" w:cs="仿宋"/>
                <w:color w:val="000000"/>
                <w:kern w:val="0"/>
                <w:sz w:val="20"/>
                <w:szCs w:val="20"/>
              </w:rPr>
              <w:t>分）</w:t>
            </w:r>
          </w:p>
        </w:tc>
        <w:tc>
          <w:tcPr>
            <w:tcW w:w="1099"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83"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资金使用效益</w:t>
            </w:r>
          </w:p>
        </w:tc>
        <w:tc>
          <w:tcPr>
            <w:tcW w:w="1183"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1121"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701"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616"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61"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3" w:type="dxa"/>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9"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83"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加大农机推广力度</w:t>
            </w:r>
          </w:p>
        </w:tc>
        <w:tc>
          <w:tcPr>
            <w:tcW w:w="1183"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1121"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　</w:t>
            </w:r>
          </w:p>
        </w:tc>
        <w:tc>
          <w:tcPr>
            <w:tcW w:w="701"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616"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61"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3" w:type="dxa"/>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9"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83"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生态效益情况</w:t>
            </w:r>
          </w:p>
        </w:tc>
        <w:tc>
          <w:tcPr>
            <w:tcW w:w="1183"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1121"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　</w:t>
            </w:r>
          </w:p>
        </w:tc>
        <w:tc>
          <w:tcPr>
            <w:tcW w:w="701"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p>
        </w:tc>
        <w:tc>
          <w:tcPr>
            <w:tcW w:w="616"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61"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53" w:type="dxa"/>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9"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083"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可持续影响情况</w:t>
            </w:r>
          </w:p>
        </w:tc>
        <w:tc>
          <w:tcPr>
            <w:tcW w:w="1183"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1121"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　</w:t>
            </w:r>
          </w:p>
        </w:tc>
        <w:tc>
          <w:tcPr>
            <w:tcW w:w="701"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616"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61"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5" w:type="dxa"/>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53"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099"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083"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183"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90%</w:t>
            </w:r>
            <w:r>
              <w:rPr>
                <w:rFonts w:hint="eastAsia" w:ascii="仿宋" w:hAnsi="仿宋" w:eastAsia="仿宋" w:cs="仿宋"/>
                <w:color w:val="000000"/>
                <w:kern w:val="0"/>
                <w:sz w:val="20"/>
                <w:szCs w:val="20"/>
              </w:rPr>
              <w:t>　</w:t>
            </w:r>
          </w:p>
        </w:tc>
        <w:tc>
          <w:tcPr>
            <w:tcW w:w="1121"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701"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616"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61"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84" w:type="dxa"/>
            <w:gridSpan w:val="7"/>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701"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616"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ind w:firstLine="200" w:firstLineChars="1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96</w:t>
            </w:r>
          </w:p>
        </w:tc>
        <w:tc>
          <w:tcPr>
            <w:tcW w:w="1161" w:type="dxa"/>
            <w:noWrap w:val="0"/>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pPr>
        <w:widowControl w:val="0"/>
        <w:shd w:val="clear"/>
        <w:kinsoku/>
        <w:autoSpaceDE/>
        <w:autoSpaceDN/>
        <w:adjustRightInd/>
        <w:snapToGrid/>
        <w:spacing w:line="600" w:lineRule="exact"/>
        <w:jc w:val="both"/>
        <w:textAlignment w:val="auto"/>
        <w:rPr>
          <w:rFonts w:hint="default"/>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林沸颖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2024.06.27        </w:t>
      </w:r>
      <w:r>
        <w:rPr>
          <w:rFonts w:hint="default" w:ascii="Times New Roman" w:hAnsi="Times New Roman" w:eastAsia="仿宋_GB2312" w:cs="Times New Roman"/>
          <w:snapToGrid/>
          <w:color w:val="000000"/>
          <w:kern w:val="0"/>
          <w:sz w:val="24"/>
          <w:szCs w:val="24"/>
          <w:lang w:val="en-US" w:eastAsia="zh-CN" w:bidi="ar-SA"/>
        </w:rPr>
        <w:t xml:space="preserve"> 联系电话： </w:t>
      </w:r>
      <w:r>
        <w:rPr>
          <w:rFonts w:hint="default" w:ascii="Times New Roman" w:hAnsi="Times New Roman" w:eastAsia="仿宋" w:cs="Times New Roman"/>
          <w:snapToGrid/>
          <w:color w:val="000000"/>
          <w:kern w:val="0"/>
          <w:sz w:val="24"/>
          <w:szCs w:val="24"/>
          <w:lang w:val="en-US" w:eastAsia="zh-CN" w:bidi="ar-SA"/>
        </w:rPr>
        <w:t>2258592</w:t>
      </w:r>
      <w:r>
        <w:rPr>
          <w:rFonts w:hint="default"/>
          <w:lang w:val="en-US" w:eastAsia="zh-CN"/>
        </w:rPr>
        <w:br w:type="page"/>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_GBK">
    <w:altName w:val="Arial Unicode MS"/>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3000509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0B136A"/>
    <w:multiLevelType w:val="singleLevel"/>
    <w:tmpl w:val="AE0B136A"/>
    <w:lvl w:ilvl="0" w:tentative="0">
      <w:start w:val="2"/>
      <w:numFmt w:val="chineseCounting"/>
      <w:suff w:val="nothing"/>
      <w:lvlText w:val="（%1）"/>
      <w:lvlJc w:val="left"/>
      <w:rPr>
        <w:rFonts w:hint="eastAsia"/>
      </w:rPr>
    </w:lvl>
  </w:abstractNum>
  <w:abstractNum w:abstractNumId="1">
    <w:nsid w:val="D7D9D29E"/>
    <w:multiLevelType w:val="singleLevel"/>
    <w:tmpl w:val="D7D9D29E"/>
    <w:lvl w:ilvl="0" w:tentative="0">
      <w:start w:val="2"/>
      <w:numFmt w:val="chineseCounting"/>
      <w:suff w:val="nothing"/>
      <w:lvlText w:val="（%1）"/>
      <w:lvlJc w:val="left"/>
      <w:rPr>
        <w:rFonts w:hint="eastAsia"/>
      </w:rPr>
    </w:lvl>
  </w:abstractNum>
  <w:abstractNum w:abstractNumId="2">
    <w:nsid w:val="22474A90"/>
    <w:multiLevelType w:val="singleLevel"/>
    <w:tmpl w:val="22474A90"/>
    <w:lvl w:ilvl="0" w:tentative="0">
      <w:start w:val="8"/>
      <w:numFmt w:val="chineseCounting"/>
      <w:suff w:val="nothing"/>
      <w:lvlText w:val="%1、"/>
      <w:lvlJc w:val="left"/>
      <w:rPr>
        <w:rFonts w:hint="eastAsia"/>
      </w:rPr>
    </w:lvl>
  </w:abstractNum>
  <w:abstractNum w:abstractNumId="3">
    <w:nsid w:val="61C5E28B"/>
    <w:multiLevelType w:val="singleLevel"/>
    <w:tmpl w:val="61C5E28B"/>
    <w:lvl w:ilvl="0" w:tentative="0">
      <w:start w:val="3"/>
      <w:numFmt w:val="chineseCounting"/>
      <w:suff w:val="nothing"/>
      <w:lvlText w:val="%1、"/>
      <w:lvlJc w:val="left"/>
      <w:rPr>
        <w:rFonts w:hint="eastAsi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yZDMwYzM5N2IyOGI3NzY4YzgzMmMwYTFlYWU1ODkifQ=="/>
  </w:docVars>
  <w:rsids>
    <w:rsidRoot w:val="00000000"/>
    <w:rsid w:val="016814B1"/>
    <w:rsid w:val="0482288A"/>
    <w:rsid w:val="07830DF3"/>
    <w:rsid w:val="12485112"/>
    <w:rsid w:val="14D62EA9"/>
    <w:rsid w:val="16AE5760"/>
    <w:rsid w:val="16DE4297"/>
    <w:rsid w:val="19C5529B"/>
    <w:rsid w:val="1D3F4B25"/>
    <w:rsid w:val="1E8A0861"/>
    <w:rsid w:val="22484CBB"/>
    <w:rsid w:val="2572277A"/>
    <w:rsid w:val="27090EBD"/>
    <w:rsid w:val="296A19BB"/>
    <w:rsid w:val="43D257FC"/>
    <w:rsid w:val="43F14D5A"/>
    <w:rsid w:val="456D21BF"/>
    <w:rsid w:val="4669507C"/>
    <w:rsid w:val="4ADA6548"/>
    <w:rsid w:val="52B07B8F"/>
    <w:rsid w:val="56C37E91"/>
    <w:rsid w:val="6C5775A1"/>
    <w:rsid w:val="73102258"/>
    <w:rsid w:val="7BE20509"/>
    <w:rsid w:val="7C183F2B"/>
    <w:rsid w:val="7F016E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7">
    <w:name w:val="_Style 1"/>
    <w:basedOn w:val="1"/>
    <w:qFormat/>
    <w:uiPriority w:val="99"/>
    <w:pPr>
      <w:spacing w:line="481" w:lineRule="atLeast"/>
      <w:ind w:firstLine="623"/>
      <w:textAlignment w:val="baseline"/>
    </w:pPr>
    <w:rPr>
      <w:rFonts w:ascii="Times New Roman" w:hAnsi="Times New Roman" w:eastAsia="仿宋_GB2312"/>
      <w:color w:val="000000"/>
      <w:sz w:val="31"/>
    </w:rPr>
  </w:style>
  <w:style w:type="paragraph" w:customStyle="1" w:styleId="8">
    <w:name w:val="标题1"/>
    <w:basedOn w:val="3"/>
    <w:autoRedefine/>
    <w:qFormat/>
    <w:uiPriority w:val="0"/>
    <w:rPr>
      <w:rFonts w:eastAsia="黑体"/>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4699</Words>
  <Characters>5221</Characters>
  <Lines>0</Lines>
  <Paragraphs>0</Paragraphs>
  <TotalTime>14</TotalTime>
  <ScaleCrop>false</ScaleCrop>
  <LinksUpToDate>false</LinksUpToDate>
  <CharactersWithSpaces>5539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2024-06-24T01:11:00Z</dcterms:created>
  <dc:creator>Administrator</dc:creator>
  <cp:lastModifiedBy>颖</cp:lastModifiedBy>
  <dcterms:modified xsi:type="dcterms:W3CDTF">2024-06-27T07:27:30Z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AB8C8DF02F284106834843EB8E868EC2_12</vt:lpwstr>
  </property>
</Properties>
</file>