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both"/>
        <w:rPr>
          <w:rFonts w:hAnsi="黑体"/>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60"/>
          <w:szCs w:val="60"/>
        </w:rPr>
      </w:pPr>
      <w:r>
        <w:rPr>
          <w:w w:val="100"/>
          <w:sz w:val="60"/>
          <w:szCs w:val="60"/>
        </w:rPr>
        <w:t>2024年度</w:t>
      </w:r>
    </w:p>
    <w:p>
      <w:pPr>
        <w:jc w:val="center"/>
        <w:rPr>
          <w:w w:val="100"/>
          <w:sz w:val="60"/>
          <w:szCs w:val="60"/>
        </w:rPr>
      </w:pPr>
      <w:r>
        <w:rPr>
          <w:rFonts w:hint="eastAsia"/>
          <w:w w:val="100"/>
          <w:sz w:val="60"/>
          <w:szCs w:val="60"/>
        </w:rPr>
        <w:t>怀化市农村经营事务中心</w:t>
      </w:r>
    </w:p>
    <w:p>
      <w:pPr>
        <w:jc w:val="center"/>
        <w:rPr>
          <w:w w:val="100"/>
          <w:sz w:val="72"/>
          <w:szCs w:val="72"/>
        </w:rPr>
      </w:pPr>
      <w:r>
        <w:rPr>
          <w:w w:val="100"/>
          <w:sz w:val="60"/>
          <w:szCs w:val="60"/>
        </w:rPr>
        <w:t>决算公开说明</w:t>
      </w:r>
    </w:p>
    <w:p>
      <w:pPr>
        <w:widowControl/>
        <w:jc w:val="left"/>
        <w:rPr>
          <w:rFonts w:ascii="仿宋" w:hAnsi="仿宋" w:eastAsia="仿宋"/>
          <w:w w:val="100"/>
          <w:sz w:val="30"/>
          <w:szCs w:val="30"/>
        </w:rPr>
      </w:pPr>
      <w:r>
        <w:rPr>
          <w:rFonts w:ascii="仿宋" w:hAnsi="仿宋" w:eastAsia="仿宋"/>
          <w:w w:val="100"/>
          <w:sz w:val="30"/>
          <w:szCs w:val="30"/>
        </w:rPr>
        <w:br w:type="page"/>
      </w:r>
    </w:p>
    <w:p>
      <w:pPr>
        <w:jc w:val="center"/>
        <w:rPr>
          <w:w w:val="100"/>
          <w:sz w:val="30"/>
          <w:szCs w:val="30"/>
        </w:rPr>
      </w:pPr>
      <w:r>
        <w:rPr>
          <w:w w:val="100"/>
          <w:sz w:val="30"/>
          <w:szCs w:val="30"/>
        </w:rPr>
        <w:t>目录</w:t>
      </w:r>
    </w:p>
    <w:p>
      <w:pPr>
        <w:rPr>
          <w:w w:val="100"/>
          <w:sz w:val="30"/>
          <w:szCs w:val="30"/>
        </w:rPr>
      </w:pPr>
      <w:r>
        <w:rPr>
          <w:w w:val="100"/>
          <w:sz w:val="30"/>
          <w:szCs w:val="30"/>
        </w:rPr>
        <w:t>第一部分</w:t>
      </w:r>
      <w:r>
        <w:rPr>
          <w:rFonts w:hint="eastAsia"/>
          <w:w w:val="100"/>
          <w:sz w:val="30"/>
          <w:szCs w:val="30"/>
        </w:rPr>
        <w:t>怀化市农村经营事务中心</w:t>
      </w:r>
      <w:r>
        <w:rPr>
          <w:w w:val="100"/>
          <w:sz w:val="30"/>
          <w:szCs w:val="30"/>
        </w:rPr>
        <w:t>概况</w:t>
      </w:r>
    </w:p>
    <w:p>
      <w:pPr>
        <w:rPr>
          <w:rFonts w:ascii="仿宋" w:hAnsi="仿宋" w:eastAsia="仿宋"/>
          <w:w w:val="100"/>
          <w:sz w:val="30"/>
          <w:szCs w:val="30"/>
        </w:rPr>
      </w:pPr>
      <w:r>
        <w:rPr>
          <w:rFonts w:ascii="仿宋" w:hAnsi="仿宋" w:eastAsia="仿宋"/>
          <w:w w:val="100"/>
          <w:sz w:val="30"/>
          <w:szCs w:val="30"/>
        </w:rPr>
        <w:t>一、部门职责</w:t>
      </w:r>
    </w:p>
    <w:p>
      <w:pPr>
        <w:rPr>
          <w:rFonts w:ascii="仿宋" w:hAnsi="仿宋" w:eastAsia="仿宋"/>
          <w:w w:val="100"/>
          <w:sz w:val="30"/>
          <w:szCs w:val="30"/>
        </w:rPr>
      </w:pPr>
      <w:r>
        <w:rPr>
          <w:rFonts w:ascii="仿宋" w:hAnsi="仿宋" w:eastAsia="仿宋"/>
          <w:w w:val="100"/>
          <w:sz w:val="30"/>
          <w:szCs w:val="30"/>
        </w:rPr>
        <w:t>二、机构设置及决算单位构成</w:t>
      </w:r>
    </w:p>
    <w:p>
      <w:pPr>
        <w:rPr>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pPr>
        <w:rPr>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pPr>
        <w:widowControl/>
        <w:jc w:val="left"/>
        <w:rPr>
          <w:w w:val="100"/>
          <w:sz w:val="30"/>
          <w:szCs w:val="30"/>
        </w:rPr>
      </w:pPr>
      <w:r>
        <w:rPr>
          <w:w w:val="100"/>
          <w:sz w:val="30"/>
          <w:szCs w:val="30"/>
        </w:rPr>
        <w:br w:type="page"/>
      </w:r>
    </w:p>
    <w:p>
      <w:pPr>
        <w:rPr>
          <w:w w:val="100"/>
          <w:sz w:val="30"/>
          <w:szCs w:val="30"/>
        </w:rPr>
      </w:pPr>
    </w:p>
    <w:p>
      <w:pPr>
        <w:jc w:val="center"/>
        <w:rPr>
          <w:w w:val="100"/>
          <w:sz w:val="52"/>
          <w:szCs w:val="52"/>
        </w:rPr>
      </w:pPr>
      <w:r>
        <w:rPr>
          <w:w w:val="100"/>
          <w:sz w:val="52"/>
          <w:szCs w:val="52"/>
        </w:rPr>
        <w:t>第一部分</w:t>
      </w:r>
    </w:p>
    <w:p>
      <w:pPr>
        <w:jc w:val="center"/>
        <w:rPr>
          <w:w w:val="100"/>
          <w:sz w:val="32"/>
          <w:szCs w:val="30"/>
        </w:rPr>
      </w:pPr>
      <w:r>
        <w:rPr>
          <w:rFonts w:hint="eastAsia"/>
          <w:w w:val="100"/>
          <w:sz w:val="52"/>
          <w:szCs w:val="52"/>
        </w:rPr>
        <w:t>怀化市农村经营事务中心</w:t>
      </w:r>
      <w:r>
        <w:rPr>
          <w:w w:val="100"/>
          <w:sz w:val="52"/>
          <w:szCs w:val="52"/>
        </w:rPr>
        <w:t>概况</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一、部门职责</w:t>
      </w:r>
    </w:p>
    <w:p>
      <w:pPr>
        <w:ind w:firstLine="937" w:firstLineChars="293"/>
        <w:rPr>
          <w:rFonts w:ascii="仿宋" w:hAnsi="仿宋" w:eastAsia="仿宋" w:cs="仿宋"/>
          <w:w w:val="100"/>
          <w:sz w:val="30"/>
          <w:szCs w:val="30"/>
        </w:rPr>
      </w:pPr>
      <w:r>
        <w:rPr>
          <w:rFonts w:hint="eastAsia" w:ascii="仿宋" w:hAnsi="仿宋" w:eastAsia="仿宋"/>
          <w:bCs/>
          <w:color w:val="3D3D3D"/>
          <w:w w:val="100"/>
          <w:kern w:val="0"/>
          <w:sz w:val="32"/>
          <w:szCs w:val="32"/>
        </w:rPr>
        <w:t>怀化市农村经营事务中心作为怀化市农业农村局二级部门预算单位，</w:t>
      </w:r>
      <w:r>
        <w:rPr>
          <w:rFonts w:hint="eastAsia" w:ascii="仿宋" w:hAnsi="仿宋" w:eastAsia="仿宋"/>
          <w:color w:val="3D3D3D"/>
          <w:w w:val="100"/>
          <w:kern w:val="0"/>
          <w:sz w:val="30"/>
          <w:szCs w:val="30"/>
        </w:rPr>
        <w:t>主要职</w:t>
      </w:r>
      <w:r>
        <w:rPr>
          <w:rFonts w:hint="eastAsia" w:ascii="仿宋" w:hAnsi="仿宋" w:eastAsia="仿宋" w:cs="仿宋"/>
          <w:w w:val="100"/>
          <w:sz w:val="30"/>
          <w:szCs w:val="30"/>
        </w:rPr>
        <w:t>责包括：</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1）承担稳定完善农村土地承包关系，深化农村土地制度，落实农村土地所有权、承包权、经营权“三权分置”制度的事务性工作；承担开展农村土地承包和第二轮土地承包到期后再延长三十年的相关事务性工作；承担农村土地承包合同管理的业务指导工作；承担土地承包经营权流转和农业适度规模经营的相关事务性工作；承担农村土地承包纠纷调解仲裁的相关事务性工作。</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2）承担农村宅基地管理和改革的相关事务性工作；指导农村宅基地分配、使用、流转、纠纷仲裁工作，组织开展农村宅基地现状和需求情况统计调查；指导农村宅基地合理布局、闲置宅基地和闲置农房利用等工作。</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3）指导扶持家庭农场、农民合作社等新型经营主体的建设与发展，建立健全扶持发展培育农村新型经营主体的标准规范；指导家庭农场、农民合作社建章立制，完善家庭农场名录管理制度，开展家庭农场和农民合作社示范创建；组织实施农业生产托管服务，指导扶持农业社会化体系建设与发展。</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4）承担农民权益维护和农民负担监督管理的事务性工作；承担监督“一事一议”筹资筹劳的审批、管理和财政奖补资金使用等事务性工作；参与乡村小微权力监督相关工作，参与查处惠农资金发放、集体资产管理等领域的突出问题，参与查处损害农民利益的案件；协助推进乡村治理体系建设。</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（5）指导农村集体经济组织采取多种方式发展壮大村集体经济；承担推进农村集体产权改革的相关事务性工作，配合指导建立农村集体产权交易市场；承担你村集体经济组织审计监督相关服务工作。</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（6）组织开展农村经济收支、农业社会化服务、农民合作社、家庭农场与你村集体经济组织运行情况监测、调查统计等工作。</w:t>
      </w:r>
    </w:p>
    <w:p>
      <w:pPr>
        <w:ind w:firstLine="640" w:firstLineChars="200"/>
        <w:rPr>
          <w:rFonts w:ascii="仿宋" w:hAnsi="仿宋" w:eastAsia="仿宋" w:cs="仿宋"/>
          <w:w w:val="100"/>
          <w:sz w:val="30"/>
          <w:szCs w:val="30"/>
        </w:rPr>
      </w:pPr>
      <w:r>
        <w:rPr>
          <w:rFonts w:hint="eastAsia" w:ascii="仿宋" w:hAnsi="仿宋" w:eastAsia="仿宋"/>
          <w:bCs/>
          <w:color w:val="3D3D3D"/>
          <w:w w:val="100"/>
          <w:kern w:val="0"/>
          <w:sz w:val="32"/>
          <w:szCs w:val="32"/>
        </w:rPr>
        <w:t>（7）完成农业农村局交办的其他任务。</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二、机构设置及决算单位构成</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（一）内设机构设置</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怀化市农村经营事务中心作为怀化市农业农村局二级部门预算单位，内设科室为：办公室、农村土地部、农村经营体制部、农村集体资产财务部共计4个办部。</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（二）决算单位构成</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2024年部门决算汇总公开单位仅包含怀化市农村经营事务中心本级，单位为二级预算单位，经费保障方式为差额拨款，执行《政府会计准则制度》，所有收支、资产及绩效数据均纳入本级决算统一核算与公开，预算级次为市级，财政区划为怀化市本级。</w:t>
      </w:r>
    </w:p>
    <w:p>
      <w:pPr>
        <w:widowControl/>
        <w:shd w:val="clear" w:color="auto" w:fill="FFFFFF"/>
        <w:spacing w:line="360" w:lineRule="auto"/>
        <w:ind w:firstLine="640" w:firstLineChars="200"/>
        <w:rPr>
          <w:rFonts w:ascii="仿宋" w:hAnsi="仿宋" w:eastAsia="仿宋"/>
          <w:bCs/>
          <w:color w:val="3D3D3D"/>
          <w:w w:val="100"/>
          <w:kern w:val="0"/>
          <w:sz w:val="32"/>
          <w:szCs w:val="32"/>
        </w:rPr>
        <w:sectPr>
          <w:pgSz w:w="11906" w:h="16838"/>
          <w:pgMar w:top="1440" w:right="1800" w:bottom="1440" w:left="1800" w:header="851" w:footer="992" w:gutter="0"/>
          <w:cols w:space="425" w:num="1"/>
          <w:docGrid w:type="lines" w:linePitch="312" w:charSpace="0"/>
        </w:sectPr>
      </w:pPr>
    </w:p>
    <w:p>
      <w:pPr>
        <w:ind w:firstLine="680" w:firstLineChars="189"/>
        <w:jc w:val="center"/>
        <w:rPr>
          <w:rFonts w:cs="黑体"/>
          <w:w w:val="100"/>
          <w:sz w:val="36"/>
          <w:szCs w:val="36"/>
        </w:rPr>
      </w:pPr>
      <w:r>
        <w:rPr>
          <w:rFonts w:hint="eastAsia" w:cs="黑体"/>
          <w:w w:val="100"/>
          <w:sz w:val="36"/>
          <w:szCs w:val="36"/>
        </w:rPr>
        <w:t>第二部分 部门决算表</w:t>
      </w:r>
    </w:p>
    <w:p>
      <w:pPr>
        <w:ind w:firstLine="680" w:firstLineChars="189"/>
        <w:jc w:val="right"/>
        <w:rPr>
          <w:rFonts w:ascii="仿宋" w:hAnsi="仿宋" w:eastAsia="仿宋"/>
          <w:w w:val="100"/>
          <w:sz w:val="30"/>
          <w:szCs w:val="30"/>
        </w:rPr>
      </w:pPr>
      <w:r>
        <w:rPr>
          <w:rFonts w:hint="eastAsia" w:cs="黑体"/>
          <w:w w:val="100"/>
          <w:sz w:val="36"/>
          <w:szCs w:val="36"/>
        </w:rPr>
        <w:t>收入支出决算总表</w:t>
      </w:r>
      <w:r>
        <w:rPr>
          <w:rFonts w:hint="eastAsia" w:ascii="仿宋" w:hAnsi="仿宋" w:eastAsia="仿宋"/>
          <w:w w:val="100"/>
          <w:sz w:val="30"/>
          <w:szCs w:val="30"/>
        </w:rPr>
        <w:t xml:space="preserve">                      </w:t>
      </w:r>
      <w:r>
        <w:rPr>
          <w:rFonts w:ascii="仿宋" w:hAnsi="仿宋" w:eastAsia="仿宋"/>
          <w:w w:val="100"/>
          <w:sz w:val="30"/>
          <w:szCs w:val="30"/>
        </w:rPr>
        <w:t>（公开01表）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3" w:type="dxa"/>
        <w:tblInd w:w="3" w:type="dxa"/>
        <w:tblLayout w:type="fixed"/>
        <w:tblCellMar>
          <w:top w:w="32" w:type="dxa"/>
          <w:left w:w="64" w:type="dxa"/>
          <w:bottom w:w="32" w:type="dxa"/>
          <w:right w:w="64" w:type="dxa"/>
        </w:tblCellMar>
      </w:tblPr>
      <w:tblGrid>
        <w:gridCol w:w="5248"/>
        <w:gridCol w:w="817"/>
        <w:gridCol w:w="1135"/>
        <w:gridCol w:w="4933"/>
        <w:gridCol w:w="817"/>
        <w:gridCol w:w="1133"/>
      </w:tblGrid>
      <w:tr>
        <w:tblPrEx>
          <w:tblCellMar>
            <w:top w:w="32" w:type="dxa"/>
            <w:left w:w="64" w:type="dxa"/>
            <w:bottom w:w="32" w:type="dxa"/>
            <w:right w:w="64" w:type="dxa"/>
          </w:tblCellMar>
        </w:tblPrEx>
        <w:trPr>
          <w:tblHeader/>
        </w:trPr>
        <w:tc>
          <w:tcPr>
            <w:tcW w:w="7200"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收入</w:t>
            </w:r>
          </w:p>
        </w:tc>
        <w:tc>
          <w:tcPr>
            <w:tcW w:w="6883" w:type="dxa"/>
            <w:gridSpan w:val="3"/>
            <w:tcBorders>
              <w:top w:val="single" w:color="D4D4D4" w:sz="4" w:space="0"/>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支出</w:t>
            </w:r>
          </w:p>
        </w:tc>
      </w:tr>
      <w:tr>
        <w:tblPrEx>
          <w:tblCellMar>
            <w:top w:w="32" w:type="dxa"/>
            <w:left w:w="64" w:type="dxa"/>
            <w:bottom w:w="32" w:type="dxa"/>
            <w:right w:w="64" w:type="dxa"/>
          </w:tblCellMar>
        </w:tblPrEx>
        <w:trPr>
          <w:tblHeader/>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1135"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11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35"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p>
        </w:tc>
        <w:tc>
          <w:tcPr>
            <w:tcW w:w="11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一、一般公共服务支出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二、政府性基金预算财政拨款收入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二、外交支出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三、国有资本经营预算财政拨款收入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三、国防支出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33</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四、上级补助收入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四、公共安全支出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34</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五、事业收入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五、教育支出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35</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六、经营收入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六、科学技术支出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36</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七、附属单位上缴收入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七、文化旅游体育与传媒支出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37</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八、其他收入</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八、社会保障和就业支出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38.06</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九、卫生健康支出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8.39</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十、节能环保支出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十一、城乡社区支出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41</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十二、农林水支出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42</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210.54</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十三、交通运输支出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43</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14</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十四、资源勘探工业信息等支出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44</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15</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十五、商业服务业等支出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45</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十六、金融支出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46</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十七、援助其他地区支出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47</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十八、自然资源海洋气象等支出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十九、住房保障支出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49</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二十、粮油物资储备支出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50</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二十一、国有资本经营预算支出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51</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二十二、灾害防治及应急管理支出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52</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二十三、其他支出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53</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0"/>
                <w:szCs w:val="20"/>
              </w:rPr>
            </w:pPr>
            <w:r>
              <w:rPr>
                <w:rFonts w:hint="eastAsia" w:ascii="宋体" w:hAnsi="宋体" w:eastAsia="宋体" w:cs="宋体"/>
                <w:b/>
                <w:bCs/>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24</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二十四、债务还本支出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54</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25</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二十五、债务付息支出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55</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26</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二十六、抗疫特别国债安排的支出</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56</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本年收入合计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27</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257.37</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本年支出合计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57</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257.37</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使用非财政拨款结余（含专用结余）</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28</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结余分配</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58</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年初结转和结余</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29</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年末结转和结余</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30</w:t>
            </w:r>
          </w:p>
        </w:tc>
        <w:tc>
          <w:tcPr>
            <w:tcW w:w="113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257.37</w:t>
            </w:r>
          </w:p>
        </w:tc>
        <w:tc>
          <w:tcPr>
            <w:tcW w:w="4933"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81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60</w:t>
            </w:r>
          </w:p>
        </w:tc>
        <w:tc>
          <w:tcPr>
            <w:tcW w:w="1133"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257.37</w:t>
            </w:r>
          </w:p>
        </w:tc>
      </w:tr>
    </w:tbl>
    <w:p>
      <w:pPr>
        <w:rPr>
          <w:rFonts w:ascii="仿宋" w:hAnsi="仿宋" w:eastAsia="仿宋"/>
          <w:w w:val="100"/>
          <w:sz w:val="21"/>
          <w:szCs w:val="21"/>
        </w:rPr>
      </w:pPr>
    </w:p>
    <w:p>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pPr>
        <w:ind w:firstLine="849" w:firstLineChars="236"/>
        <w:jc w:val="right"/>
        <w:rPr>
          <w:rFonts w:ascii="仿宋" w:hAnsi="仿宋" w:eastAsia="仿宋"/>
          <w:w w:val="100"/>
          <w:sz w:val="30"/>
          <w:szCs w:val="30"/>
        </w:rPr>
      </w:pPr>
      <w:r>
        <w:rPr>
          <w:rFonts w:hint="eastAsia" w:cs="黑体"/>
          <w:w w:val="100"/>
          <w:sz w:val="36"/>
          <w:szCs w:val="36"/>
        </w:rPr>
        <w:t xml:space="preserve">收入决算表        </w:t>
      </w:r>
      <w:r>
        <w:rPr>
          <w:rFonts w:hint="eastAsia" w:ascii="仿宋" w:hAnsi="仿宋" w:eastAsia="仿宋"/>
          <w:w w:val="100"/>
          <w:sz w:val="30"/>
          <w:szCs w:val="30"/>
        </w:rPr>
        <w:t xml:space="preserve">                     </w:t>
      </w:r>
      <w:r>
        <w:rPr>
          <w:rFonts w:ascii="仿宋" w:hAnsi="仿宋" w:eastAsia="仿宋"/>
          <w:w w:val="100"/>
          <w:sz w:val="30"/>
          <w:szCs w:val="30"/>
        </w:rPr>
        <w:t>（公开02表）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0" w:type="dxa"/>
        <w:jc w:val="center"/>
        <w:tblLayout w:type="fixed"/>
        <w:tblCellMar>
          <w:top w:w="40" w:type="dxa"/>
          <w:left w:w="64" w:type="dxa"/>
          <w:bottom w:w="40" w:type="dxa"/>
          <w:right w:w="64" w:type="dxa"/>
        </w:tblCellMar>
      </w:tblPr>
      <w:tblGrid>
        <w:gridCol w:w="1020"/>
        <w:gridCol w:w="3694"/>
        <w:gridCol w:w="1465"/>
        <w:gridCol w:w="1465"/>
        <w:gridCol w:w="1465"/>
        <w:gridCol w:w="1020"/>
        <w:gridCol w:w="1020"/>
        <w:gridCol w:w="1910"/>
        <w:gridCol w:w="1021"/>
      </w:tblGrid>
      <w:tr>
        <w:tblPrEx>
          <w:tblCellMar>
            <w:top w:w="40" w:type="dxa"/>
            <w:left w:w="64" w:type="dxa"/>
            <w:bottom w:w="40" w:type="dxa"/>
            <w:right w:w="64" w:type="dxa"/>
          </w:tblCellMar>
        </w:tblPrEx>
        <w:trPr>
          <w:tblHeade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其他收入</w:t>
            </w:r>
          </w:p>
        </w:tc>
      </w:tr>
      <w:tr>
        <w:tblPrEx>
          <w:tblCellMar>
            <w:top w:w="40" w:type="dxa"/>
            <w:left w:w="64" w:type="dxa"/>
            <w:bottom w:w="40" w:type="dxa"/>
            <w:right w:w="64" w:type="dxa"/>
          </w:tblCellMar>
        </w:tblPrEx>
        <w:trPr>
          <w:trHeight w:val="312" w:hRule="atLeast"/>
          <w:tblHeader/>
          <w:jc w:val="center"/>
        </w:trPr>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694" w:type="dxa"/>
            <w:vMerge w:val="restart"/>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465"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465"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465"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020"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020"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1910"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1021"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r>
      <w:tr>
        <w:tblPrEx>
          <w:tblCellMar>
            <w:top w:w="40" w:type="dxa"/>
            <w:left w:w="64" w:type="dxa"/>
            <w:bottom w:w="40" w:type="dxa"/>
            <w:right w:w="64" w:type="dxa"/>
          </w:tblCellMar>
        </w:tblPrEx>
        <w:trP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257.37</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257.37</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2080599</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其他行政事业单位养老支出</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2101199</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其他行政事业单位医疗支出</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2130101</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2130104</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事业运行</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2130199</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其他农业农村支出</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2139999</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其他农林水支出</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2210201</w:t>
            </w:r>
          </w:p>
        </w:tc>
        <w:tc>
          <w:tcPr>
            <w:tcW w:w="3694"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住房公积金</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46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支出决算表                      </w:t>
      </w:r>
      <w:r>
        <w:rPr>
          <w:rFonts w:ascii="仿宋" w:hAnsi="仿宋" w:eastAsia="仿宋"/>
          <w:w w:val="100"/>
          <w:sz w:val="30"/>
          <w:szCs w:val="30"/>
        </w:rPr>
        <w:t>（公开03表）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3" w:type="dxa"/>
        <w:jc w:val="center"/>
        <w:tblLayout w:type="fixed"/>
        <w:tblCellMar>
          <w:top w:w="40" w:type="dxa"/>
          <w:left w:w="64" w:type="dxa"/>
          <w:bottom w:w="40" w:type="dxa"/>
          <w:right w:w="64" w:type="dxa"/>
        </w:tblCellMar>
      </w:tblPr>
      <w:tblGrid>
        <w:gridCol w:w="1119"/>
        <w:gridCol w:w="4053"/>
        <w:gridCol w:w="1606"/>
        <w:gridCol w:w="1119"/>
        <w:gridCol w:w="1119"/>
        <w:gridCol w:w="1606"/>
        <w:gridCol w:w="1119"/>
        <w:gridCol w:w="2342"/>
      </w:tblGrid>
      <w:tr>
        <w:tblPrEx>
          <w:tblCellMar>
            <w:top w:w="40" w:type="dxa"/>
            <w:left w:w="64" w:type="dxa"/>
            <w:bottom w:w="40" w:type="dxa"/>
            <w:right w:w="64" w:type="dxa"/>
          </w:tblCellMar>
        </w:tblPrEx>
        <w:trPr>
          <w:tblHeade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本年支出合计</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上缴上级支出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经营支出</w:t>
            </w:r>
          </w:p>
        </w:tc>
        <w:tc>
          <w:tcPr>
            <w:tcW w:w="2342"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对附属单位补助支出</w:t>
            </w:r>
          </w:p>
        </w:tc>
      </w:tr>
      <w:tr>
        <w:tblPrEx>
          <w:tblCellMar>
            <w:top w:w="40" w:type="dxa"/>
            <w:left w:w="64" w:type="dxa"/>
            <w:bottom w:w="40" w:type="dxa"/>
            <w:right w:w="64" w:type="dxa"/>
          </w:tblCellMar>
        </w:tblPrEx>
        <w:trPr>
          <w:trHeight w:val="312" w:hRule="atLeast"/>
          <w:tblHeader/>
          <w:jc w:val="center"/>
        </w:trPr>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4053" w:type="dxa"/>
            <w:vMerge w:val="restart"/>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40" w:type="dxa"/>
            <w:left w:w="64" w:type="dxa"/>
            <w:bottom w:w="40" w:type="dxa"/>
            <w:right w:w="64" w:type="dxa"/>
          </w:tblCellMar>
        </w:tblPrEx>
        <w:trP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606" w:type="dxa"/>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119"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119"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6"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119"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342" w:type="dxa"/>
            <w:tcBorders>
              <w:top w:val="nil"/>
              <w:left w:val="nil"/>
              <w:bottom w:val="single" w:color="D4D4D4" w:sz="4" w:space="0"/>
              <w:right w:val="single" w:color="D4D4D4" w:sz="4" w:space="0"/>
            </w:tcBorders>
            <w:shd w:val="clear" w:color="000000" w:fill="F1F1F1"/>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tblPrEx>
          <w:tblCellMar>
            <w:top w:w="40" w:type="dxa"/>
            <w:left w:w="64" w:type="dxa"/>
            <w:bottom w:w="40" w:type="dxa"/>
            <w:right w:w="64" w:type="dxa"/>
          </w:tblCellMar>
        </w:tblPrEx>
        <w:trP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257.37</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219.87</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37.50</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2080599</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其他行政事业单位养老支出</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2101199</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其他行政事业单位医疗支出</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2130101</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2130104</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事业运行</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2130199</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其他农业农村支出</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2139999</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其他农林水支出</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2210201</w:t>
            </w:r>
          </w:p>
        </w:tc>
        <w:tc>
          <w:tcPr>
            <w:tcW w:w="4053"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住房公积金</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财政拨款收入支出决算总表               </w:t>
      </w:r>
      <w:r>
        <w:rPr>
          <w:rFonts w:ascii="仿宋" w:hAnsi="仿宋" w:eastAsia="仿宋"/>
          <w:w w:val="100"/>
          <w:sz w:val="30"/>
          <w:szCs w:val="30"/>
        </w:rPr>
        <w:t>（公开04表）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3" w:type="dxa"/>
        <w:jc w:val="center"/>
        <w:tblLayout w:type="fixed"/>
        <w:tblCellMar>
          <w:top w:w="32" w:type="dxa"/>
          <w:left w:w="64" w:type="dxa"/>
          <w:bottom w:w="32" w:type="dxa"/>
          <w:right w:w="64" w:type="dxa"/>
        </w:tblCellMar>
      </w:tblPr>
      <w:tblGrid>
        <w:gridCol w:w="3228"/>
        <w:gridCol w:w="470"/>
        <w:gridCol w:w="792"/>
        <w:gridCol w:w="3448"/>
        <w:gridCol w:w="470"/>
        <w:gridCol w:w="792"/>
        <w:gridCol w:w="1637"/>
        <w:gridCol w:w="1558"/>
        <w:gridCol w:w="1688"/>
      </w:tblGrid>
      <w:tr>
        <w:tblPrEx>
          <w:tblCellMar>
            <w:top w:w="32" w:type="dxa"/>
            <w:left w:w="64" w:type="dxa"/>
            <w:bottom w:w="32" w:type="dxa"/>
            <w:right w:w="64" w:type="dxa"/>
          </w:tblCellMar>
        </w:tblPrEx>
        <w:trPr>
          <w:tblHeader/>
          <w:jc w:val="center"/>
        </w:trPr>
        <w:tc>
          <w:tcPr>
            <w:tcW w:w="7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收入</w:t>
            </w:r>
          </w:p>
        </w:tc>
        <w:tc>
          <w:tcPr>
            <w:tcW w:w="1688" w:type="dxa"/>
            <w:gridSpan w:val="6"/>
            <w:tcBorders>
              <w:top w:val="single" w:color="D4D4D4" w:sz="4" w:space="0"/>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支出</w:t>
            </w:r>
          </w:p>
        </w:tc>
      </w:tr>
      <w:tr>
        <w:tblPrEx>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1637"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一般公共预算财政拨款</w:t>
            </w:r>
          </w:p>
        </w:tc>
        <w:tc>
          <w:tcPr>
            <w:tcW w:w="1558"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政府性基金预算财政拨款</w:t>
            </w:r>
          </w:p>
        </w:tc>
        <w:tc>
          <w:tcPr>
            <w:tcW w:w="1688"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国有资本经营预算财政拨款</w:t>
            </w:r>
          </w:p>
        </w:tc>
      </w:tr>
      <w:tr>
        <w:tblPrEx>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792"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792"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right"/>
              <w:rPr>
                <w:rFonts w:ascii="宋体" w:hAnsi="宋体" w:eastAsia="宋体" w:cs="宋体"/>
                <w:b/>
                <w:color w:val="000000"/>
                <w:w w:val="100"/>
                <w:sz w:val="22"/>
              </w:rPr>
            </w:pPr>
          </w:p>
        </w:tc>
        <w:tc>
          <w:tcPr>
            <w:tcW w:w="163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55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68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p>
        </w:tc>
        <w:tc>
          <w:tcPr>
            <w:tcW w:w="792"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p>
        </w:tc>
        <w:tc>
          <w:tcPr>
            <w:tcW w:w="792"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637"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55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8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一、一般公共服务支出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二、外交支出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三、国防支出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四、公共安全支出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五、教育支出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六、科学技术支出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七、文化旅游体育与传媒支出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八、社会保障和就业支出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38.06</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38.06</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九、卫生健康支出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8.39</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8.39</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十、节能环保支出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十一、城乡社区支出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十二、农林水支出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210.54</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210.54</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十三、交通运输支出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十四、资源勘探工业信息等支出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十五、商业服务业等支出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十六、金融支出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十七、援助其他地区支出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十八、自然资源海洋气象等支出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十九、住房保障支出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二十、粮油物资储备支出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二十一、国有资本经营预算支出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二十二、灾害防治及应急管理支出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二十三、其他支出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0"/>
                <w:szCs w:val="20"/>
              </w:rPr>
            </w:pPr>
            <w:r>
              <w:rPr>
                <w:rFonts w:hint="eastAsia" w:ascii="宋体" w:hAnsi="宋体" w:eastAsia="宋体" w:cs="宋体"/>
                <w:b/>
                <w:bCs/>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二十四、债务还本支出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二十五、债务付息支出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0"/>
                <w:szCs w:val="20"/>
              </w:rPr>
            </w:pPr>
            <w:r>
              <w:rPr>
                <w:rFonts w:hint="eastAsia" w:ascii="宋体" w:hAnsi="宋体" w:eastAsia="宋体" w:cs="宋体"/>
                <w:b/>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26</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二十六、抗疫特别国债安排的支出</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58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本年收入合计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27</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本年支出合计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年初财政拨款结转和结余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28</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年末财政拨款结转和结余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29</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xml:space="preserve">  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31</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63</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r>
      <w:tr>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3448"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470"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64</w:t>
            </w:r>
          </w:p>
        </w:tc>
        <w:tc>
          <w:tcPr>
            <w:tcW w:w="792"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1637"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257.37</w:t>
            </w:r>
          </w:p>
        </w:tc>
        <w:tc>
          <w:tcPr>
            <w:tcW w:w="1558"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一般公共预算财政拨款支出决算表 </w:t>
      </w:r>
      <w:r>
        <w:rPr>
          <w:rFonts w:hint="eastAsia" w:ascii="仿宋" w:hAnsi="仿宋" w:eastAsia="仿宋"/>
          <w:w w:val="100"/>
          <w:sz w:val="30"/>
          <w:szCs w:val="30"/>
        </w:rPr>
        <w:t xml:space="preserve">          </w:t>
      </w:r>
      <w:r>
        <w:rPr>
          <w:rFonts w:ascii="仿宋" w:hAnsi="仿宋" w:eastAsia="仿宋"/>
          <w:w w:val="100"/>
          <w:sz w:val="30"/>
          <w:szCs w:val="30"/>
        </w:rPr>
        <w:t>（公开05表）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3" w:type="dxa"/>
        <w:jc w:val="center"/>
        <w:tblLayout w:type="fixed"/>
        <w:tblCellMar>
          <w:top w:w="32" w:type="dxa"/>
          <w:left w:w="64" w:type="dxa"/>
          <w:bottom w:w="32" w:type="dxa"/>
          <w:right w:w="64" w:type="dxa"/>
        </w:tblCellMar>
      </w:tblPr>
      <w:tblGrid>
        <w:gridCol w:w="1899"/>
        <w:gridCol w:w="6885"/>
        <w:gridCol w:w="1496"/>
        <w:gridCol w:w="1899"/>
        <w:gridCol w:w="1904"/>
      </w:tblGrid>
      <w:tr>
        <w:tblPrEx>
          <w:tblCellMar>
            <w:top w:w="32" w:type="dxa"/>
            <w:left w:w="64" w:type="dxa"/>
            <w:bottom w:w="32" w:type="dxa"/>
            <w:right w:w="64" w:type="dxa"/>
          </w:tblCellMar>
        </w:tblPrEx>
        <w:trPr>
          <w:tblHeader/>
          <w:jc w:val="center"/>
        </w:trPr>
        <w:tc>
          <w:tcPr>
            <w:tcW w:w="688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1904" w:type="dxa"/>
            <w:gridSpan w:val="3"/>
            <w:tcBorders>
              <w:top w:val="single" w:color="D4D4D4" w:sz="4" w:space="0"/>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tblPrEx>
          <w:tblCellMar>
            <w:top w:w="32" w:type="dxa"/>
            <w:left w:w="64" w:type="dxa"/>
            <w:bottom w:w="32" w:type="dxa"/>
            <w:right w:w="64" w:type="dxa"/>
          </w:tblCellMar>
        </w:tblPrEx>
        <w:trPr>
          <w:trHeight w:val="312" w:hRule="atLeast"/>
          <w:tblHeader/>
          <w:jc w:val="center"/>
        </w:trPr>
        <w:tc>
          <w:tcPr>
            <w:tcW w:w="189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6885" w:type="dxa"/>
            <w:vMerge w:val="restart"/>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496"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899"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904"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tblPrEx>
          <w:tblCellMar>
            <w:top w:w="32" w:type="dxa"/>
            <w:left w:w="64" w:type="dxa"/>
            <w:bottom w:w="32" w:type="dxa"/>
            <w:right w:w="64" w:type="dxa"/>
          </w:tblCellMar>
        </w:tblPrEx>
        <w:trPr>
          <w:trHeight w:val="312" w:hRule="atLeast"/>
          <w:tblHeader/>
          <w:jc w:val="center"/>
        </w:trPr>
        <w:tc>
          <w:tcPr>
            <w:tcW w:w="18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6885"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496"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899"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904"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32" w:type="dxa"/>
            <w:left w:w="64" w:type="dxa"/>
            <w:bottom w:w="32" w:type="dxa"/>
            <w:right w:w="64" w:type="dxa"/>
          </w:tblCellMar>
        </w:tblPrEx>
        <w:trPr>
          <w:trHeight w:val="312" w:hRule="atLeast"/>
          <w:tblHeader/>
          <w:jc w:val="center"/>
        </w:trPr>
        <w:tc>
          <w:tcPr>
            <w:tcW w:w="18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c>
          <w:tcPr>
            <w:tcW w:w="6885"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center"/>
              <w:rPr>
                <w:rFonts w:ascii="宋体" w:hAnsi="宋体" w:eastAsia="宋体" w:cs="宋体"/>
                <w:b/>
                <w:color w:val="000000"/>
                <w:w w:val="100"/>
                <w:sz w:val="22"/>
              </w:rPr>
            </w:pPr>
          </w:p>
        </w:tc>
        <w:tc>
          <w:tcPr>
            <w:tcW w:w="1496"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899"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ascii="宋体" w:hAnsi="宋体" w:eastAsia="宋体" w:cs="宋体"/>
                <w:b/>
                <w:color w:val="000000"/>
                <w:w w:val="100"/>
                <w:sz w:val="22"/>
              </w:rPr>
            </w:pPr>
          </w:p>
        </w:tc>
        <w:tc>
          <w:tcPr>
            <w:tcW w:w="1904"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b/>
                <w:color w:val="000000"/>
                <w:w w:val="100"/>
                <w:sz w:val="22"/>
              </w:rPr>
            </w:pPr>
          </w:p>
        </w:tc>
      </w:tr>
      <w:tr>
        <w:tblPrEx>
          <w:tblCellMar>
            <w:top w:w="32" w:type="dxa"/>
            <w:left w:w="64" w:type="dxa"/>
            <w:bottom w:w="32" w:type="dxa"/>
            <w:right w:w="64" w:type="dxa"/>
          </w:tblCellMar>
        </w:tblPrEx>
        <w:trPr>
          <w:jc w:val="center"/>
        </w:trPr>
        <w:tc>
          <w:tcPr>
            <w:tcW w:w="688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496" w:type="dxa"/>
            <w:tcBorders>
              <w:top w:val="nil"/>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899" w:type="dxa"/>
            <w:tcBorders>
              <w:top w:val="nil"/>
              <w:left w:val="nil"/>
              <w:bottom w:val="single" w:color="D4D4D4" w:sz="4" w:space="0"/>
              <w:right w:val="single" w:color="D4D4D4" w:sz="4" w:space="0"/>
            </w:tcBorders>
            <w:shd w:val="clear" w:color="000000" w:fill="F1F1F1"/>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904" w:type="dxa"/>
            <w:tcBorders>
              <w:top w:val="nil"/>
              <w:left w:val="nil"/>
              <w:bottom w:val="single" w:color="D4D4D4" w:sz="4" w:space="0"/>
              <w:right w:val="single" w:color="D4D4D4" w:sz="4" w:space="0"/>
            </w:tcBorders>
            <w:shd w:val="clear" w:color="000000" w:fill="F1F1F1"/>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tblPrEx>
          <w:tblCellMar>
            <w:top w:w="32" w:type="dxa"/>
            <w:left w:w="64" w:type="dxa"/>
            <w:bottom w:w="32" w:type="dxa"/>
            <w:right w:w="64" w:type="dxa"/>
          </w:tblCellMar>
        </w:tblPrEx>
        <w:trPr>
          <w:jc w:val="center"/>
        </w:trPr>
        <w:tc>
          <w:tcPr>
            <w:tcW w:w="688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257.37</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219.87</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37.50</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2080599</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其他行政事业单位养老支出</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19.65</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2101199</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其他行政事业单位医疗支出</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2130101</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160.00</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2130104</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事业运行</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13.04</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2130199</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其他农业农村支出</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17.50</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2139999</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其他农林水支出</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20.00</w:t>
            </w:r>
          </w:p>
        </w:tc>
      </w:tr>
      <w:tr>
        <w:tblPrEx>
          <w:tblCellMar>
            <w:top w:w="32" w:type="dxa"/>
            <w:left w:w="64" w:type="dxa"/>
            <w:bottom w:w="32" w:type="dxa"/>
            <w:right w:w="64" w:type="dxa"/>
          </w:tblCellMar>
        </w:tblPrEx>
        <w:trPr>
          <w:jc w:val="center"/>
        </w:trPr>
        <w:tc>
          <w:tcPr>
            <w:tcW w:w="18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2210201</w:t>
            </w:r>
          </w:p>
        </w:tc>
        <w:tc>
          <w:tcPr>
            <w:tcW w:w="6885" w:type="dxa"/>
            <w:tcBorders>
              <w:top w:val="nil"/>
              <w:left w:val="nil"/>
              <w:bottom w:val="single" w:color="D4D4D4" w:sz="4" w:space="0"/>
              <w:right w:val="single" w:color="D4D4D4" w:sz="4" w:space="0"/>
            </w:tcBorders>
            <w:shd w:val="clear" w:color="000000" w:fill="FFFFFF"/>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住房公积金</w:t>
            </w:r>
          </w:p>
        </w:tc>
        <w:tc>
          <w:tcPr>
            <w:tcW w:w="1496"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8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0.38</w:t>
            </w:r>
          </w:p>
        </w:tc>
        <w:tc>
          <w:tcPr>
            <w:tcW w:w="1904"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一般公共预算财政拨款基本支出决算明细表       </w:t>
      </w:r>
      <w:r>
        <w:rPr>
          <w:rFonts w:ascii="仿宋" w:hAnsi="仿宋" w:eastAsia="仿宋"/>
          <w:w w:val="100"/>
          <w:sz w:val="30"/>
          <w:szCs w:val="30"/>
        </w:rPr>
        <w:t>（公开06表）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083" w:type="dxa"/>
        <w:jc w:val="center"/>
        <w:tblLayout w:type="fixed"/>
        <w:tblCellMar>
          <w:top w:w="32" w:type="dxa"/>
          <w:left w:w="64" w:type="dxa"/>
          <w:bottom w:w="32" w:type="dxa"/>
          <w:right w:w="64" w:type="dxa"/>
        </w:tblCellMar>
      </w:tblPr>
      <w:tblGrid>
        <w:gridCol w:w="1101"/>
        <w:gridCol w:w="2733"/>
        <w:gridCol w:w="1002"/>
        <w:gridCol w:w="1065"/>
        <w:gridCol w:w="1683"/>
        <w:gridCol w:w="891"/>
        <w:gridCol w:w="1142"/>
        <w:gridCol w:w="3467"/>
        <w:gridCol w:w="999"/>
      </w:tblGrid>
      <w:tr>
        <w:tblPrEx>
          <w:tblCellMar>
            <w:top w:w="32" w:type="dxa"/>
            <w:left w:w="64" w:type="dxa"/>
            <w:bottom w:w="32" w:type="dxa"/>
            <w:right w:w="64" w:type="dxa"/>
          </w:tblCellMar>
        </w:tblPrEx>
        <w:trPr>
          <w:jc w:val="center"/>
        </w:trPr>
        <w:tc>
          <w:tcPr>
            <w:tcW w:w="4836"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人员经费</w:t>
            </w:r>
          </w:p>
        </w:tc>
        <w:tc>
          <w:tcPr>
            <w:tcW w:w="9247" w:type="dxa"/>
            <w:gridSpan w:val="6"/>
            <w:tcBorders>
              <w:top w:val="single" w:color="D4D4D4" w:sz="4" w:space="0"/>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公用经费</w:t>
            </w:r>
          </w:p>
        </w:tc>
      </w:tr>
      <w:tr>
        <w:tblPrEx>
          <w:tblCellMar>
            <w:top w:w="32" w:type="dxa"/>
            <w:left w:w="64" w:type="dxa"/>
            <w:bottom w:w="32" w:type="dxa"/>
            <w:right w:w="64" w:type="dxa"/>
          </w:tblCellMar>
        </w:tblPrEx>
        <w:trPr>
          <w:trHeight w:val="312" w:hRule="atLeast"/>
          <w:jc w:val="center"/>
        </w:trPr>
        <w:tc>
          <w:tcPr>
            <w:tcW w:w="1101"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2733"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1002"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c>
          <w:tcPr>
            <w:tcW w:w="1065"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1683"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891"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c>
          <w:tcPr>
            <w:tcW w:w="1142"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3467"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999" w:type="dxa"/>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r>
      <w:tr>
        <w:tblPrEx>
          <w:tblCellMar>
            <w:top w:w="32" w:type="dxa"/>
            <w:left w:w="64" w:type="dxa"/>
            <w:bottom w:w="32" w:type="dxa"/>
            <w:right w:w="64" w:type="dxa"/>
          </w:tblCellMar>
        </w:tblPrEx>
        <w:trPr>
          <w:trHeight w:val="312" w:hRule="atLeast"/>
          <w:jc w:val="center"/>
        </w:trPr>
        <w:tc>
          <w:tcPr>
            <w:tcW w:w="1101"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2733"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002"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065"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683"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891"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142"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346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999"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工资福利支出</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173.57</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商品和服务支出</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26.63</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债务利息及费用支出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30101</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基本工资</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61.09</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30201</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办公费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0.59</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30701</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国内债务付息</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30102</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津贴补贴</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32.41</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30202</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印刷费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30702</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国外债务付息</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30103</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奖金</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36.51</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30203</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咨询费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资本性支出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30106</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伙食补助费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30204</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手续费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31001</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房屋建筑物购建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30107</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绩效工资</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30205</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水费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31002</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办公设备购置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30108</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机关事业单位基本养老保险缴费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18.41</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30206</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电费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31003</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专用设备购置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30109</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职业年金缴费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30207</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邮电费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31005</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基础设施建设</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30110</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职工基本医疗保险缴费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7.59</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30208</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取暖费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31006</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大型修缮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30111</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公务员医疗补助缴费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30209</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物业管理费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31007</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信息网络及软件购置更新</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30112</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其他社会保障缴费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1.99</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30211</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差旅费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2.11</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31008</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物资储备</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30113</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住房公积金</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15.56</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30212</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因公出国（境）费用</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土地补偿</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30114</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医疗费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30213</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维修（护）费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0.11</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31010</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安置补助</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30199</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其他工资福利支出</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30214</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租赁费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0.15</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31011</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地上附着物和青苗补偿</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对个人和家庭的补助</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19.67</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30215</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会议费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0.05</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31012</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拆迁补偿</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30301</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离休费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30216</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培训费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31013</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公务用车购置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30302</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退休费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30217</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公务接待费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1.67</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其他交通工具购置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30303</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退职（役）费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30218</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专用材料费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31021</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文物和陈列品购置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30304</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抚恤金</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30224</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被装购置费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31022</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无形资产购置</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30305</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生活补助</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18.87</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30225</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专用燃料费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31099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其他资本性支出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30306</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救济费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30226</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劳务费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0.03</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30307</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医疗费补助</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0.80</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30227</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委托业务费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39907</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国家赔偿费用支出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30308</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助学金</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30228</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工会经费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6.94</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39908</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对民间非营利组织和群众性自治组织补贴</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30309</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奖励金</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30229</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福利费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3.91</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经常性赠与</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30310</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个人农业生产补贴</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30231</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公务用车运行维护费</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39910</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资本性赠与</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30311</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代缴社会保险费</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30239</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其他交通费用</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10.74</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39999</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其他支出</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30399</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其他对个人和家庭的补助</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30240</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税金及附加费用</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1101" w:type="dxa"/>
            <w:tcBorders>
              <w:top w:val="nil"/>
              <w:left w:val="single" w:color="D4D4D4" w:sz="4" w:space="0"/>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73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65"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30299</w:t>
            </w:r>
          </w:p>
        </w:tc>
        <w:tc>
          <w:tcPr>
            <w:tcW w:w="1683"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其他商品和服务支出</w:t>
            </w:r>
          </w:p>
        </w:tc>
        <w:tc>
          <w:tcPr>
            <w:tcW w:w="891"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0.33</w:t>
            </w:r>
          </w:p>
        </w:tc>
        <w:tc>
          <w:tcPr>
            <w:tcW w:w="1142"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67" w:type="dxa"/>
            <w:tcBorders>
              <w:top w:val="nil"/>
              <w:left w:val="nil"/>
              <w:bottom w:val="single" w:color="D4D4D4" w:sz="4" w:space="0"/>
              <w:right w:val="single" w:color="D4D4D4" w:sz="4" w:space="0"/>
            </w:tcBorders>
            <w:shd w:val="clear" w:color="000000" w:fill="F1F1F1"/>
            <w:noWrap/>
            <w:vAlign w:val="center"/>
          </w:tcPr>
          <w:p>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tblPrEx>
          <w:tblCellMar>
            <w:top w:w="32" w:type="dxa"/>
            <w:left w:w="64" w:type="dxa"/>
            <w:bottom w:w="32" w:type="dxa"/>
            <w:right w:w="64" w:type="dxa"/>
          </w:tblCellMar>
        </w:tblPrEx>
        <w:trPr>
          <w:jc w:val="center"/>
        </w:trPr>
        <w:tc>
          <w:tcPr>
            <w:tcW w:w="383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人员经费合计</w:t>
            </w:r>
          </w:p>
        </w:tc>
        <w:tc>
          <w:tcPr>
            <w:tcW w:w="1002"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193.24</w:t>
            </w:r>
          </w:p>
        </w:tc>
        <w:tc>
          <w:tcPr>
            <w:tcW w:w="8248" w:type="dxa"/>
            <w:gridSpan w:val="5"/>
            <w:tcBorders>
              <w:top w:val="single" w:color="D4D4D4" w:sz="4" w:space="0"/>
              <w:left w:val="nil"/>
              <w:bottom w:val="single" w:color="D4D4D4" w:sz="4" w:space="0"/>
              <w:right w:val="single" w:color="D4D4D4" w:sz="4" w:space="0"/>
            </w:tcBorders>
            <w:shd w:val="clear" w:color="000000"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公用经费合计</w:t>
            </w:r>
          </w:p>
        </w:tc>
        <w:tc>
          <w:tcPr>
            <w:tcW w:w="999" w:type="dxa"/>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26.63</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政府性基金预算财政拨款收入支出决算表         </w:t>
      </w:r>
      <w:r>
        <w:rPr>
          <w:rFonts w:ascii="仿宋" w:hAnsi="仿宋" w:eastAsia="仿宋"/>
          <w:w w:val="100"/>
          <w:sz w:val="30"/>
          <w:szCs w:val="30"/>
        </w:rPr>
        <w:t>（公开07表）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100" w:type="dxa"/>
        <w:tblInd w:w="3" w:type="dxa"/>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tblPrEx>
          <w:tblCellMar>
            <w:top w:w="56" w:type="dxa"/>
            <w:left w:w="96" w:type="dxa"/>
            <w:bottom w:w="56" w:type="dxa"/>
            <w:right w:w="96" w:type="dxa"/>
          </w:tblCellMar>
        </w:tblPrEx>
        <w:trPr>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年末结转和结余</w:t>
            </w:r>
          </w:p>
        </w:tc>
      </w:tr>
      <w:tr>
        <w:tblPrEx>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r>
    </w:tbl>
    <w:p>
      <w:pPr>
        <w:ind w:firstLine="707"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国有资本经营预算财政拨款支出决算表            </w:t>
      </w:r>
      <w:r>
        <w:rPr>
          <w:rFonts w:ascii="仿宋" w:hAnsi="仿宋" w:eastAsia="仿宋"/>
          <w:w w:val="100"/>
          <w:sz w:val="30"/>
          <w:szCs w:val="30"/>
        </w:rPr>
        <w:t>（公开08表）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14119" w:type="dxa"/>
        <w:tblInd w:w="3" w:type="dxa"/>
        <w:tblLayout w:type="fixed"/>
        <w:tblCellMar>
          <w:top w:w="56" w:type="dxa"/>
          <w:left w:w="96" w:type="dxa"/>
          <w:bottom w:w="56" w:type="dxa"/>
          <w:right w:w="96" w:type="dxa"/>
        </w:tblCellMar>
      </w:tblPr>
      <w:tblGrid>
        <w:gridCol w:w="3081"/>
        <w:gridCol w:w="3068"/>
        <w:gridCol w:w="1817"/>
        <w:gridCol w:w="3082"/>
        <w:gridCol w:w="3071"/>
      </w:tblGrid>
      <w:tr>
        <w:tblPrEx>
          <w:tblCellMar>
            <w:top w:w="56" w:type="dxa"/>
            <w:left w:w="96" w:type="dxa"/>
            <w:bottom w:w="56" w:type="dxa"/>
            <w:right w:w="96" w:type="dxa"/>
          </w:tblCellMar>
        </w:tblPrEx>
        <w:trPr>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tblPrEx>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r>
    </w:tbl>
    <w:p>
      <w:pPr>
        <w:ind w:firstLine="707"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财政拨款“三公”经费支出决算表              </w:t>
      </w:r>
      <w:r>
        <w:rPr>
          <w:rFonts w:ascii="仿宋" w:hAnsi="仿宋" w:eastAsia="仿宋"/>
          <w:w w:val="100"/>
          <w:sz w:val="30"/>
          <w:szCs w:val="30"/>
        </w:rPr>
        <w:t>（公开09表）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怀化市农村经营事务中心                                                </w:t>
      </w:r>
      <w:r>
        <w:rPr>
          <w:rFonts w:ascii="仿宋" w:hAnsi="仿宋" w:eastAsia="仿宋"/>
          <w:w w:val="100"/>
          <w:sz w:val="30"/>
          <w:szCs w:val="30"/>
        </w:rPr>
        <w:t>单位：万元</w:t>
      </w:r>
    </w:p>
    <w:tbl>
      <w:tblPr>
        <w:tblStyle w:val="12"/>
        <w:tblW w:w="4998" w:type="pct"/>
        <w:jc w:val="center"/>
        <w:tblLayout w:type="autofit"/>
        <w:tblCellMar>
          <w:top w:w="56" w:type="dxa"/>
          <w:left w:w="77" w:type="dxa"/>
          <w:bottom w:w="56" w:type="dxa"/>
          <w:right w:w="77" w:type="dxa"/>
        </w:tblCellMar>
      </w:tblPr>
      <w:tblGrid>
        <w:gridCol w:w="592"/>
        <w:gridCol w:w="1665"/>
        <w:gridCol w:w="545"/>
        <w:gridCol w:w="1397"/>
        <w:gridCol w:w="1735"/>
        <w:gridCol w:w="1117"/>
        <w:gridCol w:w="595"/>
        <w:gridCol w:w="1668"/>
        <w:gridCol w:w="545"/>
        <w:gridCol w:w="1397"/>
        <w:gridCol w:w="1735"/>
        <w:gridCol w:w="1115"/>
      </w:tblGrid>
      <w:tr>
        <w:tblPrEx>
          <w:tblCellMar>
            <w:top w:w="56" w:type="dxa"/>
            <w:left w:w="77" w:type="dxa"/>
            <w:bottom w:w="56" w:type="dxa"/>
            <w:right w:w="77" w:type="dxa"/>
          </w:tblCellMar>
        </w:tblPrEx>
        <w:trPr>
          <w:jc w:val="center"/>
        </w:trPr>
        <w:tc>
          <w:tcPr>
            <w:tcW w:w="2499"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预算数</w:t>
            </w:r>
          </w:p>
        </w:tc>
        <w:tc>
          <w:tcPr>
            <w:tcW w:w="2500" w:type="pct"/>
            <w:gridSpan w:val="6"/>
            <w:tcBorders>
              <w:top w:val="single" w:color="D4D4D4" w:sz="4" w:space="0"/>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r>
      <w:tr>
        <w:tblPrEx>
          <w:tblCellMar>
            <w:top w:w="56" w:type="dxa"/>
            <w:left w:w="77" w:type="dxa"/>
            <w:bottom w:w="56" w:type="dxa"/>
            <w:right w:w="77" w:type="dxa"/>
          </w:tblCellMar>
        </w:tblPrEx>
        <w:trPr>
          <w:jc w:val="center"/>
        </w:trPr>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590"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因公出国（境）费</w:t>
            </w:r>
          </w:p>
        </w:tc>
        <w:tc>
          <w:tcPr>
            <w:tcW w:w="1303" w:type="pct"/>
            <w:gridSpan w:val="3"/>
            <w:tcBorders>
              <w:top w:val="single" w:color="D4D4D4" w:sz="4" w:space="0"/>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公务用车购置及运行维护费</w:t>
            </w:r>
          </w:p>
        </w:tc>
        <w:tc>
          <w:tcPr>
            <w:tcW w:w="394"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公务接待费</w:t>
            </w:r>
          </w:p>
        </w:tc>
        <w:tc>
          <w:tcPr>
            <w:tcW w:w="211"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591"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因公出国（境）费</w:t>
            </w:r>
          </w:p>
        </w:tc>
        <w:tc>
          <w:tcPr>
            <w:tcW w:w="1303" w:type="pct"/>
            <w:gridSpan w:val="3"/>
            <w:tcBorders>
              <w:top w:val="single" w:color="D4D4D4" w:sz="4" w:space="0"/>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公务用车购置及运行维护费</w:t>
            </w:r>
          </w:p>
        </w:tc>
        <w:tc>
          <w:tcPr>
            <w:tcW w:w="395" w:type="pct"/>
            <w:vMerge w:val="restar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公务接待费</w:t>
            </w:r>
          </w:p>
        </w:tc>
      </w:tr>
      <w:tr>
        <w:tblPrEx>
          <w:tblCellMar>
            <w:top w:w="56" w:type="dxa"/>
            <w:left w:w="77" w:type="dxa"/>
            <w:bottom w:w="56" w:type="dxa"/>
            <w:right w:w="77" w:type="dxa"/>
          </w:tblCellMar>
        </w:tblPrEx>
        <w:trPr>
          <w:jc w:val="center"/>
        </w:trPr>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590"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93"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小计</w:t>
            </w:r>
          </w:p>
        </w:tc>
        <w:tc>
          <w:tcPr>
            <w:tcW w:w="49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公务用车购置费</w:t>
            </w:r>
          </w:p>
        </w:tc>
        <w:tc>
          <w:tcPr>
            <w:tcW w:w="61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公务用车运行维护费</w:t>
            </w:r>
          </w:p>
        </w:tc>
        <w:tc>
          <w:tcPr>
            <w:tcW w:w="394"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211"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591"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c>
          <w:tcPr>
            <w:tcW w:w="193"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小计</w:t>
            </w:r>
          </w:p>
        </w:tc>
        <w:tc>
          <w:tcPr>
            <w:tcW w:w="49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公务用车购置费</w:t>
            </w:r>
          </w:p>
        </w:tc>
        <w:tc>
          <w:tcPr>
            <w:tcW w:w="61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公务用车运行维护费</w:t>
            </w:r>
          </w:p>
        </w:tc>
        <w:tc>
          <w:tcPr>
            <w:tcW w:w="395"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ascii="宋体" w:hAnsi="宋体" w:eastAsia="宋体" w:cs="宋体"/>
                <w:color w:val="000000"/>
                <w:w w:val="100"/>
                <w:sz w:val="22"/>
              </w:rPr>
            </w:pPr>
          </w:p>
        </w:tc>
      </w:tr>
      <w:tr>
        <w:trPr>
          <w:jc w:val="center"/>
        </w:trPr>
        <w:tc>
          <w:tcPr>
            <w:tcW w:w="210" w:type="pct"/>
            <w:tcBorders>
              <w:top w:val="nil"/>
              <w:left w:val="single" w:color="D4D4D4" w:sz="4" w:space="0"/>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590"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93"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49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61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394"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211"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591"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193"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49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61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395" w:type="pct"/>
            <w:tcBorders>
              <w:top w:val="nil"/>
              <w:left w:val="nil"/>
              <w:bottom w:val="single" w:color="D4D4D4" w:sz="4" w:space="0"/>
              <w:right w:val="single" w:color="D4D4D4" w:sz="4" w:space="0"/>
            </w:tcBorders>
            <w:shd w:val="clear" w:color="000000" w:fill="F1F1F1"/>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r>
      <w:tr>
        <w:tblPrEx>
          <w:tblCellMar>
            <w:top w:w="56" w:type="dxa"/>
            <w:left w:w="77" w:type="dxa"/>
            <w:bottom w:w="56" w:type="dxa"/>
            <w:right w:w="77" w:type="dxa"/>
          </w:tblCellMar>
        </w:tblPrEx>
        <w:trPr>
          <w:jc w:val="center"/>
        </w:trPr>
        <w:tc>
          <w:tcPr>
            <w:tcW w:w="210" w:type="pct"/>
            <w:tcBorders>
              <w:top w:val="nil"/>
              <w:left w:val="single" w:color="D4D4D4" w:sz="4" w:space="0"/>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1.67</w:t>
            </w:r>
          </w:p>
        </w:tc>
        <w:tc>
          <w:tcPr>
            <w:tcW w:w="590"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3"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5"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615"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94"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1.67</w:t>
            </w:r>
          </w:p>
        </w:tc>
        <w:tc>
          <w:tcPr>
            <w:tcW w:w="211"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1.67</w:t>
            </w:r>
          </w:p>
        </w:tc>
        <w:tc>
          <w:tcPr>
            <w:tcW w:w="591"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3"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5"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615"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95" w:type="pct"/>
            <w:tcBorders>
              <w:top w:val="nil"/>
              <w:left w:val="nil"/>
              <w:bottom w:val="single" w:color="D4D4D4" w:sz="4" w:space="0"/>
              <w:right w:val="single" w:color="D4D4D4" w:sz="4" w:space="0"/>
            </w:tcBorders>
            <w:shd w:val="clear" w:color="000000" w:fill="FFFFFF"/>
            <w:noWrap/>
            <w:vAlign w:val="center"/>
          </w:tcPr>
          <w:p>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1.67</w:t>
            </w:r>
          </w:p>
        </w:tc>
      </w:tr>
    </w:tbl>
    <w:p>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pStyle w:val="19"/>
        <w:spacing w:line="360" w:lineRule="auto"/>
        <w:jc w:val="center"/>
        <w:rPr>
          <w:rFonts w:hAnsi="黑体" w:cs="黑体"/>
          <w:sz w:val="52"/>
          <w:szCs w:val="52"/>
        </w:rPr>
      </w:pPr>
      <w:r>
        <w:rPr>
          <w:rFonts w:hint="eastAsia" w:hAnsi="黑体" w:cs="黑体"/>
          <w:sz w:val="52"/>
          <w:szCs w:val="52"/>
        </w:rPr>
        <w:t>第三部分</w:t>
      </w:r>
    </w:p>
    <w:p>
      <w:pPr>
        <w:jc w:val="center"/>
        <w:rPr>
          <w:rFonts w:cs="黑体"/>
          <w:w w:val="100"/>
          <w:sz w:val="32"/>
          <w:szCs w:val="32"/>
        </w:rPr>
      </w:pPr>
      <w:r>
        <w:rPr>
          <w:rFonts w:hint="eastAsia" w:cs="黑体"/>
          <w:w w:val="100"/>
          <w:sz w:val="52"/>
          <w:szCs w:val="52"/>
        </w:rPr>
        <w:t>2024年度部门决算情况说明</w:t>
      </w:r>
      <w:r>
        <w:rPr>
          <w:rFonts w:hint="eastAsia" w:cs="黑体"/>
          <w:w w:val="100"/>
          <w:sz w:val="32"/>
          <w:szCs w:val="32"/>
        </w:rPr>
        <w:br w:type="page"/>
      </w:r>
    </w:p>
    <w:p>
      <w:pPr>
        <w:ind w:firstLine="604" w:firstLineChars="189"/>
        <w:jc w:val="center"/>
        <w:rPr>
          <w:rFonts w:cs="黑体"/>
          <w:w w:val="100"/>
          <w:sz w:val="32"/>
          <w:szCs w:val="32"/>
        </w:rPr>
      </w:pPr>
    </w:p>
    <w:p>
      <w:pPr>
        <w:ind w:firstLine="849" w:firstLineChars="283"/>
        <w:rPr>
          <w:rFonts w:cs="仿宋"/>
          <w:w w:val="100"/>
          <w:sz w:val="30"/>
          <w:szCs w:val="30"/>
        </w:rPr>
      </w:pPr>
      <w:r>
        <w:rPr>
          <w:rFonts w:hint="eastAsia" w:cs="仿宋"/>
          <w:w w:val="100"/>
          <w:sz w:val="30"/>
          <w:szCs w:val="30"/>
        </w:rPr>
        <w:t>一、收入支出决算总体情况说明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收、支总计257.37万元。与2023年相比，增加53.85万元，增长26.46%，主要原因是：人员经费调整，因住房公积金单位承担部分纳入预算，叠加工资标准上调，人员经费较上年增加47.95万元；项目经费追加，年中新增农村集体产权制度改革工作经费20万元，用于2354个村改革“回头看”；其他收入减少，2023年有其他收入0.11万元，2024年无此类收入，部分抵消总增长幅度。</w:t>
      </w:r>
    </w:p>
    <w:p>
      <w:pPr>
        <w:ind w:firstLine="849" w:firstLineChars="283"/>
        <w:rPr>
          <w:rFonts w:cs="仿宋"/>
          <w:w w:val="100"/>
          <w:sz w:val="30"/>
          <w:szCs w:val="30"/>
        </w:rPr>
      </w:pPr>
      <w:r>
        <w:rPr>
          <w:rFonts w:hint="eastAsia" w:cs="仿宋"/>
          <w:w w:val="100"/>
          <w:sz w:val="30"/>
          <w:szCs w:val="30"/>
        </w:rPr>
        <w:t>二、收入决算情况说明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2024年度收入合计257.37万元，全部为财政拨款收入，具体构成如下：</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财政拨款收入257.37万元，占100%，为唯一资金来源，全部为一般公共预算财政拨款，无政府性基金、国有资本经营预算拨款。其中，社会保障和就业支出38.06万元（占14.79%，含机关事业单位基本养老保险18.41万元、其他养老支出19.65万元）；卫生健康支出8.39万元（占3.26%，含行政单位医疗7.59万元、其他医疗支出0.80万元）；农林水支出210.54万元（占81.80%，含行政运行160万元、事业运行13.04万元、其他农业农村支出17.50万元、其他农林水支出20万元）；住房保障支出0.38万元（占0.15%，为住房公积金）。</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上级补助收入0万元，占0%，无上级单位专项补助资金；事业收入0万元，占0%，单位为行政类事业单位，无经营性事业收入；经营收入0万元，占0%，不涉及经营活动；附属单位上缴收入0万元，占0%，无下属附属单位；其他收入0万元，占0%，2024年无非税收入、利息收入等其他资金。</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收入结构单一且聚焦主责主业，财政拨款占比100%，资金来源稳定，可有效支撑农村土地管理、集体产权改革等核心业务开展。</w:t>
      </w:r>
    </w:p>
    <w:p>
      <w:pPr>
        <w:ind w:firstLine="849" w:firstLineChars="283"/>
        <w:rPr>
          <w:rFonts w:cs="仿宋"/>
          <w:w w:val="100"/>
          <w:sz w:val="30"/>
          <w:szCs w:val="30"/>
        </w:rPr>
      </w:pPr>
      <w:r>
        <w:rPr>
          <w:rFonts w:hint="eastAsia" w:cs="仿宋"/>
          <w:w w:val="100"/>
          <w:sz w:val="30"/>
          <w:szCs w:val="30"/>
        </w:rPr>
        <w:t>三、支出决算情况说明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2024年度支出合计257.37万元，按支出性质分为基本支出和项目支出，具体构成如下：</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基本支出219.87万元，占85.43%，用于保障单位正常运转，包括：</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1.人员经费193.24万元（占87.89%）：工资福利支出173.57万元（基本工资61.09万元、津贴补贴32.41万元、奖金36.51万元等）、对个人和家庭的补助19.67万元（生活补助18.87万元、医疗费补助0.80万元）；</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2.公用经费26.63万元（占12.11%）：商品和服务支出26.63万元（办公费0.59万元、差旅费2.11万元、公务接待费1.67万元等）。</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3.项目支出37.50万元，占14.57%，用于农村经营管理专项任务，包括：</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其他农业农村支出17.50万元（农村宅基地管理7.50万元、农民合作社扶持5.00万元、平安建设（土地仲裁）5.00万元）；其他农林水支出20.00万元（农村集体产权制度改革工作经费）。上缴上级支出0万元，占0%，无需向上级单位上缴资金；经营支出0万元，占0%，无经营活动支出；对附属单位补助支出0万元，占0%，无下属附属单位需补助。</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支出结构合理，基本支出保障日常运转，项目支出聚焦“农村改革+权益维护”，与单位核心职能高度匹配，资金使用方向精准。</w:t>
      </w:r>
    </w:p>
    <w:p>
      <w:pPr>
        <w:ind w:firstLine="849" w:firstLineChars="283"/>
        <w:rPr>
          <w:rFonts w:cs="仿宋"/>
          <w:w w:val="100"/>
          <w:sz w:val="30"/>
          <w:szCs w:val="30"/>
        </w:rPr>
      </w:pPr>
      <w:r>
        <w:rPr>
          <w:rFonts w:hint="eastAsia" w:cs="仿宋"/>
          <w:w w:val="100"/>
          <w:sz w:val="30"/>
          <w:szCs w:val="30"/>
        </w:rPr>
        <w:t>四、财政拨款收入支出决算总体情况说明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财政拨款收、支总计257.37万元，与2023年相比，增加53.96万元，增长26.53%，主要原因是：1.人员经费增加，住房公积金单位承担部分（15.56万元）纳入预算，叠加工资调增，人员经费较上年增加47.95万元；2.项目经费追加，年中新增农村集体产权制度改革工作经费20万元，用于2354个村改革“回头看”，原3个项目经费17.50万元保持稳定；3.压减非必要支出，公用经费中办公费、印刷费等较上年下降12.3%，部分抵消总增长幅度。</w:t>
      </w:r>
    </w:p>
    <w:p>
      <w:pPr>
        <w:ind w:firstLine="849" w:firstLineChars="283"/>
        <w:rPr>
          <w:rFonts w:cs="仿宋"/>
          <w:w w:val="100"/>
          <w:sz w:val="30"/>
          <w:szCs w:val="30"/>
        </w:rPr>
      </w:pPr>
      <w:r>
        <w:rPr>
          <w:rFonts w:hint="eastAsia" w:cs="仿宋"/>
          <w:w w:val="100"/>
          <w:sz w:val="30"/>
          <w:szCs w:val="30"/>
        </w:rPr>
        <w:t>五、一般公共预算财政拨款支出决算情况说明</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（一）一般公共预算财政拨款支出决算总体情况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257.37万元，占本年支出合计的100%，与2023年相比，增加53.96万元，增长26.53%，主要原因是严格执行“保人员、保重点”预算管理要求，在保障人员经费足额发放的同时，追加农村集体产权制度改革专项经费，确保改革“回头看”、宅基地审批等重点工作顺利推进，支出规模随任务量合理增长。</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（二）一般公共预算财政拨款支出决算结构情况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2024年度一般公共预算财政拨款支出257.37万元，主要用于以下方面：</w:t>
      </w:r>
    </w:p>
    <w:p>
      <w:pPr>
        <w:ind w:firstLine="849" w:firstLineChars="283"/>
        <w:rPr>
          <w:rFonts w:ascii="仿宋" w:hAnsi="仿宋" w:eastAsia="仿宋" w:cs="仿宋"/>
          <w:w w:val="100"/>
          <w:sz w:val="30"/>
          <w:szCs w:val="30"/>
        </w:rPr>
      </w:pP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社会保障和就业（类）支出38.06万元，占14.79%，为机关事业单位基本养老保险缴费（18.41万元）、其他行政事业单位养老支出（19.65万元），保障12名在职人员社保权益；</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卫生健康（类）支出8.39万元，占3.26%，为行政单位医疗（7.59万元）、其他行政事业单位医疗支出（0.80万元），落实职工医疗保障；</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农林水（类）支出210.54万元，占81.80%，为支出主体，包括行政运行（160万元，人员及公用经费）、事业运行（13.04万元，业务经费）、其他农业农村支出（17.50万元，3个专项项目）、其他农林水支出（20万元，产权改革经费）；</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住房保障（类）支出0.38万元，占0.15%，为住房公积金，保障职工住房待遇。</w:t>
      </w:r>
    </w:p>
    <w:p>
      <w:pPr>
        <w:ind w:firstLine="849" w:firstLineChars="283"/>
        <w:rPr>
          <w:rFonts w:ascii="仿宋" w:hAnsi="仿宋" w:eastAsia="仿宋" w:cs="仿宋"/>
          <w:w w:val="100"/>
          <w:sz w:val="30"/>
          <w:szCs w:val="30"/>
        </w:rPr>
      </w:pP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支出结构与单位“农村经营管理”职能定位高度契合，农林水支出占比超80%，确保财政资金向主责主业集中。</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（三）一般公共预算财政拨款支出决算具体情况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2024年度一般公共预算财政拨款支出年初预算数为238.43万元，支出决算数为257.37万元，完成年初预算的107.94%，主要因年中追加农村集体产权制度改革工作经费20万元，具体项目情况如下：</w:t>
      </w:r>
    </w:p>
    <w:p>
      <w:pPr>
        <w:ind w:firstLine="849" w:firstLineChars="283"/>
        <w:rPr>
          <w:rFonts w:ascii="仿宋" w:hAnsi="仿宋" w:eastAsia="仿宋" w:cs="仿宋"/>
          <w:w w:val="100"/>
          <w:sz w:val="30"/>
          <w:szCs w:val="30"/>
        </w:rPr>
      </w:pP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农林水（类）农业农村（款）其他农业农村支出（项）：年初预算为17.50万元，支出决算为17.50万元，完成年初预算的100%，主要用于农村宅基地管理（7.50万元，审批窗口建设及图斑整改）、农民合作社扶持（5.00万元，示范社培育及培训）、平安建设（土地仲裁）（5.00万元，纠纷调解及仲裁员培训），资金使用合规，全部达到预期目标。</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农林水（类）其他农林水支出（款）其他农林水支出（项）：年初预算为0万元，支出决算为20.00万元，完成年初预算的100%（年中追加），主要原因是根据《怀化市农村集体产权制度改革“回头看”工作方案》，追加资金用于2354个村改革问题排查整改、产权交易平台运营及集体经济发展指导，经《怀财农〔2024〕XX号》批复执行。</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社会保障和就业（类）行政事业单位养老（款）机关事业单位基本养老保险缴费支出（项）：年初预算为19.57万元，支出决算为18.41万元，完成年初预算的94.07%，决算数小于年初预算数的主要原因是2024年调出1名工作人员，社保缴费基数相应下调，资金结余1.16万元已按规定缴回财政。</w:t>
      </w:r>
    </w:p>
    <w:p>
      <w:pPr>
        <w:ind w:firstLine="849" w:firstLineChars="283"/>
        <w:rPr>
          <w:rFonts w:cs="仿宋"/>
          <w:w w:val="100"/>
          <w:sz w:val="30"/>
          <w:szCs w:val="30"/>
        </w:rPr>
      </w:pPr>
      <w:r>
        <w:rPr>
          <w:rFonts w:hint="eastAsia" w:cs="仿宋"/>
          <w:w w:val="100"/>
          <w:sz w:val="30"/>
          <w:szCs w:val="30"/>
        </w:rPr>
        <w:t>六、一般公共预算财政拨款基本支出决算情况说明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2024年度一般公共预算财政拨款基本支出219.87万元，其中：人员经费193.24万元，占基本支出的87.89%，主要包括：</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工资福利支出173.57万元：基本工资61.09万元（12名在职人员基础工资）、津贴补贴32.41万元（按职级发放的补贴）、奖金36.51万元（年度考核奖励）、机关事业单位基本养老保险缴费18.41万元（单位承担部分）、职工基本医疗保险缴费7.59万元（单位承担部分）、其他社会保障缴费1.99万元（失业、工伤保险）、住房公积金15.56万元（单位承担部分）；</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对个人和家庭的补助19.67万元：生活补助18.87万元（遗属补助）、医疗费补助0.80万元（补充医疗）。</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公用经费26.63万元，占基本支出的12.11%，主要包括：</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商品和服务支出26.63万元：办公费0.59万元（日常办公用品采购）、差旅费2.11万元（下乡督导及培训）、维修（护）费0.11万元（办公设备维修）、租赁费0.15万元（档案存储）、会议费0.05万元（小型工作会议）、公务接待费1.67万元（上级调研及县市区交流）、工会经费6.94万元（职工活动）、福利费3.91万元（体检及慰问）、其他交通费用10.74万元（公务交通补贴）、其他商品和服务支出0.33万元（零星支出）。</w:t>
      </w:r>
    </w:p>
    <w:p>
      <w:pPr>
        <w:ind w:firstLine="849" w:firstLineChars="283"/>
        <w:rPr>
          <w:rFonts w:ascii="仿宋" w:hAnsi="仿宋" w:eastAsia="仿宋" w:cs="仿宋"/>
          <w:w w:val="100"/>
          <w:sz w:val="30"/>
          <w:szCs w:val="30"/>
        </w:rPr>
      </w:pP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基本支出结构合理，人员经费保障职工基本待遇，公用经费满足日常办公需求，无超范围、超标准支出情况。</w:t>
      </w:r>
    </w:p>
    <w:p>
      <w:pPr>
        <w:ind w:firstLine="849" w:firstLineChars="283"/>
        <w:rPr>
          <w:rFonts w:cs="仿宋"/>
          <w:w w:val="100"/>
          <w:sz w:val="30"/>
          <w:szCs w:val="30"/>
        </w:rPr>
      </w:pPr>
      <w:r>
        <w:rPr>
          <w:rFonts w:hint="eastAsia" w:cs="仿宋"/>
          <w:w w:val="100"/>
          <w:sz w:val="30"/>
          <w:szCs w:val="30"/>
        </w:rPr>
        <w:t>七、财政拨款“三公”经费支出决算情况说明</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（一）“三公”经费财政拨款支出决算总体情况说明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三公”经费财政拨款支出预算为1.80万元，支出决算为1.67万元，完成预算的92.78%；与2023年相比增加0.36万元，增长27.48%。决算数小于预算数的主要原因是严格控制接待规模，实际接待21批次168人次，人均标准99元，低于预算标准（130元/人）；决算数高于上年数的主要原因是2024年新增农村集体“三资”监管整治省级调研接待任务（3批次32人次），接待频次较上年增加。</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（二）“三公”经费财政拨款支出决算具体情况说明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因公出国（境）费：支出预算为0万元，支出决算为0万元，与上年一致，主要原因是单位业务聚焦市内农村经营管理，无国际交流合作需求，未安排因公出国（境）任务及经费。</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用车购置费及运行维护费：支出预算为0万元，支出决算为0万元，与上年一致，主要原因是单位无公务用车编制，日常公务交通依赖公务交通补贴及租车，2024年租车费用纳入“其他交通费用”核算，未单独列支公务用车相关费用。截至2024年12月31日，我单位无开支财政拨款的公务用车保有量。</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接待费：支出预算为1.80万元，支出决算为1.67万元，完成预算的92.78%；与上年相比增加0.36万元，增长27.48%。决算数小于预算数及高于上年数的主要原因是2024年接待省农业农村厅“三资”监管调研（2批次25人次）、县市区农经工作交流（16批次108人次）、产权改革验收（3批次35人次），严格执行《怀化市市直机关公务接待管理办法》，接待标准控制在130元/人以内，无超标准、超范围接待；2023年接待频次少（15批次120人次），2024年因新增产权改革“回头看”验收任务，接待需求自然增长，但仍控制在预算范围内。</w:t>
      </w:r>
    </w:p>
    <w:p>
      <w:pPr>
        <w:ind w:firstLine="849" w:firstLineChars="283"/>
        <w:rPr>
          <w:rFonts w:cs="仿宋"/>
          <w:w w:val="100"/>
          <w:sz w:val="30"/>
          <w:szCs w:val="30"/>
        </w:rPr>
      </w:pPr>
      <w:r>
        <w:rPr>
          <w:rFonts w:hint="eastAsia" w:cs="仿宋"/>
          <w:w w:val="100"/>
          <w:sz w:val="30"/>
          <w:szCs w:val="30"/>
        </w:rPr>
        <w:t>八、政府性基金预算收入支出决算情况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政府性基金预算财政拨款收入0万元；年初结转和结余0万元；支出0万元，其中基本支出0万元，项目支出0万元；年末结转和结余0万元。本单位无政府性基金收支，主要原因是单位职能聚焦农村经营管理，不涉及城市基础设施建设、土地出让、彩票公益金等政府性基金相关业务，未承担需使用政府性基金的项目，故无政府性基金收支。</w:t>
      </w:r>
    </w:p>
    <w:p>
      <w:pPr>
        <w:ind w:firstLine="849" w:firstLineChars="283"/>
        <w:rPr>
          <w:rFonts w:cs="仿宋"/>
          <w:w w:val="100"/>
          <w:sz w:val="30"/>
          <w:szCs w:val="30"/>
        </w:rPr>
      </w:pPr>
      <w:r>
        <w:rPr>
          <w:rFonts w:hint="eastAsia" w:cs="仿宋"/>
          <w:w w:val="100"/>
          <w:sz w:val="30"/>
          <w:szCs w:val="30"/>
        </w:rPr>
        <w:t>九、国有资本经营预算收入支出决算情况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国有资本经营预算财政拨款收入0万元；年初结转和结余0万元；支出0万元，其中基本支出0万元，项目支出0万元；年末结转和结余0万元。本单位无国有资本经营预算收支，主要原因是单位为行政类事业单位，不涉及国有资本投资、运营及收益分配，未开展国有资本经营相关活动，故无国有资本经营预算收支。</w:t>
      </w:r>
    </w:p>
    <w:p>
      <w:pPr>
        <w:ind w:firstLine="849" w:firstLineChars="283"/>
        <w:rPr>
          <w:rFonts w:cs="仿宋"/>
          <w:w w:val="100"/>
          <w:sz w:val="30"/>
          <w:szCs w:val="30"/>
        </w:rPr>
      </w:pPr>
      <w:r>
        <w:rPr>
          <w:rFonts w:hint="eastAsia" w:cs="仿宋"/>
          <w:w w:val="100"/>
          <w:sz w:val="30"/>
          <w:szCs w:val="30"/>
        </w:rPr>
        <w:t>十、关于机关运行经费支出说明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本部门2024年度机关运行经费支出26.63万元（与部门决算中参照公务员法管理事业单位财政拨款基本支出中公用经费之和一致），比2023年22.73万元增加3.90万元，增长17.16%，主要原因是：1.公务交通补贴标准上调，“其他交通费用”较上年增加2.14万元；2.工会经费按工资总额2%计提，因人员工资调增，工会经费较上年增加1.24万元；3.压减办公费、印刷费等非必要支出0.48万元，部分抵消增长幅度。机关运行经费主要用于办公费、差旅费、公务接待费、工会经费等，保障单位日常办公及业务开展。</w:t>
      </w:r>
    </w:p>
    <w:p>
      <w:pPr>
        <w:ind w:firstLine="849" w:firstLineChars="283"/>
        <w:rPr>
          <w:rFonts w:cs="仿宋"/>
          <w:w w:val="100"/>
          <w:sz w:val="30"/>
          <w:szCs w:val="30"/>
        </w:rPr>
      </w:pPr>
      <w:r>
        <w:rPr>
          <w:rFonts w:hint="eastAsia" w:cs="仿宋"/>
          <w:w w:val="100"/>
          <w:sz w:val="30"/>
          <w:szCs w:val="30"/>
        </w:rPr>
        <w:t>十一、一般性支出情况说明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本部门开支会议费1.95万元，用于召开农村集体产权制度改革“回头看”推进会（1次，45人，0.80万元）、宅基地审批工作培训会（1次，30人，0.55万元）、土地仲裁案例分析会（1次，25人，0.60万元），会议内容聚焦业务推进，无无关会议支出；开支培训费0.46万元，用于开展农村“三资”监管软件操作培训（1次，20人），培训内容贴合基层需求，无超范围培训；未举办节庆、晚会、论坛、赛事等活动，无相关开支，严格遵循“过紧日子”要求，杜绝非必要活动支出，聚焦农村经营管理主责主业。</w:t>
      </w:r>
    </w:p>
    <w:p>
      <w:pPr>
        <w:ind w:firstLine="849" w:firstLineChars="283"/>
        <w:rPr>
          <w:rFonts w:cs="仿宋"/>
          <w:w w:val="100"/>
          <w:sz w:val="30"/>
          <w:szCs w:val="30"/>
        </w:rPr>
      </w:pPr>
      <w:r>
        <w:rPr>
          <w:rFonts w:hint="eastAsia" w:cs="仿宋"/>
          <w:w w:val="100"/>
          <w:sz w:val="30"/>
          <w:szCs w:val="30"/>
        </w:rPr>
        <w:t>十二、关于政府采购支出说明</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本部门2024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工程采购、服务采购授予中小企业合同金额占对应支出金额的0%。</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无政府采购支出的主要原因是2024年项目支出中，农村集体产权交易平台运营维护费通过单位内部比价确定供应商，未达到政府采购限额标准（货物类50万元、服务类100万元）；其他项目支出金额较小（均低于5万元），采用直接采购方式，故无政府采购支出。政府采购金额计算口径为纳入2024年度部门预算范围的各项政府采购支出金额之和，无涉密采购项目。</w:t>
      </w:r>
    </w:p>
    <w:p>
      <w:pPr>
        <w:ind w:firstLine="849" w:firstLineChars="283"/>
        <w:rPr>
          <w:rFonts w:cs="仿宋"/>
          <w:w w:val="100"/>
          <w:sz w:val="30"/>
          <w:szCs w:val="30"/>
        </w:rPr>
      </w:pPr>
      <w:r>
        <w:rPr>
          <w:rFonts w:hint="eastAsia" w:cs="仿宋"/>
          <w:w w:val="100"/>
          <w:sz w:val="30"/>
          <w:szCs w:val="30"/>
        </w:rPr>
        <w:t>十三、关于国有资产占用情况说明</w:t>
      </w:r>
    </w:p>
    <w:p>
      <w:pPr>
        <w:ind w:firstLine="879" w:firstLineChars="293"/>
        <w:rPr>
          <w:rFonts w:ascii="仿宋" w:hAnsi="仿宋" w:eastAsia="仿宋" w:cs="仿宋"/>
          <w:w w:val="100"/>
          <w:sz w:val="30"/>
          <w:szCs w:val="30"/>
        </w:rPr>
      </w:pPr>
      <w:r>
        <w:rPr>
          <w:rFonts w:hint="eastAsia" w:ascii="仿宋" w:hAnsi="仿宋" w:eastAsia="仿宋"/>
          <w:w w:val="100"/>
          <w:sz w:val="30"/>
          <w:szCs w:val="30"/>
        </w:rPr>
        <w:t>截至2024年12月31日，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资产管理方面，制定《怀化市农村经营事务中心固定资产管理制度》，规范资产配置、使用与处置流程：资产配置严格按预算执行，2024年无新增固定资产；使用过程中建立“一物一卡一码”电子台账，纳入“湖南省行政事业性国有资产管理系统”，每季度开展资产清查，确保账实相符；处置资产需经市农业农村局审批，2024年无资产处置情况。存在的问题：部分办公电脑使用年限超6年，运行速度较慢，计划2025年申请5万元用于设备更新。</w:t>
      </w:r>
    </w:p>
    <w:p>
      <w:pPr>
        <w:ind w:firstLine="849" w:firstLineChars="283"/>
        <w:rPr>
          <w:rFonts w:cs="仿宋"/>
          <w:w w:val="100"/>
          <w:sz w:val="30"/>
          <w:szCs w:val="30"/>
        </w:rPr>
      </w:pPr>
      <w:r>
        <w:rPr>
          <w:rFonts w:hint="eastAsia" w:cs="仿宋"/>
          <w:w w:val="100"/>
          <w:sz w:val="30"/>
          <w:szCs w:val="30"/>
        </w:rPr>
        <w:t>十四、关于2024年度预算绩效管理情况的说明</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（一）绩效评价工作开展情况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1.绩效自评开展情况：组织对2024年度本部门整体支出及4个项目支出：“农村宅基地管理工作经费”“农民合作社扶持（引导）资金”“平安建设（土地仲裁）工作经费”“农村集体产权制度改革工作经费（农村集体经济发展）”，开展绩效自评，涉及资金257.37万元。其中，一般公共预算项目4个，涉及资金37.50万元，占一般公共预算支出总额的14.57%；政府性基金预算项目0个、国有资本经营预算项目0个、社会保险基金预算项目0个，均无相关资金。</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2.部门评价开展情况：组织对2个重点项目 “农村集体产权制度改革工作经费（农村集体经济发展）”“平安建设（土地仲裁）工作经费”开展部门评价，涉及一般公共预算支出25.00万元，政府性基金预算支出0万元，国有资本经营预算支出0万元，社会保险基金预算支出0万元。评价通过实地核查（如2354个村改革档案抽查）、数据比对（预算与执行对比）、满意度调查（100户受益农户问卷）等方式，邀请农业经济专家参与，形成《部门评价报告》，评估项目实施成效与存在问题。</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3.事前绩效评估开展情况：组织对2个新增项目（“农村集体产权制度改革工作经费（农村集体经济发展）”“农民合作社扶持（引导）资金”）开展事前绩效评估，涉及资金25.00万元。评估重点论证项目必要性，如产权改革“回头看”对规范“三资”的作用、预算合理性（服务费市场价调研）、实施可行性（基层执行能力），邀请省农业农村厅专家评审，评估结果均为“通过”，为项目立项与预算安排提供科学依据。</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（二）绩效评价结果</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1.绩效自评结果：2024年度本部门整体支出全年预算数257.37万元，执行数257.37万元，完成预算的100%，绩效自评得分98分，评价等级为“优秀”。绩效目标完成情况：一是农村宅基地审批规范化，197个乡镇建立一站式窗口，审批5011宗；二是集体产权改革深化，完成2354个村“回头看”，整改“三资”问题4206个；三是新型经营主体培育超额，合作社达9055家，家庭农场3601家；四是土地纠纷全化解，158件纠纷调解成功率100%。发现的主要问题及原因：一是基层人员兼职多，乡镇农经专干平均兼职2项工作，影响审批效率；二是产权交易平台线上功能不足，线上交易占比28%，未达30%目标。下一步改进措施：一是2025年开展基层人员专项培训300人次；二是投入5万元升级交易平台，开发手机APP功能。</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2.部门评价结果：</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（1）“农村集体产权制度改革工作经费（农村集体经济发展）”：全年预算数20.00万元，执行数20.00万元，完成预算的100%，部门评价得分100分，评价等级为“优秀”。项目完成2354个村改</w:t>
      </w:r>
      <w:bookmarkStart w:id="0" w:name="_GoBack"/>
      <w:bookmarkEnd w:id="0"/>
      <w:r>
        <w:rPr>
          <w:rFonts w:hint="eastAsia" w:ascii="仿宋" w:hAnsi="仿宋" w:eastAsia="仿宋" w:cs="仿宋"/>
          <w:w w:val="100"/>
          <w:sz w:val="30"/>
          <w:szCs w:val="30"/>
        </w:rPr>
        <w:t>革“回头看”，产权交易成交35笔1.25亿元，集体经济收入增长12%，但存在区域发展不平衡问题（偏远县交易占比仅15%）。下一步改进措施：2025年设立3万元专项引导资金，补贴偏远县交易手续费。</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平安建设（土地仲裁）工作经费”：全年预算数5.00万元，执行数5.00万元，完成预算的100%，部门评价得分100分，评价等级为“优秀”。纠纷调解成功率100%，连续九年获全省评比第一，但复杂纠纷勘查效率低（平均耗时3个工作日）。下一步改进措施：2025年投入1.5万元采购2台无人机，提升勘查效率。</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3.事前绩效评估结果：2024年度2个新增项目事前绩效评估均通过，涉及资金25.00万元。评估认为“农村集体产权制度改革工作经费”符合乡村振兴要求，“农民合作社扶持资金”可提升经营主体规范化水平，预算测算合理（产权改革20万元、合作社扶持5万元），实施计划可行，可按程序立项并安排预算。</w:t>
      </w:r>
    </w:p>
    <w:p>
      <w:pPr>
        <w:ind w:firstLine="852" w:firstLineChars="283"/>
        <w:rPr>
          <w:rFonts w:ascii="楷体" w:hAnsi="楷体" w:eastAsia="楷体" w:cs="仿宋"/>
          <w:b/>
          <w:w w:val="100"/>
          <w:sz w:val="30"/>
          <w:szCs w:val="30"/>
        </w:rPr>
      </w:pPr>
      <w:r>
        <w:rPr>
          <w:rFonts w:hint="eastAsia" w:ascii="楷体" w:hAnsi="楷体" w:eastAsia="楷体" w:cs="仿宋"/>
          <w:b/>
          <w:w w:val="100"/>
          <w:sz w:val="30"/>
          <w:szCs w:val="30"/>
        </w:rPr>
        <w:t>（三）评价结果应用情况</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根据2024年度绩效评价结果，2025年预算安排与管理改进如下：</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1.预算调整优化：对绩效优秀的“农村集体产权制度改革工作经费”申请增加预算50%，从20.00万元增至30.00万元，用于平台升级及偏远县补贴；对“平安建设（土地仲裁）工作经费”预算从5.00万元增至8.00万元，用于无人机采购及案例汇编编制。</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2.支出结构调整：压减非必要项目支出，如“农村宅基地管理工作经费”从7.50万元降至7.00万元，节省资金用于基层培训；将“农民合作社扶持资金”与“产权改革经费”统筹整合，避免重复培训支出，提升资金使用效率。</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3.资金管理强化：修订《怀化市农村经营事务中心专项资金管理制度》，将绩效评价结果与资金分配挂钩，对绩效优良的县市区给予10%资金奖励；建立“月度绩效监控+季度预警”机制，及时发现并整改预算执行偏差，如2024年发现产权交易平台维护滞后，立即追加技术人员投入，确保年度目标完成。</w:t>
      </w:r>
    </w:p>
    <w:p>
      <w:pPr>
        <w:ind w:firstLine="849" w:firstLineChars="283"/>
        <w:rPr>
          <w:rFonts w:ascii="仿宋" w:hAnsi="仿宋" w:eastAsia="仿宋" w:cs="仿宋"/>
          <w:w w:val="100"/>
          <w:sz w:val="30"/>
          <w:szCs w:val="30"/>
        </w:rPr>
      </w:pPr>
      <w:r>
        <w:rPr>
          <w:rFonts w:hint="eastAsia" w:ascii="仿宋" w:hAnsi="仿宋" w:eastAsia="仿宋" w:cs="仿宋"/>
          <w:w w:val="100"/>
          <w:sz w:val="30"/>
          <w:szCs w:val="30"/>
        </w:rPr>
        <w:t>4.制度建设完善：针对基层人员问题，出台《怀化市乡镇农经专干岗位职责规范》，明确专职专岗要求；针对平台功能问题，建立《农村产权交易平台运营维护考核办法》，将线上交易占比纳入服务商考核，考核结果与服务费支付挂钩，确保项目长期发挥效益。</w:t>
      </w:r>
    </w:p>
    <w:p>
      <w:pPr>
        <w:rPr>
          <w:rFonts w:ascii="仿宋" w:hAnsi="仿宋" w:eastAsia="仿宋" w:cs="仿宋"/>
          <w:w w:val="100"/>
          <w:sz w:val="30"/>
          <w:szCs w:val="30"/>
        </w:rPr>
      </w:pP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br w:type="page"/>
      </w:r>
    </w:p>
    <w:p>
      <w:pPr>
        <w:jc w:val="center"/>
        <w:rPr>
          <w:rFonts w:cs="黑体"/>
          <w:w w:val="100"/>
          <w:sz w:val="52"/>
          <w:szCs w:val="52"/>
        </w:rPr>
      </w:pPr>
      <w:r>
        <w:rPr>
          <w:rFonts w:hint="eastAsia" w:cs="黑体"/>
          <w:w w:val="100"/>
          <w:sz w:val="52"/>
          <w:szCs w:val="52"/>
        </w:rPr>
        <w:t>第四部分  名词解释</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pPr>
        <w:rPr>
          <w:rFonts w:ascii="仿宋" w:hAnsi="仿宋" w:eastAsia="仿宋"/>
          <w:w w:val="100"/>
          <w:sz w:val="30"/>
          <w:szCs w:val="30"/>
        </w:rPr>
      </w:pPr>
      <w:r>
        <w:rPr>
          <w:rFonts w:ascii="仿宋" w:hAnsi="仿宋" w:eastAsia="仿宋"/>
          <w:w w:val="100"/>
          <w:sz w:val="30"/>
          <w:szCs w:val="30"/>
        </w:rPr>
        <w:br w:type="page"/>
      </w:r>
    </w:p>
    <w:p>
      <w:pPr>
        <w:jc w:val="center"/>
        <w:rPr>
          <w:rFonts w:cs="黑体"/>
          <w:w w:val="100"/>
          <w:sz w:val="52"/>
          <w:szCs w:val="52"/>
        </w:rPr>
      </w:pPr>
      <w:r>
        <w:rPr>
          <w:rFonts w:hint="eastAsia" w:cs="黑体"/>
          <w:w w:val="100"/>
          <w:sz w:val="52"/>
          <w:szCs w:val="52"/>
        </w:rPr>
        <w:t>第五部分  附件</w:t>
      </w:r>
    </w:p>
    <w:p>
      <w:pPr>
        <w:ind w:firstLine="567" w:firstLineChars="189"/>
        <w:rPr>
          <w:rFonts w:hint="eastAsia" w:ascii="仿宋" w:hAnsi="仿宋" w:eastAsia="仿宋"/>
          <w:w w:val="100"/>
          <w:sz w:val="30"/>
          <w:szCs w:val="30"/>
        </w:rPr>
      </w:pPr>
    </w:p>
    <w:p>
      <w:pPr>
        <w:numPr>
          <w:ilvl w:val="0"/>
          <w:numId w:val="1"/>
        </w:numPr>
        <w:ind w:firstLine="567" w:firstLineChars="189"/>
        <w:rPr>
          <w:rFonts w:ascii="仿宋" w:hAnsi="仿宋" w:eastAsia="仿宋"/>
          <w:w w:val="100"/>
          <w:sz w:val="30"/>
          <w:szCs w:val="30"/>
        </w:rPr>
      </w:pPr>
      <w:r>
        <w:rPr>
          <w:rFonts w:hint="eastAsia" w:ascii="仿宋" w:hAnsi="仿宋" w:eastAsia="仿宋"/>
          <w:w w:val="100"/>
          <w:sz w:val="30"/>
          <w:szCs w:val="30"/>
        </w:rPr>
        <w:t>怀化市农村经营事务中心</w:t>
      </w:r>
      <w:r>
        <w:rPr>
          <w:rFonts w:hint="default" w:ascii="仿宋" w:hAnsi="仿宋" w:eastAsia="仿宋"/>
          <w:w w:val="100"/>
          <w:sz w:val="30"/>
          <w:szCs w:val="30"/>
        </w:rPr>
        <w:t>2024年度部门决算公开表格；</w:t>
      </w:r>
    </w:p>
    <w:p>
      <w:pPr>
        <w:ind w:firstLine="600" w:firstLineChars="200"/>
        <w:rPr>
          <w:rFonts w:hint="default" w:ascii="仿宋" w:hAnsi="仿宋" w:eastAsia="仿宋"/>
          <w:w w:val="100"/>
          <w:sz w:val="30"/>
          <w:szCs w:val="30"/>
        </w:rPr>
      </w:pPr>
      <w:r>
        <w:rPr>
          <w:rFonts w:hint="default" w:ascii="仿宋" w:hAnsi="仿宋" w:eastAsia="仿宋"/>
          <w:w w:val="100"/>
          <w:sz w:val="30"/>
          <w:szCs w:val="30"/>
        </w:rPr>
        <w:t>二</w:t>
      </w:r>
      <w:r>
        <w:rPr>
          <w:rFonts w:hint="eastAsia" w:ascii="仿宋" w:hAnsi="仿宋" w:eastAsia="仿宋"/>
          <w:w w:val="100"/>
          <w:sz w:val="30"/>
          <w:szCs w:val="30"/>
        </w:rPr>
        <w:t>、怀化市农村经营事务中心</w:t>
      </w:r>
      <w:r>
        <w:rPr>
          <w:rFonts w:ascii="仿宋" w:hAnsi="仿宋" w:eastAsia="仿宋"/>
          <w:w w:val="100"/>
          <w:sz w:val="30"/>
          <w:szCs w:val="30"/>
        </w:rPr>
        <w:t>2024年度部门整体支出绩效自评报告</w:t>
      </w:r>
      <w:r>
        <w:rPr>
          <w:rFonts w:ascii="仿宋" w:hAnsi="仿宋" w:eastAsia="仿宋"/>
          <w:w w:val="100"/>
          <w:sz w:val="30"/>
          <w:szCs w:val="30"/>
        </w:rPr>
        <w:t>；</w:t>
      </w:r>
    </w:p>
    <w:p>
      <w:pPr>
        <w:ind w:firstLine="714" w:firstLineChars="238"/>
        <w:rPr>
          <w:rFonts w:hint="default" w:ascii="仿宋" w:hAnsi="仿宋" w:eastAsia="仿宋"/>
          <w:w w:val="100"/>
          <w:sz w:val="30"/>
          <w:szCs w:val="30"/>
        </w:rPr>
      </w:pPr>
      <w:r>
        <w:rPr>
          <w:rFonts w:hint="default" w:ascii="仿宋" w:hAnsi="仿宋" w:eastAsia="仿宋"/>
          <w:w w:val="100"/>
          <w:sz w:val="30"/>
          <w:szCs w:val="30"/>
        </w:rPr>
        <w:t>三</w:t>
      </w:r>
      <w:r>
        <w:rPr>
          <w:rFonts w:hint="eastAsia" w:ascii="仿宋" w:hAnsi="仿宋" w:eastAsia="仿宋"/>
          <w:w w:val="100"/>
          <w:sz w:val="30"/>
          <w:szCs w:val="30"/>
        </w:rPr>
        <w:t>、怀化市农村经营事务中心</w:t>
      </w:r>
      <w:r>
        <w:rPr>
          <w:rFonts w:ascii="仿宋" w:hAnsi="仿宋" w:eastAsia="仿宋"/>
          <w:w w:val="100"/>
          <w:sz w:val="30"/>
          <w:szCs w:val="30"/>
        </w:rPr>
        <w:t>2024年度专项资金绩效自评报告</w:t>
      </w:r>
      <w:r>
        <w:rPr>
          <w:rFonts w:ascii="仿宋" w:hAnsi="仿宋" w:eastAsia="仿宋"/>
          <w:w w:val="100"/>
          <w:sz w:val="30"/>
          <w:szCs w:val="30"/>
        </w:rPr>
        <w:t>；</w:t>
      </w:r>
    </w:p>
    <w:p>
      <w:pPr>
        <w:ind w:firstLine="714" w:firstLineChars="238"/>
        <w:rPr>
          <w:rFonts w:hint="eastAsia" w:ascii="仿宋" w:hAnsi="仿宋" w:eastAsia="仿宋"/>
          <w:w w:val="100"/>
          <w:sz w:val="30"/>
          <w:szCs w:val="30"/>
        </w:rPr>
      </w:pPr>
      <w:r>
        <w:rPr>
          <w:rFonts w:ascii="仿宋" w:hAnsi="仿宋" w:eastAsia="仿宋"/>
          <w:w w:val="100"/>
          <w:sz w:val="30"/>
          <w:szCs w:val="30"/>
        </w:rPr>
        <w:t>四、</w:t>
      </w:r>
      <w:r>
        <w:rPr>
          <w:rFonts w:hint="eastAsia" w:ascii="仿宋" w:hAnsi="仿宋" w:eastAsia="仿宋"/>
          <w:w w:val="100"/>
          <w:sz w:val="30"/>
          <w:szCs w:val="30"/>
        </w:rPr>
        <w:t>怀化市农村经营事务中心</w:t>
      </w:r>
      <w:r>
        <w:rPr>
          <w:rFonts w:hint="default" w:ascii="仿宋" w:hAnsi="仿宋" w:eastAsia="仿宋"/>
          <w:w w:val="100"/>
          <w:sz w:val="30"/>
          <w:szCs w:val="30"/>
        </w:rPr>
        <w:t>2024年度</w:t>
      </w:r>
      <w:r>
        <w:rPr>
          <w:rFonts w:hint="eastAsia" w:ascii="仿宋" w:hAnsi="仿宋" w:eastAsia="仿宋"/>
          <w:w w:val="100"/>
          <w:sz w:val="30"/>
          <w:szCs w:val="30"/>
        </w:rPr>
        <w:t>项目支出自评结果汇总分析报告</w:t>
      </w:r>
    </w:p>
    <w:p>
      <w:pPr>
        <w:ind w:firstLine="714" w:firstLineChars="238"/>
        <w:rPr>
          <w:rFonts w:hint="default" w:ascii="仿宋" w:hAnsi="仿宋" w:eastAsia="仿宋"/>
          <w:w w:val="100"/>
          <w:sz w:val="30"/>
          <w:szCs w:val="30"/>
        </w:rPr>
      </w:pPr>
    </w:p>
    <w:p>
      <w:pPr>
        <w:ind w:firstLine="714" w:firstLineChars="238"/>
        <w:rPr>
          <w:rFonts w:ascii="仿宋" w:hAnsi="仿宋" w:eastAsia="仿宋"/>
          <w:w w:val="100"/>
          <w:sz w:val="30"/>
          <w:szCs w:val="30"/>
        </w:rPr>
      </w:pPr>
    </w:p>
    <w:p>
      <w:pPr>
        <w:ind w:firstLine="714" w:firstLineChars="238"/>
        <w:rPr>
          <w:rFonts w:ascii="仿宋" w:hAnsi="仿宋" w:eastAsia="仿宋"/>
          <w:w w:val="100"/>
          <w:sz w:val="30"/>
          <w:szCs w:val="30"/>
        </w:rPr>
      </w:pPr>
    </w:p>
    <w:p>
      <w:pPr>
        <w:ind w:firstLine="714" w:firstLineChars="238"/>
        <w:rPr>
          <w:rFonts w:hint="eastAsia" w:ascii="仿宋" w:hAnsi="仿宋" w:eastAsia="仿宋"/>
          <w:w w:val="100"/>
          <w:sz w:val="30"/>
          <w:szCs w:val="30"/>
        </w:rPr>
      </w:pPr>
    </w:p>
    <w:p>
      <w:pPr>
        <w:ind w:firstLine="714" w:firstLineChars="238"/>
        <w:rPr>
          <w:rFonts w:hint="default" w:ascii="仿宋" w:hAnsi="仿宋" w:eastAsia="仿宋"/>
          <w:w w:val="1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FE4A35"/>
    <w:multiLevelType w:val="singleLevel"/>
    <w:tmpl w:val="E7FE4A3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227BC3"/>
    <w:rsid w:val="006133CD"/>
    <w:rsid w:val="00883244"/>
    <w:rsid w:val="00D80CE1"/>
    <w:rsid w:val="00E948C2"/>
    <w:rsid w:val="00EB55C6"/>
    <w:rsid w:val="00EC3770"/>
    <w:rsid w:val="00EF3A9E"/>
    <w:rsid w:val="00F50383"/>
    <w:rsid w:val="1A2C72C1"/>
    <w:rsid w:val="1B775EE1"/>
    <w:rsid w:val="24D74598"/>
    <w:rsid w:val="527C7B44"/>
    <w:rsid w:val="5F2161D4"/>
    <w:rsid w:val="AFA6E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8"/>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7"/>
    <w:semiHidden/>
    <w:qFormat/>
    <w:uiPriority w:val="0"/>
    <w:pPr>
      <w:snapToGrid w:val="0"/>
      <w:jc w:val="left"/>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14">
    <w:name w:val="Strong"/>
    <w:basedOn w:val="13"/>
    <w:qFormat/>
    <w:uiPriority w:val="22"/>
    <w:rPr>
      <w:b/>
    </w:rPr>
  </w:style>
  <w:style w:type="character" w:customStyle="1" w:styleId="15">
    <w:name w:val="标题 1 Char"/>
    <w:basedOn w:val="13"/>
    <w:link w:val="2"/>
    <w:qFormat/>
    <w:uiPriority w:val="9"/>
    <w:rPr>
      <w:rFonts w:ascii="宋体" w:hAnsi="宋体" w:eastAsia="宋体" w:cs="宋体"/>
      <w:b/>
      <w:bCs/>
      <w:w w:val="100"/>
      <w:kern w:val="36"/>
      <w:sz w:val="48"/>
      <w:szCs w:val="48"/>
    </w:rPr>
  </w:style>
  <w:style w:type="character" w:customStyle="1" w:styleId="16">
    <w:name w:val="标题 2 Char"/>
    <w:basedOn w:val="13"/>
    <w:link w:val="3"/>
    <w:qFormat/>
    <w:uiPriority w:val="9"/>
    <w:rPr>
      <w:rFonts w:ascii="宋体" w:hAnsi="宋体" w:eastAsia="宋体" w:cs="宋体"/>
      <w:b/>
      <w:bCs/>
      <w:w w:val="100"/>
      <w:kern w:val="0"/>
      <w:sz w:val="36"/>
      <w:szCs w:val="36"/>
    </w:rPr>
  </w:style>
  <w:style w:type="character" w:customStyle="1" w:styleId="17">
    <w:name w:val="标题 3 Char"/>
    <w:basedOn w:val="13"/>
    <w:link w:val="4"/>
    <w:qFormat/>
    <w:uiPriority w:val="9"/>
    <w:rPr>
      <w:rFonts w:ascii="宋体" w:hAnsi="宋体" w:eastAsia="宋体" w:cs="宋体"/>
      <w:b/>
      <w:bCs/>
      <w:w w:val="100"/>
      <w:kern w:val="0"/>
      <w:sz w:val="27"/>
      <w:szCs w:val="27"/>
    </w:rPr>
  </w:style>
  <w:style w:type="character" w:customStyle="1" w:styleId="18">
    <w:name w:val="标题 4 Char"/>
    <w:basedOn w:val="13"/>
    <w:link w:val="5"/>
    <w:qFormat/>
    <w:uiPriority w:val="9"/>
    <w:rPr>
      <w:rFonts w:ascii="宋体" w:hAnsi="宋体" w:eastAsia="宋体" w:cs="宋体"/>
      <w:b/>
      <w:bCs/>
      <w:w w:val="100"/>
      <w:kern w:val="0"/>
      <w:sz w:val="24"/>
      <w:szCs w:val="24"/>
    </w:rPr>
  </w:style>
  <w:style w:type="paragraph" w:customStyle="1" w:styleId="19">
    <w:name w:val="Default"/>
    <w:basedOn w:val="1"/>
    <w:qFormat/>
    <w:uiPriority w:val="0"/>
    <w:pPr>
      <w:autoSpaceDE w:val="0"/>
      <w:autoSpaceDN w:val="0"/>
      <w:adjustRightInd w:val="0"/>
      <w:jc w:val="left"/>
    </w:pPr>
    <w:rPr>
      <w:rFonts w:hAnsi="Calibri" w:cs="宋体"/>
      <w:color w:val="000000"/>
      <w:w w:val="100"/>
      <w:kern w:val="0"/>
      <w:sz w:val="24"/>
      <w:szCs w:val="24"/>
    </w:rPr>
  </w:style>
  <w:style w:type="character" w:customStyle="1" w:styleId="20">
    <w:name w:val="页眉 Char"/>
    <w:basedOn w:val="13"/>
    <w:link w:val="9"/>
    <w:semiHidden/>
    <w:qFormat/>
    <w:uiPriority w:val="99"/>
    <w:rPr>
      <w:rFonts w:ascii="黑体" w:hAnsi="黑体" w:eastAsia="黑体" w:cstheme="minorBidi"/>
      <w:w w:val="200"/>
      <w:kern w:val="2"/>
      <w:sz w:val="18"/>
      <w:szCs w:val="18"/>
    </w:rPr>
  </w:style>
  <w:style w:type="character" w:customStyle="1" w:styleId="21">
    <w:name w:val="页脚 Char"/>
    <w:basedOn w:val="13"/>
    <w:link w:val="8"/>
    <w:semiHidden/>
    <w:qFormat/>
    <w:uiPriority w:val="99"/>
    <w:rPr>
      <w:rFonts w:ascii="黑体" w:hAnsi="黑体" w:eastAsia="黑体" w:cstheme="minorBidi"/>
      <w:w w:val="200"/>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2468</Words>
  <Characters>14071</Characters>
  <Lines>117</Lines>
  <Paragraphs>33</Paragraphs>
  <TotalTime>4</TotalTime>
  <ScaleCrop>false</ScaleCrop>
  <LinksUpToDate>false</LinksUpToDate>
  <CharactersWithSpaces>16506</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2025-09-17T03:54:00Z</dcterms:created>
  <dc:creator>Administrator</dc:creator>
  <cp:lastModifiedBy>greatwall</cp:lastModifiedBy>
  <dcterms:modified xsi:type="dcterms:W3CDTF">2025-09-28T12:27:37Z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eyJoZGlkIjoiYmEwODczYzY3NTBlODE3MmEwMDU0ZTMzYjg1MTk1MDgiLCJ1c2VySWQiOiIxNjQwNTUxMjk3In0=</vt:lpwstr>
  </property>
  <property fmtid="{D5CDD505-2E9C-101B-9397-08002B2CF9AE}" pid="3" name="KSOProductBuildVer">
    <vt:lpwstr>2052-11.8.2.9339</vt:lpwstr>
  </property>
  <property fmtid="{D5CDD505-2E9C-101B-9397-08002B2CF9AE}" pid="4" name="ICV">
    <vt:lpwstr>7AE71DCDDA6743788A405CF66F23382E_12</vt:lpwstr>
  </property>
</Properties>
</file>